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charts/chart19.xml" ContentType="application/vnd.openxmlformats-officedocument.drawingml.chart+xml"/>
  <Override PartName="/word/drawings/drawing9.xml" ContentType="application/vnd.openxmlformats-officedocument.drawingml.chartshapes+xml"/>
  <Override PartName="/word/charts/chart20.xml" ContentType="application/vnd.openxmlformats-officedocument.drawingml.chart+xml"/>
  <Override PartName="/word/drawings/drawing10.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drawings/drawing12.xml" ContentType="application/vnd.openxmlformats-officedocument.drawingml.chartshapes+xml"/>
  <Override PartName="/word/charts/chart27.xml" ContentType="application/vnd.openxmlformats-officedocument.drawingml.chart+xml"/>
  <Override PartName="/word/drawings/drawing13.xml" ContentType="application/vnd.openxmlformats-officedocument.drawingml.chartshapes+xml"/>
  <Override PartName="/word/charts/chart28.xml" ContentType="application/vnd.openxmlformats-officedocument.drawingml.chart+xml"/>
  <Override PartName="/word/drawings/drawing14.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drawings/drawing15.xml" ContentType="application/vnd.openxmlformats-officedocument.drawingml.chartshapes+xml"/>
  <Override PartName="/word/charts/chart34.xml" ContentType="application/vnd.openxmlformats-officedocument.drawingml.chart+xml"/>
  <Override PartName="/word/drawings/drawing16.xml" ContentType="application/vnd.openxmlformats-officedocument.drawingml.chartshapes+xml"/>
  <Override PartName="/word/charts/chart35.xml" ContentType="application/vnd.openxmlformats-officedocument.drawingml.chart+xml"/>
  <Override PartName="/word/drawings/drawing17.xml" ContentType="application/vnd.openxmlformats-officedocument.drawingml.chartshapes+xml"/>
  <Override PartName="/word/charts/chart36.xml" ContentType="application/vnd.openxmlformats-officedocument.drawingml.chart+xml"/>
  <Override PartName="/word/drawings/drawing18.xml" ContentType="application/vnd.openxmlformats-officedocument.drawingml.chartshapes+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drawings/drawing19.xml" ContentType="application/vnd.openxmlformats-officedocument.drawingml.chartshapes+xml"/>
  <Override PartName="/word/charts/chart42.xml" ContentType="application/vnd.openxmlformats-officedocument.drawingml.chart+xml"/>
  <Override PartName="/word/drawings/drawing20.xml" ContentType="application/vnd.openxmlformats-officedocument.drawingml.chartshapes+xml"/>
  <Override PartName="/word/charts/chart43.xml" ContentType="application/vnd.openxmlformats-officedocument.drawingml.chart+xml"/>
  <Override PartName="/word/drawings/drawing21.xml" ContentType="application/vnd.openxmlformats-officedocument.drawingml.chartshapes+xml"/>
  <Override PartName="/word/charts/chart44.xml" ContentType="application/vnd.openxmlformats-officedocument.drawingml.chart+xml"/>
  <Override PartName="/word/drawings/drawing22.xml" ContentType="application/vnd.openxmlformats-officedocument.drawingml.chartshapes+xml"/>
  <Override PartName="/word/charts/chart45.xml" ContentType="application/vnd.openxmlformats-officedocument.drawingml.chart+xml"/>
  <Override PartName="/word/drawings/drawing23.xml" ContentType="application/vnd.openxmlformats-officedocument.drawingml.chartshapes+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drawings/drawing24.xml" ContentType="application/vnd.openxmlformats-officedocument.drawingml.chartshapes+xml"/>
  <Override PartName="/word/charts/chart52.xml" ContentType="application/vnd.openxmlformats-officedocument.drawingml.chart+xml"/>
  <Override PartName="/word/drawings/drawing25.xml" ContentType="application/vnd.openxmlformats-officedocument.drawingml.chartshapes+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drawings/drawing26.xml" ContentType="application/vnd.openxmlformats-officedocument.drawingml.chartshapes+xml"/>
  <Override PartName="/word/charts/chart56.xml" ContentType="application/vnd.openxmlformats-officedocument.drawingml.chart+xml"/>
  <Override PartName="/word/drawings/drawing27.xml" ContentType="application/vnd.openxmlformats-officedocument.drawingml.chartshapes+xml"/>
  <Override PartName="/word/charts/chart57.xml" ContentType="application/vnd.openxmlformats-officedocument.drawingml.chart+xml"/>
  <Override PartName="/word/drawings/drawing28.xml" ContentType="application/vnd.openxmlformats-officedocument.drawingml.chartshapes+xml"/>
  <Override PartName="/word/charts/chart58.xml" ContentType="application/vnd.openxmlformats-officedocument.drawingml.chart+xml"/>
  <Override PartName="/word/charts/chart5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BE3" w:rsidRPr="00CE03FD" w:rsidRDefault="00BB3BE3" w:rsidP="00430F41">
      <w:pPr>
        <w:ind w:firstLine="0"/>
        <w:jc w:val="center"/>
        <w:rPr>
          <w:b/>
        </w:rPr>
      </w:pPr>
      <w:bookmarkStart w:id="0" w:name="_Toc488004474"/>
      <w:bookmarkStart w:id="1" w:name="_Toc482344490"/>
      <w:bookmarkStart w:id="2" w:name="_Toc486288766"/>
      <w:r w:rsidRPr="00CE03FD">
        <w:rPr>
          <w:b/>
        </w:rPr>
        <w:t>T.C.</w:t>
      </w:r>
    </w:p>
    <w:p w:rsidR="00BB3BE3" w:rsidRPr="00CE03FD" w:rsidRDefault="00306C69" w:rsidP="00233462">
      <w:pPr>
        <w:ind w:firstLine="0"/>
        <w:jc w:val="center"/>
        <w:rPr>
          <w:b/>
        </w:rPr>
      </w:pPr>
      <w:r>
        <w:rPr>
          <w:b/>
        </w:rPr>
        <w:t xml:space="preserve">AYDIN </w:t>
      </w:r>
      <w:r w:rsidR="00BB3BE3" w:rsidRPr="00CE03FD">
        <w:rPr>
          <w:b/>
        </w:rPr>
        <w:t>ADNAN MENDERES ÜNİVERSİTESİ</w:t>
      </w:r>
    </w:p>
    <w:p w:rsidR="00BB3BE3" w:rsidRPr="00CE03FD" w:rsidRDefault="00BB3BE3" w:rsidP="00233462">
      <w:pPr>
        <w:ind w:firstLine="0"/>
        <w:jc w:val="center"/>
        <w:rPr>
          <w:b/>
        </w:rPr>
      </w:pPr>
      <w:r w:rsidRPr="00CE03FD">
        <w:rPr>
          <w:b/>
        </w:rPr>
        <w:t>SAĞLIK BİLİMLERİ ENSTİTÜSÜ</w:t>
      </w:r>
    </w:p>
    <w:p w:rsidR="00BB3BE3" w:rsidRDefault="005A2593" w:rsidP="00233462">
      <w:pPr>
        <w:ind w:firstLine="0"/>
        <w:jc w:val="center"/>
        <w:rPr>
          <w:b/>
        </w:rPr>
      </w:pPr>
      <w:r>
        <w:rPr>
          <w:b/>
        </w:rPr>
        <w:t xml:space="preserve">BİYOKİMYA </w:t>
      </w:r>
      <w:r w:rsidR="00BB3BE3">
        <w:rPr>
          <w:b/>
        </w:rPr>
        <w:t>(VETERİNER)</w:t>
      </w:r>
      <w:r w:rsidR="00451DE6">
        <w:rPr>
          <w:b/>
        </w:rPr>
        <w:t xml:space="preserve"> D</w:t>
      </w:r>
      <w:r>
        <w:rPr>
          <w:b/>
        </w:rPr>
        <w:t>OKTORA</w:t>
      </w:r>
      <w:r w:rsidR="00BB3BE3">
        <w:rPr>
          <w:b/>
        </w:rPr>
        <w:t xml:space="preserve"> PROGRAMI</w:t>
      </w:r>
    </w:p>
    <w:p w:rsidR="00BB3BE3" w:rsidRPr="00430F41" w:rsidRDefault="00233462" w:rsidP="00233462">
      <w:pPr>
        <w:rPr>
          <w:b/>
        </w:rPr>
      </w:pPr>
      <w:r>
        <w:rPr>
          <w:b/>
        </w:rPr>
        <w:t xml:space="preserve">                                                </w:t>
      </w:r>
      <w:r w:rsidR="00430F41" w:rsidRPr="00430F41">
        <w:rPr>
          <w:b/>
        </w:rPr>
        <w:t>VBY-2020-0002</w:t>
      </w:r>
    </w:p>
    <w:p w:rsidR="00BB3BE3" w:rsidRDefault="00BB3BE3" w:rsidP="009959D8"/>
    <w:p w:rsidR="00BB3BE3" w:rsidRDefault="00BB3BE3" w:rsidP="009959D8"/>
    <w:p w:rsidR="00BC26CA" w:rsidRDefault="00BC26CA" w:rsidP="009959D8"/>
    <w:p w:rsidR="00F067A8" w:rsidRPr="00426D13" w:rsidRDefault="00F067A8" w:rsidP="009E298B">
      <w:pPr>
        <w:ind w:firstLine="0"/>
        <w:jc w:val="center"/>
        <w:rPr>
          <w:rFonts w:cs="Times New Roman"/>
          <w:b/>
          <w:sz w:val="32"/>
          <w:szCs w:val="28"/>
        </w:rPr>
      </w:pPr>
      <w:r w:rsidRPr="00426D13">
        <w:rPr>
          <w:rFonts w:cs="Times New Roman"/>
          <w:b/>
          <w:sz w:val="32"/>
          <w:szCs w:val="28"/>
        </w:rPr>
        <w:t>HİPOKSİK MCF 7 MEME KANSERİ HÜCRE KÜLTÜRÜNDE GLUKOZ KATABOLİZMASININ ARAŞTIRILMASI</w:t>
      </w:r>
    </w:p>
    <w:p w:rsidR="00BB3BE3" w:rsidRDefault="00BB3BE3" w:rsidP="009959D8">
      <w:pPr>
        <w:rPr>
          <w:b/>
        </w:rPr>
      </w:pPr>
    </w:p>
    <w:p w:rsidR="00BB3BE3" w:rsidRDefault="00BB3BE3" w:rsidP="009959D8">
      <w:pPr>
        <w:jc w:val="center"/>
        <w:rPr>
          <w:b/>
        </w:rPr>
      </w:pPr>
    </w:p>
    <w:p w:rsidR="00BB3BE3" w:rsidRPr="00737759" w:rsidRDefault="00BB3BE3" w:rsidP="009959D8">
      <w:pPr>
        <w:jc w:val="center"/>
        <w:rPr>
          <w:b/>
        </w:rPr>
      </w:pPr>
    </w:p>
    <w:p w:rsidR="00BB3BE3" w:rsidRDefault="00F067A8" w:rsidP="009959D8">
      <w:pPr>
        <w:ind w:firstLine="0"/>
        <w:jc w:val="center"/>
        <w:rPr>
          <w:b/>
        </w:rPr>
      </w:pPr>
      <w:r>
        <w:rPr>
          <w:b/>
        </w:rPr>
        <w:t>İREM BAYAR</w:t>
      </w:r>
    </w:p>
    <w:p w:rsidR="00BB3BE3" w:rsidRPr="00B33FEB" w:rsidRDefault="00F067A8" w:rsidP="009959D8">
      <w:pPr>
        <w:ind w:firstLine="0"/>
        <w:jc w:val="center"/>
        <w:rPr>
          <w:b/>
        </w:rPr>
      </w:pPr>
      <w:r>
        <w:rPr>
          <w:b/>
        </w:rPr>
        <w:t>DOKTORA</w:t>
      </w:r>
      <w:r w:rsidR="00BB3BE3" w:rsidRPr="00B33FEB">
        <w:rPr>
          <w:b/>
        </w:rPr>
        <w:t xml:space="preserve"> TEZİ</w:t>
      </w:r>
    </w:p>
    <w:p w:rsidR="00BB3BE3" w:rsidRDefault="00BB3BE3" w:rsidP="009959D8">
      <w:pPr>
        <w:jc w:val="center"/>
        <w:rPr>
          <w:b/>
        </w:rPr>
      </w:pPr>
    </w:p>
    <w:p w:rsidR="00BB3BE3" w:rsidRPr="00737759" w:rsidRDefault="00BB3BE3" w:rsidP="009959D8">
      <w:pPr>
        <w:jc w:val="center"/>
        <w:rPr>
          <w:b/>
        </w:rPr>
      </w:pPr>
    </w:p>
    <w:p w:rsidR="006A722B" w:rsidRDefault="006A722B" w:rsidP="009959D8">
      <w:pPr>
        <w:ind w:firstLine="0"/>
        <w:jc w:val="center"/>
        <w:rPr>
          <w:b/>
        </w:rPr>
      </w:pPr>
    </w:p>
    <w:p w:rsidR="00BB3BE3" w:rsidRPr="00737759" w:rsidRDefault="00BB3BE3" w:rsidP="009959D8">
      <w:pPr>
        <w:ind w:firstLine="0"/>
        <w:jc w:val="center"/>
        <w:rPr>
          <w:b/>
        </w:rPr>
      </w:pPr>
      <w:r w:rsidRPr="00737759">
        <w:rPr>
          <w:b/>
        </w:rPr>
        <w:t>DANIŞMAN</w:t>
      </w:r>
    </w:p>
    <w:p w:rsidR="00BB3BE3" w:rsidRDefault="008E0F15" w:rsidP="009959D8">
      <w:pPr>
        <w:ind w:firstLine="0"/>
        <w:jc w:val="center"/>
        <w:rPr>
          <w:b/>
        </w:rPr>
      </w:pPr>
      <w:r>
        <w:rPr>
          <w:b/>
        </w:rPr>
        <w:t xml:space="preserve">Prof. </w:t>
      </w:r>
      <w:r w:rsidR="00BB3BE3" w:rsidRPr="00737759">
        <w:rPr>
          <w:b/>
        </w:rPr>
        <w:t>D</w:t>
      </w:r>
      <w:r w:rsidR="00BB3BE3">
        <w:rPr>
          <w:b/>
        </w:rPr>
        <w:t xml:space="preserve">r. </w:t>
      </w:r>
      <w:r w:rsidR="00F067A8">
        <w:rPr>
          <w:b/>
        </w:rPr>
        <w:t>Ayşegül BİLDİK</w:t>
      </w:r>
    </w:p>
    <w:p w:rsidR="00BB3BE3" w:rsidRDefault="00BB3BE3" w:rsidP="009959D8">
      <w:pPr>
        <w:jc w:val="center"/>
        <w:rPr>
          <w:b/>
        </w:rPr>
      </w:pPr>
    </w:p>
    <w:p w:rsidR="00451DE6" w:rsidRDefault="00451DE6" w:rsidP="00451DE6">
      <w:pPr>
        <w:ind w:firstLine="0"/>
        <w:jc w:val="center"/>
      </w:pPr>
    </w:p>
    <w:p w:rsidR="00451DE6" w:rsidRDefault="00451DE6" w:rsidP="00451DE6">
      <w:pPr>
        <w:ind w:firstLine="0"/>
        <w:jc w:val="center"/>
      </w:pPr>
    </w:p>
    <w:p w:rsidR="00451DE6" w:rsidRDefault="00451DE6" w:rsidP="00451DE6">
      <w:pPr>
        <w:ind w:firstLine="0"/>
        <w:jc w:val="center"/>
      </w:pPr>
    </w:p>
    <w:p w:rsidR="00243860" w:rsidRDefault="00243860" w:rsidP="00451DE6">
      <w:pPr>
        <w:ind w:firstLine="0"/>
        <w:jc w:val="center"/>
      </w:pPr>
    </w:p>
    <w:p w:rsidR="006A722B" w:rsidRPr="00451DE6" w:rsidRDefault="00451DE6" w:rsidP="00451DE6">
      <w:pPr>
        <w:ind w:firstLine="0"/>
        <w:jc w:val="center"/>
      </w:pPr>
      <w:r w:rsidRPr="00451DE6">
        <w:t xml:space="preserve">Bu tez Aydın Adnan Menderes Üniversitesi </w:t>
      </w:r>
      <w:r>
        <w:t>Bilimsel Araştırma Projeleri Birimi tarafından ADÜ-VTF-17031 proje numarası ile desteklenmiştir.</w:t>
      </w:r>
    </w:p>
    <w:p w:rsidR="00BC26CA" w:rsidRDefault="00BC26CA" w:rsidP="009959D8">
      <w:pPr>
        <w:rPr>
          <w:sz w:val="32"/>
        </w:rPr>
      </w:pPr>
    </w:p>
    <w:p w:rsidR="00FD383C" w:rsidRDefault="00FD383C" w:rsidP="009959D8"/>
    <w:bookmarkEnd w:id="0"/>
    <w:p w:rsidR="00BC26CA" w:rsidRDefault="00BC26CA" w:rsidP="00451DE6">
      <w:pPr>
        <w:ind w:firstLine="0"/>
      </w:pPr>
    </w:p>
    <w:p w:rsidR="008C1525" w:rsidRPr="002B291A" w:rsidRDefault="00BB3BE3" w:rsidP="009959D8">
      <w:pPr>
        <w:ind w:firstLine="0"/>
        <w:jc w:val="center"/>
        <w:rPr>
          <w:b/>
          <w:szCs w:val="28"/>
        </w:rPr>
        <w:sectPr w:rsidR="008C1525" w:rsidRPr="002B291A" w:rsidSect="00A004B9">
          <w:headerReference w:type="default" r:id="rId9"/>
          <w:footerReference w:type="default" r:id="rId10"/>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F067A8">
        <w:rPr>
          <w:b/>
          <w:szCs w:val="28"/>
        </w:rPr>
        <w:t>20</w:t>
      </w:r>
    </w:p>
    <w:p w:rsidR="004C1241" w:rsidRPr="004557D9" w:rsidRDefault="004557D9" w:rsidP="009E298B">
      <w:pPr>
        <w:ind w:firstLine="0"/>
        <w:jc w:val="center"/>
        <w:rPr>
          <w:rFonts w:eastAsia="Times New Roman" w:cs="Times New Roman"/>
          <w:b/>
          <w:sz w:val="28"/>
          <w:szCs w:val="24"/>
          <w:lang w:eastAsia="tr-TR"/>
        </w:rPr>
      </w:pPr>
      <w:bookmarkStart w:id="13" w:name="_Toc488176612"/>
      <w:r w:rsidRPr="004557D9">
        <w:rPr>
          <w:rFonts w:eastAsia="Times New Roman" w:cs="Times New Roman"/>
          <w:b/>
          <w:sz w:val="28"/>
          <w:szCs w:val="24"/>
          <w:lang w:eastAsia="tr-TR"/>
        </w:rPr>
        <w:lastRenderedPageBreak/>
        <w:t>KABUL VE ONAY SAYFASI</w:t>
      </w:r>
    </w:p>
    <w:p w:rsidR="004C1241" w:rsidRDefault="004C1241" w:rsidP="004557D9">
      <w:pPr>
        <w:rPr>
          <w:rFonts w:eastAsia="Times New Roman" w:cs="Times New Roman"/>
          <w:szCs w:val="24"/>
          <w:lang w:eastAsia="tr-TR"/>
        </w:rPr>
      </w:pPr>
    </w:p>
    <w:p w:rsidR="004557D9" w:rsidRPr="00BB3BE3" w:rsidRDefault="004557D9" w:rsidP="004557D9">
      <w:pPr>
        <w:rPr>
          <w:rFonts w:eastAsia="Times New Roman" w:cs="Times New Roman"/>
          <w:szCs w:val="24"/>
          <w:lang w:eastAsia="tr-TR"/>
        </w:rPr>
      </w:pPr>
    </w:p>
    <w:p w:rsidR="004C1241" w:rsidRPr="00BB3BE3" w:rsidRDefault="004C1241" w:rsidP="004557D9">
      <w:pPr>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Sağlık Bilimleri Enstitüsü </w:t>
      </w:r>
      <w:r w:rsidR="00DD42D9">
        <w:rPr>
          <w:rFonts w:eastAsia="Times New Roman" w:cs="Times New Roman"/>
          <w:szCs w:val="24"/>
          <w:lang w:eastAsia="tr-TR"/>
        </w:rPr>
        <w:t>Biyokimya</w:t>
      </w:r>
      <w:r w:rsidRPr="00BB3BE3">
        <w:rPr>
          <w:rFonts w:eastAsia="Times New Roman" w:cs="Times New Roman"/>
          <w:szCs w:val="24"/>
          <w:lang w:eastAsia="tr-TR"/>
        </w:rPr>
        <w:t xml:space="preserve"> (Veteriner)</w:t>
      </w:r>
      <w:r w:rsidR="009C4A3D">
        <w:rPr>
          <w:rFonts w:eastAsia="Times New Roman" w:cs="Times New Roman"/>
          <w:szCs w:val="24"/>
          <w:lang w:eastAsia="tr-TR"/>
        </w:rPr>
        <w:t xml:space="preserve"> Anabilim Dalı</w:t>
      </w:r>
      <w:r w:rsidRPr="00BB3BE3">
        <w:rPr>
          <w:rFonts w:eastAsia="Times New Roman" w:cs="Times New Roman"/>
          <w:szCs w:val="24"/>
          <w:lang w:eastAsia="tr-TR"/>
        </w:rPr>
        <w:t xml:space="preserve"> </w:t>
      </w:r>
      <w:r w:rsidR="00DD42D9">
        <w:rPr>
          <w:rFonts w:eastAsia="Times New Roman" w:cs="Times New Roman"/>
          <w:szCs w:val="24"/>
          <w:lang w:eastAsia="tr-TR"/>
        </w:rPr>
        <w:t>Doktora</w:t>
      </w:r>
      <w:r w:rsidRPr="00BB3BE3">
        <w:rPr>
          <w:rFonts w:eastAsia="Times New Roman" w:cs="Times New Roman"/>
          <w:szCs w:val="24"/>
          <w:lang w:eastAsia="tr-TR"/>
        </w:rPr>
        <w:t xml:space="preserve"> Programı çerçevesinde </w:t>
      </w:r>
      <w:r w:rsidR="00DD42D9">
        <w:rPr>
          <w:rFonts w:eastAsia="Times New Roman" w:cs="Times New Roman"/>
          <w:szCs w:val="24"/>
          <w:lang w:eastAsia="tr-TR"/>
        </w:rPr>
        <w:t>İrem Bayar</w:t>
      </w:r>
      <w:r w:rsidRPr="00BB3BE3">
        <w:rPr>
          <w:rFonts w:eastAsia="Times New Roman" w:cs="Times New Roman"/>
          <w:szCs w:val="24"/>
          <w:lang w:eastAsia="tr-TR"/>
        </w:rPr>
        <w:t xml:space="preserve"> tarafından hazırlanan “</w:t>
      </w:r>
      <w:r w:rsidR="00DD42D9">
        <w:rPr>
          <w:rFonts w:cs="Times New Roman"/>
          <w:szCs w:val="24"/>
        </w:rPr>
        <w:t>Hipoksik MCF 7 Meme Kanseri Hücre Kültüründe Glukoz Katabolizmasının Araştırılması</w:t>
      </w:r>
      <w:r w:rsidRPr="00BB3BE3">
        <w:rPr>
          <w:rFonts w:eastAsia="Times New Roman" w:cs="Times New Roman"/>
          <w:szCs w:val="24"/>
          <w:lang w:eastAsia="tr-TR"/>
        </w:rPr>
        <w:t xml:space="preserve">” başlıklı tez, aşağıdaki jüri tarafından </w:t>
      </w:r>
      <w:r w:rsidR="00DD42D9">
        <w:rPr>
          <w:rFonts w:eastAsia="Times New Roman" w:cs="Times New Roman"/>
          <w:szCs w:val="24"/>
          <w:lang w:eastAsia="tr-TR"/>
        </w:rPr>
        <w:t>Doktora</w:t>
      </w:r>
      <w:r w:rsidRPr="00BB3BE3">
        <w:rPr>
          <w:rFonts w:eastAsia="Times New Roman" w:cs="Times New Roman"/>
          <w:szCs w:val="24"/>
          <w:lang w:eastAsia="tr-TR"/>
        </w:rPr>
        <w:t xml:space="preserve"> Tezi olarak kabul edilmiştir.</w:t>
      </w:r>
    </w:p>
    <w:p w:rsidR="008E0F15" w:rsidRDefault="004C1241" w:rsidP="004C1241">
      <w:pPr>
        <w:ind w:left="4956"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rsidR="004C1241" w:rsidRPr="00BB3BE3" w:rsidRDefault="006A722B" w:rsidP="008E0F15">
      <w:pPr>
        <w:ind w:left="4956" w:firstLine="708"/>
        <w:rPr>
          <w:rFonts w:eastAsia="Times New Roman" w:cs="Times New Roman"/>
          <w:szCs w:val="24"/>
          <w:lang w:eastAsia="tr-TR"/>
        </w:rPr>
      </w:pPr>
      <w:r>
        <w:rPr>
          <w:rFonts w:eastAsia="Times New Roman" w:cs="Times New Roman"/>
          <w:szCs w:val="24"/>
          <w:lang w:eastAsia="tr-TR"/>
        </w:rPr>
        <w:t xml:space="preserve"> </w:t>
      </w:r>
      <w:r w:rsidR="004C1241" w:rsidRPr="00BB3BE3">
        <w:rPr>
          <w:rFonts w:eastAsia="Times New Roman" w:cs="Times New Roman"/>
          <w:szCs w:val="24"/>
          <w:lang w:eastAsia="tr-TR"/>
        </w:rPr>
        <w:t xml:space="preserve">Tez Savunma Tarihi:  </w:t>
      </w:r>
      <w:proofErr w:type="gramStart"/>
      <w:r w:rsidR="008E0F15">
        <w:rPr>
          <w:rFonts w:eastAsia="Times New Roman" w:cs="Times New Roman"/>
          <w:szCs w:val="24"/>
          <w:lang w:eastAsia="tr-TR"/>
        </w:rPr>
        <w:t>0</w:t>
      </w:r>
      <w:r w:rsidR="00E1566C">
        <w:rPr>
          <w:rFonts w:eastAsia="Times New Roman" w:cs="Times New Roman"/>
          <w:szCs w:val="24"/>
          <w:lang w:eastAsia="tr-TR"/>
        </w:rPr>
        <w:t>1</w:t>
      </w:r>
      <w:r w:rsidR="004C1241" w:rsidRPr="00BB3BE3">
        <w:rPr>
          <w:rFonts w:eastAsia="Times New Roman" w:cs="Times New Roman"/>
          <w:szCs w:val="24"/>
          <w:lang w:eastAsia="tr-TR"/>
        </w:rPr>
        <w:t>/</w:t>
      </w:r>
      <w:r w:rsidR="008E0F15">
        <w:rPr>
          <w:rFonts w:eastAsia="Times New Roman" w:cs="Times New Roman"/>
          <w:szCs w:val="24"/>
          <w:lang w:eastAsia="tr-TR"/>
        </w:rPr>
        <w:t>0</w:t>
      </w:r>
      <w:r w:rsidR="005A107C">
        <w:rPr>
          <w:rFonts w:eastAsia="Times New Roman" w:cs="Times New Roman"/>
          <w:szCs w:val="24"/>
          <w:lang w:eastAsia="tr-TR"/>
        </w:rPr>
        <w:t>6</w:t>
      </w:r>
      <w:r w:rsidR="004C1241">
        <w:rPr>
          <w:rFonts w:eastAsia="Times New Roman" w:cs="Times New Roman"/>
          <w:szCs w:val="24"/>
          <w:lang w:eastAsia="tr-TR"/>
        </w:rPr>
        <w:t>/</w:t>
      </w:r>
      <w:r w:rsidR="00193C2A">
        <w:rPr>
          <w:rFonts w:eastAsia="Times New Roman" w:cs="Times New Roman"/>
          <w:szCs w:val="24"/>
          <w:lang w:eastAsia="tr-TR"/>
        </w:rPr>
        <w:t>20</w:t>
      </w:r>
      <w:r w:rsidR="00DD42D9">
        <w:rPr>
          <w:rFonts w:eastAsia="Times New Roman" w:cs="Times New Roman"/>
          <w:szCs w:val="24"/>
          <w:lang w:eastAsia="tr-TR"/>
        </w:rPr>
        <w:t>20</w:t>
      </w:r>
      <w:proofErr w:type="gramEnd"/>
    </w:p>
    <w:p w:rsidR="005A107C" w:rsidRPr="00BB3BE3" w:rsidRDefault="005A107C" w:rsidP="004C1241">
      <w:pPr>
        <w:ind w:left="4956" w:firstLine="0"/>
        <w:rPr>
          <w:rFonts w:eastAsia="Times New Roman" w:cs="Times New Roman"/>
          <w:szCs w:val="24"/>
          <w:lang w:eastAsia="tr-TR"/>
        </w:rPr>
      </w:pPr>
    </w:p>
    <w:tbl>
      <w:tblPr>
        <w:tblpPr w:leftFromText="141" w:rightFromText="141" w:vertAnchor="text" w:horzAnchor="margin" w:tblpY="300"/>
        <w:tblW w:w="9665" w:type="dxa"/>
        <w:tblLook w:val="04A0" w:firstRow="1" w:lastRow="0" w:firstColumn="1" w:lastColumn="0" w:noHBand="0" w:noVBand="1"/>
      </w:tblPr>
      <w:tblGrid>
        <w:gridCol w:w="1457"/>
        <w:gridCol w:w="3804"/>
        <w:gridCol w:w="3494"/>
        <w:gridCol w:w="910"/>
      </w:tblGrid>
      <w:tr w:rsidR="000D1AC9" w:rsidRPr="00BB3BE3" w:rsidTr="009B055A">
        <w:trPr>
          <w:trHeight w:val="537"/>
        </w:trPr>
        <w:tc>
          <w:tcPr>
            <w:tcW w:w="1457" w:type="dxa"/>
            <w:shd w:val="clear" w:color="auto" w:fill="auto"/>
          </w:tcPr>
          <w:p w:rsidR="000D1AC9" w:rsidRPr="00BB3BE3" w:rsidRDefault="000D1AC9" w:rsidP="009B055A">
            <w:pPr>
              <w:spacing w:line="600" w:lineRule="auto"/>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(T.D.)</w:t>
            </w:r>
            <w:r w:rsidRPr="00BB3BE3">
              <w:rPr>
                <w:rFonts w:eastAsia="Times New Roman" w:cs="Times New Roman"/>
                <w:szCs w:val="24"/>
                <w:lang w:eastAsia="tr-TR"/>
              </w:rPr>
              <w:t xml:space="preserve">  </w:t>
            </w:r>
          </w:p>
        </w:tc>
        <w:tc>
          <w:tcPr>
            <w:tcW w:w="3804" w:type="dxa"/>
            <w:shd w:val="clear" w:color="auto" w:fill="auto"/>
          </w:tcPr>
          <w:p w:rsidR="000D1AC9" w:rsidRPr="00BB3BE3" w:rsidRDefault="000D1AC9" w:rsidP="009B055A">
            <w:pPr>
              <w:tabs>
                <w:tab w:val="left" w:pos="173"/>
              </w:tabs>
              <w:spacing w:line="600" w:lineRule="auto"/>
              <w:ind w:left="-108" w:firstLine="0"/>
              <w:rPr>
                <w:rFonts w:eastAsia="Times New Roman" w:cs="Times New Roman"/>
                <w:szCs w:val="24"/>
                <w:lang w:eastAsia="tr-TR"/>
              </w:rPr>
            </w:pPr>
            <w:r>
              <w:rPr>
                <w:rFonts w:eastAsia="Times New Roman" w:cs="Times New Roman"/>
                <w:szCs w:val="24"/>
                <w:lang w:eastAsia="tr-TR"/>
              </w:rPr>
              <w:t xml:space="preserve">  : Prof.Dr. Ayşegül BİLDİK </w:t>
            </w:r>
            <w:r w:rsidRPr="00BB3BE3">
              <w:rPr>
                <w:rFonts w:eastAsia="Times New Roman" w:cs="Times New Roman"/>
                <w:szCs w:val="24"/>
                <w:lang w:eastAsia="tr-TR"/>
              </w:rPr>
              <w:t xml:space="preserve">   </w:t>
            </w:r>
          </w:p>
        </w:tc>
        <w:tc>
          <w:tcPr>
            <w:tcW w:w="3494" w:type="dxa"/>
            <w:shd w:val="clear" w:color="auto" w:fill="auto"/>
          </w:tcPr>
          <w:p w:rsidR="000D1AC9" w:rsidRPr="006A722B" w:rsidRDefault="000D1AC9" w:rsidP="009B055A">
            <w:pPr>
              <w:spacing w:line="600" w:lineRule="auto"/>
              <w:ind w:firstLine="0"/>
              <w:rPr>
                <w:rFonts w:eastAsia="Times New Roman" w:cs="Times New Roman"/>
                <w:szCs w:val="24"/>
                <w:lang w:eastAsia="tr-TR"/>
              </w:rPr>
            </w:pPr>
            <w:r>
              <w:rPr>
                <w:rFonts w:eastAsia="Times New Roman" w:cs="Times New Roman"/>
                <w:szCs w:val="24"/>
                <w:lang w:eastAsia="tr-TR"/>
              </w:rPr>
              <w:t>Adnan Menderes Üniversitesi</w:t>
            </w:r>
          </w:p>
        </w:tc>
        <w:tc>
          <w:tcPr>
            <w:tcW w:w="910" w:type="dxa"/>
            <w:shd w:val="clear" w:color="auto" w:fill="auto"/>
          </w:tcPr>
          <w:p w:rsidR="000D1AC9" w:rsidRPr="00BB3BE3" w:rsidRDefault="000D1AC9" w:rsidP="009B055A">
            <w:pPr>
              <w:tabs>
                <w:tab w:val="left" w:pos="2700"/>
                <w:tab w:val="left" w:pos="5040"/>
              </w:tabs>
              <w:spacing w:line="600" w:lineRule="auto"/>
              <w:ind w:firstLine="0"/>
              <w:rPr>
                <w:rFonts w:eastAsia="Times New Roman" w:cs="Times New Roman"/>
                <w:szCs w:val="24"/>
                <w:lang w:eastAsia="tr-TR"/>
              </w:rPr>
            </w:pPr>
          </w:p>
        </w:tc>
      </w:tr>
      <w:tr w:rsidR="000D1AC9" w:rsidRPr="00BB3BE3" w:rsidTr="009B055A">
        <w:trPr>
          <w:trHeight w:val="537"/>
        </w:trPr>
        <w:tc>
          <w:tcPr>
            <w:tcW w:w="1457" w:type="dxa"/>
            <w:shd w:val="clear" w:color="auto" w:fill="auto"/>
          </w:tcPr>
          <w:p w:rsidR="000D1AC9" w:rsidRPr="00BB3BE3" w:rsidRDefault="000D1AC9" w:rsidP="009B055A">
            <w:pPr>
              <w:spacing w:line="600" w:lineRule="auto"/>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3804" w:type="dxa"/>
            <w:shd w:val="clear" w:color="auto" w:fill="auto"/>
          </w:tcPr>
          <w:p w:rsidR="000D1AC9" w:rsidRPr="00BB3BE3" w:rsidRDefault="000D1AC9" w:rsidP="009B055A">
            <w:pPr>
              <w:spacing w:line="600" w:lineRule="auto"/>
              <w:ind w:left="-108" w:firstLine="0"/>
              <w:rPr>
                <w:rFonts w:eastAsia="Times New Roman" w:cs="Times New Roman"/>
                <w:szCs w:val="24"/>
                <w:lang w:eastAsia="tr-TR"/>
              </w:rPr>
            </w:pPr>
            <w:r>
              <w:rPr>
                <w:rFonts w:eastAsia="Times New Roman" w:cs="Times New Roman"/>
                <w:szCs w:val="24"/>
                <w:lang w:eastAsia="tr-TR"/>
              </w:rPr>
              <w:t xml:space="preserve">  : Prof.Dr. Mehmet NİZAMLIOĞLU </w:t>
            </w:r>
            <w:r w:rsidRPr="00BB3BE3">
              <w:rPr>
                <w:rFonts w:eastAsia="Times New Roman" w:cs="Times New Roman"/>
                <w:szCs w:val="24"/>
                <w:lang w:eastAsia="tr-TR"/>
              </w:rPr>
              <w:t xml:space="preserve">     </w:t>
            </w:r>
          </w:p>
        </w:tc>
        <w:tc>
          <w:tcPr>
            <w:tcW w:w="3494" w:type="dxa"/>
            <w:shd w:val="clear" w:color="auto" w:fill="auto"/>
          </w:tcPr>
          <w:p w:rsidR="000D1AC9" w:rsidRPr="006A722B" w:rsidRDefault="000D1AC9" w:rsidP="009B055A">
            <w:pPr>
              <w:spacing w:line="600" w:lineRule="auto"/>
              <w:ind w:firstLine="0"/>
              <w:rPr>
                <w:rFonts w:eastAsia="Times New Roman" w:cs="Times New Roman"/>
                <w:szCs w:val="24"/>
                <w:lang w:eastAsia="tr-TR"/>
              </w:rPr>
            </w:pPr>
            <w:r>
              <w:rPr>
                <w:rFonts w:eastAsia="Times New Roman" w:cs="Times New Roman"/>
                <w:szCs w:val="24"/>
                <w:lang w:eastAsia="tr-TR"/>
              </w:rPr>
              <w:t>Selçuk Üniversitesi</w:t>
            </w:r>
          </w:p>
        </w:tc>
        <w:tc>
          <w:tcPr>
            <w:tcW w:w="910" w:type="dxa"/>
            <w:shd w:val="clear" w:color="auto" w:fill="auto"/>
          </w:tcPr>
          <w:p w:rsidR="000D1AC9" w:rsidRDefault="000D1AC9" w:rsidP="009B055A">
            <w:pPr>
              <w:ind w:firstLine="0"/>
            </w:pPr>
          </w:p>
        </w:tc>
      </w:tr>
      <w:tr w:rsidR="000D1AC9" w:rsidRPr="00BB3BE3" w:rsidTr="009B055A">
        <w:trPr>
          <w:trHeight w:val="554"/>
        </w:trPr>
        <w:tc>
          <w:tcPr>
            <w:tcW w:w="1457" w:type="dxa"/>
            <w:shd w:val="clear" w:color="auto" w:fill="auto"/>
          </w:tcPr>
          <w:p w:rsidR="000D1AC9" w:rsidRPr="00BB3BE3" w:rsidRDefault="000D1AC9" w:rsidP="009B055A">
            <w:pPr>
              <w:spacing w:line="600" w:lineRule="auto"/>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804" w:type="dxa"/>
            <w:shd w:val="clear" w:color="auto" w:fill="auto"/>
          </w:tcPr>
          <w:p w:rsidR="000D1AC9" w:rsidRPr="00BB3BE3" w:rsidRDefault="000D1AC9" w:rsidP="009B055A">
            <w:pPr>
              <w:spacing w:line="600" w:lineRule="auto"/>
              <w:ind w:firstLine="0"/>
              <w:jc w:val="left"/>
              <w:rPr>
                <w:rFonts w:eastAsia="Times New Roman" w:cs="Times New Roman"/>
                <w:szCs w:val="24"/>
                <w:lang w:eastAsia="tr-TR"/>
              </w:rPr>
            </w:pPr>
            <w:r>
              <w:rPr>
                <w:rFonts w:eastAsia="Times New Roman" w:cs="Times New Roman"/>
                <w:szCs w:val="24"/>
                <w:lang w:eastAsia="tr-TR"/>
              </w:rPr>
              <w:t>: Prof.Dr. Funda KIRAL</w:t>
            </w:r>
            <w:r w:rsidRPr="00BB3BE3">
              <w:rPr>
                <w:rFonts w:eastAsia="Times New Roman" w:cs="Times New Roman"/>
                <w:szCs w:val="24"/>
                <w:lang w:eastAsia="tr-TR"/>
              </w:rPr>
              <w:t xml:space="preserve">     </w:t>
            </w:r>
          </w:p>
        </w:tc>
        <w:tc>
          <w:tcPr>
            <w:tcW w:w="3494" w:type="dxa"/>
            <w:shd w:val="clear" w:color="auto" w:fill="auto"/>
          </w:tcPr>
          <w:p w:rsidR="000D1AC9" w:rsidRPr="006A722B" w:rsidRDefault="000D1AC9" w:rsidP="009B055A">
            <w:pPr>
              <w:spacing w:line="600" w:lineRule="auto"/>
              <w:ind w:firstLine="0"/>
              <w:rPr>
                <w:rFonts w:eastAsia="Times New Roman" w:cs="Times New Roman"/>
                <w:szCs w:val="24"/>
                <w:lang w:eastAsia="tr-TR"/>
              </w:rPr>
            </w:pPr>
            <w:r>
              <w:rPr>
                <w:rFonts w:eastAsia="Times New Roman" w:cs="Times New Roman"/>
                <w:szCs w:val="24"/>
                <w:lang w:eastAsia="tr-TR"/>
              </w:rPr>
              <w:t>Adnan Menderes Üniversitesi</w:t>
            </w:r>
            <w:r w:rsidRPr="00BB3BE3">
              <w:rPr>
                <w:rFonts w:eastAsia="Times New Roman" w:cs="Times New Roman"/>
                <w:szCs w:val="24"/>
                <w:lang w:eastAsia="tr-TR"/>
              </w:rPr>
              <w:t xml:space="preserve">  </w:t>
            </w:r>
          </w:p>
        </w:tc>
        <w:tc>
          <w:tcPr>
            <w:tcW w:w="910" w:type="dxa"/>
            <w:shd w:val="clear" w:color="auto" w:fill="auto"/>
          </w:tcPr>
          <w:p w:rsidR="000D1AC9" w:rsidRDefault="000D1AC9" w:rsidP="009B055A">
            <w:pPr>
              <w:ind w:firstLine="0"/>
            </w:pPr>
          </w:p>
        </w:tc>
      </w:tr>
      <w:tr w:rsidR="000D1AC9" w:rsidTr="009B055A">
        <w:trPr>
          <w:trHeight w:val="554"/>
        </w:trPr>
        <w:tc>
          <w:tcPr>
            <w:tcW w:w="1457" w:type="dxa"/>
            <w:shd w:val="clear" w:color="auto" w:fill="auto"/>
          </w:tcPr>
          <w:p w:rsidR="000D1AC9" w:rsidRPr="00BB3BE3" w:rsidRDefault="000D1AC9" w:rsidP="009B055A">
            <w:pPr>
              <w:spacing w:line="600" w:lineRule="auto"/>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804" w:type="dxa"/>
            <w:shd w:val="clear" w:color="auto" w:fill="auto"/>
          </w:tcPr>
          <w:p w:rsidR="000D1AC9" w:rsidRPr="00BB3BE3" w:rsidRDefault="000D1AC9" w:rsidP="009B055A">
            <w:pPr>
              <w:spacing w:line="600" w:lineRule="auto"/>
              <w:ind w:firstLine="0"/>
              <w:jc w:val="left"/>
              <w:rPr>
                <w:rFonts w:eastAsia="Times New Roman" w:cs="Times New Roman"/>
                <w:szCs w:val="24"/>
                <w:lang w:eastAsia="tr-TR"/>
              </w:rPr>
            </w:pPr>
            <w:r>
              <w:rPr>
                <w:rFonts w:eastAsia="Times New Roman" w:cs="Times New Roman"/>
                <w:szCs w:val="24"/>
                <w:lang w:eastAsia="tr-TR"/>
              </w:rPr>
              <w:t xml:space="preserve">: Prof.Dr. Tülin KARAGENÇ </w:t>
            </w:r>
            <w:r w:rsidRPr="00BB3BE3">
              <w:rPr>
                <w:rFonts w:eastAsia="Times New Roman" w:cs="Times New Roman"/>
                <w:szCs w:val="24"/>
                <w:lang w:eastAsia="tr-TR"/>
              </w:rPr>
              <w:t xml:space="preserve">     </w:t>
            </w:r>
          </w:p>
        </w:tc>
        <w:tc>
          <w:tcPr>
            <w:tcW w:w="3494" w:type="dxa"/>
            <w:shd w:val="clear" w:color="auto" w:fill="auto"/>
          </w:tcPr>
          <w:p w:rsidR="000D1AC9" w:rsidRPr="006A722B" w:rsidRDefault="000D1AC9" w:rsidP="009B055A">
            <w:pPr>
              <w:spacing w:line="600" w:lineRule="auto"/>
              <w:ind w:firstLine="0"/>
              <w:rPr>
                <w:rFonts w:eastAsia="Times New Roman" w:cs="Times New Roman"/>
                <w:szCs w:val="24"/>
                <w:lang w:eastAsia="tr-TR"/>
              </w:rPr>
            </w:pPr>
            <w:r>
              <w:rPr>
                <w:rFonts w:eastAsia="Times New Roman" w:cs="Times New Roman"/>
                <w:szCs w:val="24"/>
                <w:lang w:eastAsia="tr-TR"/>
              </w:rPr>
              <w:t>Adnan Menderes Üniversitesi</w:t>
            </w:r>
            <w:r w:rsidRPr="00BB3BE3">
              <w:rPr>
                <w:rFonts w:eastAsia="Times New Roman" w:cs="Times New Roman"/>
                <w:szCs w:val="24"/>
                <w:lang w:eastAsia="tr-TR"/>
              </w:rPr>
              <w:t xml:space="preserve">  </w:t>
            </w:r>
          </w:p>
        </w:tc>
        <w:tc>
          <w:tcPr>
            <w:tcW w:w="910" w:type="dxa"/>
            <w:shd w:val="clear" w:color="auto" w:fill="auto"/>
          </w:tcPr>
          <w:p w:rsidR="000D1AC9" w:rsidRDefault="000D1AC9" w:rsidP="009B055A">
            <w:pPr>
              <w:ind w:firstLine="0"/>
            </w:pPr>
          </w:p>
        </w:tc>
      </w:tr>
      <w:tr w:rsidR="000D1AC9" w:rsidTr="009B055A">
        <w:trPr>
          <w:trHeight w:val="554"/>
        </w:trPr>
        <w:tc>
          <w:tcPr>
            <w:tcW w:w="1457" w:type="dxa"/>
            <w:shd w:val="clear" w:color="auto" w:fill="auto"/>
          </w:tcPr>
          <w:p w:rsidR="000D1AC9" w:rsidRPr="00BB3BE3" w:rsidRDefault="000D1AC9" w:rsidP="009B055A">
            <w:pPr>
              <w:spacing w:line="600" w:lineRule="auto"/>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804" w:type="dxa"/>
            <w:shd w:val="clear" w:color="auto" w:fill="auto"/>
          </w:tcPr>
          <w:p w:rsidR="000D1AC9" w:rsidRPr="00BB3BE3" w:rsidRDefault="000D1AC9" w:rsidP="009B055A">
            <w:pPr>
              <w:spacing w:line="600" w:lineRule="auto"/>
              <w:ind w:firstLine="0"/>
              <w:jc w:val="left"/>
              <w:rPr>
                <w:rFonts w:eastAsia="Times New Roman" w:cs="Times New Roman"/>
                <w:szCs w:val="24"/>
                <w:lang w:eastAsia="tr-TR"/>
              </w:rPr>
            </w:pPr>
            <w:r>
              <w:rPr>
                <w:rFonts w:eastAsia="Times New Roman" w:cs="Times New Roman"/>
                <w:szCs w:val="24"/>
                <w:lang w:eastAsia="tr-TR"/>
              </w:rPr>
              <w:t xml:space="preserve">: Prof.Dr. Zafer BULUT </w:t>
            </w:r>
            <w:r w:rsidRPr="00BB3BE3">
              <w:rPr>
                <w:rFonts w:eastAsia="Times New Roman" w:cs="Times New Roman"/>
                <w:szCs w:val="24"/>
                <w:lang w:eastAsia="tr-TR"/>
              </w:rPr>
              <w:t xml:space="preserve">     </w:t>
            </w:r>
          </w:p>
        </w:tc>
        <w:tc>
          <w:tcPr>
            <w:tcW w:w="3494" w:type="dxa"/>
            <w:shd w:val="clear" w:color="auto" w:fill="auto"/>
          </w:tcPr>
          <w:p w:rsidR="000D1AC9" w:rsidRPr="006A722B" w:rsidRDefault="000D1AC9" w:rsidP="009B055A">
            <w:pPr>
              <w:spacing w:line="600" w:lineRule="auto"/>
              <w:ind w:firstLine="0"/>
              <w:rPr>
                <w:rFonts w:eastAsia="Times New Roman" w:cs="Times New Roman"/>
                <w:szCs w:val="24"/>
                <w:lang w:eastAsia="tr-TR"/>
              </w:rPr>
            </w:pPr>
            <w:r>
              <w:rPr>
                <w:rFonts w:eastAsia="Times New Roman" w:cs="Times New Roman"/>
                <w:szCs w:val="24"/>
                <w:lang w:eastAsia="tr-TR"/>
              </w:rPr>
              <w:t>Selçuk Üniversitesi</w:t>
            </w:r>
            <w:r w:rsidRPr="00BB3BE3">
              <w:rPr>
                <w:rFonts w:eastAsia="Times New Roman" w:cs="Times New Roman"/>
                <w:szCs w:val="24"/>
                <w:lang w:eastAsia="tr-TR"/>
              </w:rPr>
              <w:t xml:space="preserve">  </w:t>
            </w:r>
          </w:p>
        </w:tc>
        <w:tc>
          <w:tcPr>
            <w:tcW w:w="910" w:type="dxa"/>
            <w:shd w:val="clear" w:color="auto" w:fill="auto"/>
          </w:tcPr>
          <w:p w:rsidR="000D1AC9" w:rsidRDefault="000D1AC9" w:rsidP="009B055A">
            <w:pPr>
              <w:ind w:firstLine="0"/>
            </w:pPr>
          </w:p>
        </w:tc>
      </w:tr>
    </w:tbl>
    <w:p w:rsidR="004C1241" w:rsidRPr="00BB3BE3" w:rsidRDefault="004C1241" w:rsidP="004C1241">
      <w:pPr>
        <w:ind w:left="4956" w:firstLine="0"/>
        <w:rPr>
          <w:rFonts w:eastAsia="Times New Roman" w:cs="Times New Roman"/>
          <w:szCs w:val="24"/>
          <w:lang w:eastAsia="tr-TR"/>
        </w:rPr>
      </w:pPr>
    </w:p>
    <w:p w:rsidR="004C1241" w:rsidRDefault="004C1241" w:rsidP="004C1241">
      <w:pPr>
        <w:ind w:firstLine="0"/>
        <w:rPr>
          <w:rFonts w:eastAsia="Times New Roman" w:cs="Times New Roman"/>
          <w:szCs w:val="24"/>
          <w:lang w:eastAsia="tr-TR"/>
        </w:rPr>
      </w:pPr>
    </w:p>
    <w:p w:rsidR="004C1241" w:rsidRPr="00BB3BE3" w:rsidRDefault="004C1241" w:rsidP="004C1241">
      <w:pPr>
        <w:ind w:firstLine="0"/>
        <w:rPr>
          <w:rFonts w:eastAsia="Times New Roman" w:cs="Times New Roman"/>
          <w:szCs w:val="24"/>
          <w:lang w:eastAsia="tr-TR"/>
        </w:rPr>
      </w:pPr>
      <w:r w:rsidRPr="00BB3BE3">
        <w:rPr>
          <w:rFonts w:eastAsia="Times New Roman" w:cs="Times New Roman"/>
          <w:szCs w:val="24"/>
          <w:lang w:eastAsia="tr-TR"/>
        </w:rPr>
        <w:t xml:space="preserve">ONAY: </w:t>
      </w:r>
    </w:p>
    <w:p w:rsidR="004C1241" w:rsidRPr="00BB3BE3" w:rsidRDefault="004C1241" w:rsidP="004C1241">
      <w:pPr>
        <w:autoSpaceDE w:val="0"/>
        <w:autoSpaceDN w:val="0"/>
        <w:adjustRightInd w:val="0"/>
        <w:spacing w:line="288" w:lineRule="auto"/>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tarih ve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sayılı oturumunda alınan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nolu Yönetim Kurulu kararıyla kabul edilmiştir. </w:t>
      </w:r>
    </w:p>
    <w:p w:rsidR="004C1241" w:rsidRPr="00BB3BE3" w:rsidRDefault="004C1241" w:rsidP="004C1241">
      <w:pPr>
        <w:autoSpaceDE w:val="0"/>
        <w:autoSpaceDN w:val="0"/>
        <w:adjustRightInd w:val="0"/>
        <w:spacing w:line="240" w:lineRule="auto"/>
        <w:ind w:firstLine="0"/>
        <w:rPr>
          <w:rFonts w:eastAsia="Times New Roman" w:cs="Times New Roman"/>
          <w:szCs w:val="24"/>
          <w:lang w:eastAsia="tr-TR"/>
        </w:rPr>
      </w:pPr>
    </w:p>
    <w:p w:rsidR="004C1241" w:rsidRDefault="004C1241" w:rsidP="005A107C">
      <w:pPr>
        <w:ind w:firstLine="0"/>
        <w:rPr>
          <w:rFonts w:eastAsia="Times New Roman" w:cs="Times New Roman"/>
          <w:szCs w:val="24"/>
          <w:lang w:eastAsia="tr-TR"/>
        </w:rPr>
      </w:pPr>
    </w:p>
    <w:p w:rsidR="00F067A8" w:rsidRPr="00BB3BE3" w:rsidRDefault="00F067A8" w:rsidP="004C1241">
      <w:pPr>
        <w:ind w:firstLine="0"/>
        <w:jc w:val="center"/>
        <w:rPr>
          <w:rFonts w:eastAsia="Times New Roman" w:cs="Times New Roman"/>
          <w:szCs w:val="24"/>
          <w:lang w:eastAsia="tr-TR"/>
        </w:rPr>
      </w:pPr>
    </w:p>
    <w:p w:rsidR="004C1241" w:rsidRPr="00BB3BE3" w:rsidRDefault="004C1241" w:rsidP="001F5670">
      <w:pPr>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0D1AC9">
        <w:rPr>
          <w:rFonts w:eastAsia="Times New Roman" w:cs="Times New Roman"/>
          <w:szCs w:val="24"/>
          <w:lang w:eastAsia="tr-TR"/>
        </w:rPr>
        <w:t xml:space="preserve">                       </w:t>
      </w:r>
      <w:r w:rsidR="001F5670">
        <w:rPr>
          <w:rFonts w:eastAsia="Times New Roman" w:cs="Times New Roman"/>
          <w:szCs w:val="24"/>
          <w:lang w:eastAsia="tr-TR"/>
        </w:rPr>
        <w:t xml:space="preserve">  </w:t>
      </w:r>
      <w:r w:rsidR="000D1AC9">
        <w:rPr>
          <w:rFonts w:eastAsia="Times New Roman" w:cs="Times New Roman"/>
          <w:szCs w:val="24"/>
          <w:lang w:eastAsia="tr-TR"/>
        </w:rPr>
        <w:t>Prof. Dr. Süleyman AYPAK</w:t>
      </w:r>
      <w:r w:rsidRPr="00BB3BE3">
        <w:rPr>
          <w:rFonts w:eastAsia="Times New Roman" w:cs="Times New Roman"/>
          <w:szCs w:val="24"/>
          <w:lang w:eastAsia="tr-TR"/>
        </w:rPr>
        <w:t xml:space="preserve">          </w:t>
      </w:r>
    </w:p>
    <w:p w:rsidR="004C1241" w:rsidRPr="00BB3BE3" w:rsidRDefault="004C1241" w:rsidP="004C1241">
      <w:pPr>
        <w:ind w:firstLine="0"/>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71057B">
        <w:rPr>
          <w:rFonts w:eastAsia="Times New Roman" w:cs="Times New Roman"/>
          <w:szCs w:val="24"/>
          <w:lang w:eastAsia="tr-TR"/>
        </w:rPr>
        <w:t xml:space="preserve">              </w:t>
      </w:r>
      <w:r w:rsidR="009E298B">
        <w:rPr>
          <w:rFonts w:eastAsia="Times New Roman" w:cs="Times New Roman"/>
          <w:szCs w:val="24"/>
          <w:lang w:eastAsia="tr-TR"/>
        </w:rPr>
        <w:t xml:space="preserve">       </w:t>
      </w:r>
      <w:r w:rsidRPr="00BB3BE3">
        <w:rPr>
          <w:rFonts w:eastAsia="Times New Roman" w:cs="Times New Roman"/>
          <w:szCs w:val="24"/>
          <w:lang w:eastAsia="tr-TR"/>
        </w:rPr>
        <w:t xml:space="preserve">Enstitü Müdürü    </w:t>
      </w:r>
    </w:p>
    <w:bookmarkEnd w:id="10"/>
    <w:bookmarkEnd w:id="11"/>
    <w:bookmarkEnd w:id="12"/>
    <w:bookmarkEnd w:id="13"/>
    <w:p w:rsidR="007F31FD" w:rsidRDefault="007F31FD" w:rsidP="004872FC">
      <w:pPr>
        <w:ind w:firstLine="0"/>
        <w:jc w:val="center"/>
        <w:rPr>
          <w:rFonts w:eastAsia="Times New Roman" w:cs="Times New Roman"/>
          <w:szCs w:val="24"/>
          <w:lang w:eastAsia="tr-TR"/>
        </w:rPr>
      </w:pPr>
    </w:p>
    <w:p w:rsidR="000D1AC9" w:rsidRDefault="000D1AC9" w:rsidP="004872FC">
      <w:pPr>
        <w:ind w:firstLine="0"/>
        <w:jc w:val="center"/>
        <w:rPr>
          <w:rFonts w:eastAsia="Times New Roman" w:cs="Times New Roman"/>
          <w:szCs w:val="24"/>
          <w:lang w:eastAsia="tr-TR"/>
        </w:rPr>
      </w:pPr>
    </w:p>
    <w:p w:rsidR="000D1AC9" w:rsidRDefault="000D1AC9" w:rsidP="004872FC">
      <w:pPr>
        <w:ind w:firstLine="0"/>
        <w:jc w:val="center"/>
        <w:rPr>
          <w:rFonts w:eastAsia="Times New Roman" w:cs="Times New Roman"/>
          <w:szCs w:val="24"/>
          <w:lang w:eastAsia="tr-TR"/>
        </w:rPr>
      </w:pPr>
    </w:p>
    <w:p w:rsidR="004B4F65" w:rsidRPr="004557D9" w:rsidRDefault="004557D9" w:rsidP="004557D9">
      <w:pPr>
        <w:jc w:val="center"/>
        <w:rPr>
          <w:b/>
          <w:noProof/>
          <w:sz w:val="28"/>
        </w:rPr>
      </w:pPr>
      <w:r w:rsidRPr="004557D9">
        <w:rPr>
          <w:b/>
          <w:noProof/>
          <w:sz w:val="28"/>
        </w:rPr>
        <w:lastRenderedPageBreak/>
        <w:t>TEŞEKKÜR</w:t>
      </w:r>
    </w:p>
    <w:p w:rsidR="00020870" w:rsidRDefault="00020870" w:rsidP="004557D9">
      <w:pPr>
        <w:rPr>
          <w:noProof/>
        </w:rPr>
      </w:pPr>
    </w:p>
    <w:p w:rsidR="004557D9" w:rsidRDefault="004557D9" w:rsidP="004557D9">
      <w:pPr>
        <w:rPr>
          <w:noProof/>
        </w:rPr>
      </w:pPr>
    </w:p>
    <w:p w:rsidR="00E25DC9" w:rsidRDefault="00F067A8" w:rsidP="004557D9">
      <w:pPr>
        <w:rPr>
          <w:lang w:eastAsia="tr-TR"/>
        </w:rPr>
      </w:pPr>
      <w:r>
        <w:rPr>
          <w:lang w:eastAsia="tr-TR"/>
        </w:rPr>
        <w:t>Doktora</w:t>
      </w:r>
      <w:r w:rsidR="004B4F65" w:rsidRPr="004B4F65">
        <w:rPr>
          <w:lang w:eastAsia="tr-TR"/>
        </w:rPr>
        <w:t xml:space="preserve"> </w:t>
      </w:r>
      <w:r w:rsidR="00E25DC9">
        <w:rPr>
          <w:lang w:eastAsia="tr-TR"/>
        </w:rPr>
        <w:t xml:space="preserve">eğitimim boyunca akademik anlamda yetişmemi ve ilerlememi </w:t>
      </w:r>
      <w:r w:rsidR="00052814">
        <w:rPr>
          <w:lang w:eastAsia="tr-TR"/>
        </w:rPr>
        <w:t>sağlayan</w:t>
      </w:r>
      <w:r w:rsidR="0088378A">
        <w:rPr>
          <w:lang w:eastAsia="tr-TR"/>
        </w:rPr>
        <w:t>;</w:t>
      </w:r>
      <w:r w:rsidR="00E25DC9">
        <w:rPr>
          <w:lang w:eastAsia="tr-TR"/>
        </w:rPr>
        <w:t xml:space="preserve"> bana </w:t>
      </w:r>
      <w:r w:rsidR="0088378A">
        <w:rPr>
          <w:lang w:eastAsia="tr-TR"/>
        </w:rPr>
        <w:t>yeni bakış açıları kazandıran;</w:t>
      </w:r>
      <w:r w:rsidR="00E25DC9">
        <w:rPr>
          <w:lang w:eastAsia="tr-TR"/>
        </w:rPr>
        <w:t xml:space="preserve"> </w:t>
      </w:r>
      <w:r w:rsidR="004B4F65" w:rsidRPr="004B4F65">
        <w:rPr>
          <w:lang w:eastAsia="tr-TR"/>
        </w:rPr>
        <w:t xml:space="preserve"> ilgi</w:t>
      </w:r>
      <w:r w:rsidR="00AE2614">
        <w:rPr>
          <w:lang w:eastAsia="tr-TR"/>
        </w:rPr>
        <w:t>,</w:t>
      </w:r>
      <w:r w:rsidR="004B4F65" w:rsidRPr="004B4F65">
        <w:rPr>
          <w:lang w:eastAsia="tr-TR"/>
        </w:rPr>
        <w:t xml:space="preserve"> yardım ve hoşgörüsünü </w:t>
      </w:r>
      <w:r w:rsidR="00E25DC9">
        <w:rPr>
          <w:lang w:eastAsia="tr-TR"/>
        </w:rPr>
        <w:t xml:space="preserve">hiçbir zaman </w:t>
      </w:r>
      <w:r w:rsidR="004B4F65" w:rsidRPr="004B4F65">
        <w:rPr>
          <w:lang w:eastAsia="tr-TR"/>
        </w:rPr>
        <w:t xml:space="preserve">esirgemeyen </w:t>
      </w:r>
      <w:r w:rsidR="00E25DC9">
        <w:rPr>
          <w:lang w:eastAsia="tr-TR"/>
        </w:rPr>
        <w:t xml:space="preserve">tez </w:t>
      </w:r>
      <w:r w:rsidR="004B4F65" w:rsidRPr="004B4F65">
        <w:rPr>
          <w:lang w:eastAsia="tr-TR"/>
        </w:rPr>
        <w:t xml:space="preserve">danışmanım </w:t>
      </w:r>
      <w:r w:rsidR="00E25DC9">
        <w:rPr>
          <w:lang w:eastAsia="tr-TR"/>
        </w:rPr>
        <w:t xml:space="preserve">değerli hocam </w:t>
      </w:r>
      <w:r w:rsidRPr="00F067A8">
        <w:rPr>
          <w:lang w:eastAsia="tr-TR"/>
        </w:rPr>
        <w:t>Prof. Dr. Ayşegül BİLDİK</w:t>
      </w:r>
      <w:r>
        <w:rPr>
          <w:lang w:eastAsia="tr-TR"/>
        </w:rPr>
        <w:t>'e</w:t>
      </w:r>
      <w:r w:rsidR="004B4F65" w:rsidRPr="004B4F65">
        <w:rPr>
          <w:lang w:eastAsia="tr-TR"/>
        </w:rPr>
        <w:t xml:space="preserve"> </w:t>
      </w:r>
      <w:r w:rsidR="00E25DC9">
        <w:rPr>
          <w:lang w:eastAsia="tr-TR"/>
        </w:rPr>
        <w:t>sonsuz teşekkürlerimi sunarım</w:t>
      </w:r>
      <w:r w:rsidR="004B4F65" w:rsidRPr="004B4F65">
        <w:rPr>
          <w:lang w:eastAsia="tr-TR"/>
        </w:rPr>
        <w:t xml:space="preserve">. </w:t>
      </w:r>
    </w:p>
    <w:p w:rsidR="00052814" w:rsidRPr="0062186F" w:rsidRDefault="00E25DC9" w:rsidP="004557D9">
      <w:pPr>
        <w:rPr>
          <w:lang w:eastAsia="tr-TR"/>
        </w:rPr>
      </w:pPr>
      <w:r>
        <w:rPr>
          <w:lang w:eastAsia="tr-TR"/>
        </w:rPr>
        <w:t xml:space="preserve">Eğitimim süresince </w:t>
      </w:r>
      <w:r w:rsidR="004B4F65" w:rsidRPr="004B4F65">
        <w:rPr>
          <w:lang w:eastAsia="tr-TR"/>
        </w:rPr>
        <w:t xml:space="preserve">her konuda </w:t>
      </w:r>
      <w:r w:rsidR="00665A98">
        <w:rPr>
          <w:lang w:eastAsia="tr-TR"/>
        </w:rPr>
        <w:t xml:space="preserve">bilgi ve birikimlerinden faydalandığım, </w:t>
      </w:r>
      <w:r w:rsidR="00640406">
        <w:rPr>
          <w:lang w:eastAsia="tr-TR"/>
        </w:rPr>
        <w:t>sonsuz destekleriyle gelişmeme katkı sağlayan</w:t>
      </w:r>
      <w:r w:rsidR="00020870" w:rsidRPr="004B4F65">
        <w:rPr>
          <w:lang w:eastAsia="tr-TR"/>
        </w:rPr>
        <w:t xml:space="preserve"> </w:t>
      </w:r>
      <w:r w:rsidR="00052814" w:rsidRPr="0062186F">
        <w:rPr>
          <w:lang w:eastAsia="tr-TR"/>
        </w:rPr>
        <w:t>Aydın Adnan Menderes Üniversitesi Veteriner Fakültesi Biyokimya Anabilim Dal</w:t>
      </w:r>
      <w:r w:rsidR="00640406" w:rsidRPr="0062186F">
        <w:rPr>
          <w:lang w:eastAsia="tr-TR"/>
        </w:rPr>
        <w:t>ı</w:t>
      </w:r>
      <w:r w:rsidR="00052814" w:rsidRPr="0062186F">
        <w:rPr>
          <w:lang w:eastAsia="tr-TR"/>
        </w:rPr>
        <w:t xml:space="preserve">’nın değerli öğretim üyeleri Prof. Dr. Funda KIRAL, Prof. Dr. Pınar Alkım ULUTAŞ ve Doç. Dr. Serap ÜNÜBOL AYPAK’a </w:t>
      </w:r>
      <w:r w:rsidR="0002746D" w:rsidRPr="0062186F">
        <w:rPr>
          <w:lang w:eastAsia="tr-TR"/>
        </w:rPr>
        <w:t>çok teşekkür ederim</w:t>
      </w:r>
      <w:r w:rsidR="00640406" w:rsidRPr="0062186F">
        <w:rPr>
          <w:lang w:eastAsia="tr-TR"/>
        </w:rPr>
        <w:t>.</w:t>
      </w:r>
    </w:p>
    <w:p w:rsidR="00052814" w:rsidRPr="0062186F" w:rsidRDefault="00052814" w:rsidP="004557D9">
      <w:pPr>
        <w:rPr>
          <w:lang w:eastAsia="tr-TR"/>
        </w:rPr>
      </w:pPr>
      <w:r>
        <w:rPr>
          <w:lang w:eastAsia="tr-TR"/>
        </w:rPr>
        <w:t>Tez çalışmamın tüm aşamalarında emeği geçen, karşılaştığım zorluklarda her zaman desteğini omzumda hissettiğim sevgili arkadaşım</w:t>
      </w:r>
      <w:r w:rsidR="00665A98">
        <w:rPr>
          <w:lang w:eastAsia="tr-TR"/>
        </w:rPr>
        <w:t xml:space="preserve"> </w:t>
      </w:r>
      <w:proofErr w:type="gramStart"/>
      <w:r>
        <w:rPr>
          <w:lang w:eastAsia="tr-TR"/>
        </w:rPr>
        <w:t>Arş.Gör</w:t>
      </w:r>
      <w:proofErr w:type="gramEnd"/>
      <w:r>
        <w:rPr>
          <w:lang w:eastAsia="tr-TR"/>
        </w:rPr>
        <w:t>.Dr</w:t>
      </w:r>
      <w:r w:rsidR="009A447E">
        <w:rPr>
          <w:lang w:eastAsia="tr-TR"/>
        </w:rPr>
        <w:t>.</w:t>
      </w:r>
      <w:r w:rsidR="00570A68">
        <w:rPr>
          <w:lang w:eastAsia="tr-TR"/>
        </w:rPr>
        <w:t xml:space="preserve"> </w:t>
      </w:r>
      <w:r>
        <w:rPr>
          <w:lang w:eastAsia="tr-TR"/>
        </w:rPr>
        <w:t>Gamze Sevri EKREN</w:t>
      </w:r>
      <w:r w:rsidR="00B96BCE">
        <w:rPr>
          <w:lang w:eastAsia="tr-TR"/>
        </w:rPr>
        <w:t xml:space="preserve"> AŞICI’ya</w:t>
      </w:r>
      <w:r>
        <w:rPr>
          <w:lang w:eastAsia="tr-TR"/>
        </w:rPr>
        <w:t xml:space="preserve"> </w:t>
      </w:r>
      <w:r w:rsidR="00640406">
        <w:rPr>
          <w:lang w:eastAsia="tr-TR"/>
        </w:rPr>
        <w:t>en içten teşekkürlerimi sunarım.</w:t>
      </w:r>
    </w:p>
    <w:p w:rsidR="00E53BC3" w:rsidRDefault="00640406" w:rsidP="00D13A9C">
      <w:pPr>
        <w:rPr>
          <w:lang w:eastAsia="tr-TR"/>
        </w:rPr>
      </w:pPr>
      <w:r>
        <w:rPr>
          <w:lang w:eastAsia="tr-TR"/>
        </w:rPr>
        <w:t xml:space="preserve">Doktora süresince </w:t>
      </w:r>
      <w:r w:rsidR="00F934E2" w:rsidRPr="0062186F">
        <w:rPr>
          <w:lang w:eastAsia="tr-TR"/>
        </w:rPr>
        <w:t xml:space="preserve">her daim yanımda olup </w:t>
      </w:r>
      <w:r w:rsidR="00E53BC3" w:rsidRPr="0062186F">
        <w:rPr>
          <w:lang w:eastAsia="tr-TR"/>
        </w:rPr>
        <w:t>bana cesaret ve güç aşılayan</w:t>
      </w:r>
      <w:r w:rsidR="00421BF9" w:rsidRPr="0062186F">
        <w:rPr>
          <w:lang w:eastAsia="tr-TR"/>
        </w:rPr>
        <w:t xml:space="preserve">, </w:t>
      </w:r>
      <w:r w:rsidR="00E53BC3" w:rsidRPr="0062186F">
        <w:rPr>
          <w:lang w:eastAsia="tr-TR"/>
        </w:rPr>
        <w:t>ç</w:t>
      </w:r>
      <w:r w:rsidR="002D57C4" w:rsidRPr="0062186F">
        <w:rPr>
          <w:lang w:eastAsia="tr-TR"/>
        </w:rPr>
        <w:t xml:space="preserve">alışma gücü ve </w:t>
      </w:r>
      <w:proofErr w:type="gramStart"/>
      <w:r w:rsidR="002D57C4" w:rsidRPr="0062186F">
        <w:rPr>
          <w:lang w:eastAsia="tr-TR"/>
        </w:rPr>
        <w:t>motivasyonumu</w:t>
      </w:r>
      <w:r w:rsidR="00E53BC3" w:rsidRPr="0062186F">
        <w:rPr>
          <w:lang w:eastAsia="tr-TR"/>
        </w:rPr>
        <w:t>n</w:t>
      </w:r>
      <w:proofErr w:type="gramEnd"/>
      <w:r w:rsidR="00E53BC3" w:rsidRPr="0062186F">
        <w:rPr>
          <w:lang w:eastAsia="tr-TR"/>
        </w:rPr>
        <w:t xml:space="preserve"> yükselmesine </w:t>
      </w:r>
      <w:r w:rsidR="002D57C4" w:rsidRPr="0062186F">
        <w:rPr>
          <w:lang w:eastAsia="tr-TR"/>
        </w:rPr>
        <w:t>katkı sağlayan</w:t>
      </w:r>
      <w:r w:rsidR="00CD7E88" w:rsidRPr="0062186F">
        <w:rPr>
          <w:lang w:eastAsia="tr-TR"/>
        </w:rPr>
        <w:t xml:space="preserve"> tüm değerli dostlarıma</w:t>
      </w:r>
      <w:r w:rsidR="00421BF9" w:rsidRPr="0062186F">
        <w:rPr>
          <w:lang w:eastAsia="tr-TR"/>
        </w:rPr>
        <w:t xml:space="preserve"> ve sevdiklerime</w:t>
      </w:r>
      <w:r w:rsidR="00422D0B" w:rsidRPr="0062186F">
        <w:rPr>
          <w:lang w:eastAsia="tr-TR"/>
        </w:rPr>
        <w:t xml:space="preserve"> </w:t>
      </w:r>
      <w:r w:rsidR="00E53BC3">
        <w:rPr>
          <w:lang w:eastAsia="tr-TR"/>
        </w:rPr>
        <w:t>teşekkürü bir borç bilirim.</w:t>
      </w:r>
      <w:r>
        <w:rPr>
          <w:lang w:eastAsia="tr-TR"/>
        </w:rPr>
        <w:t xml:space="preserve"> </w:t>
      </w:r>
    </w:p>
    <w:p w:rsidR="004B4F65" w:rsidRPr="004B4F65" w:rsidRDefault="00CD7E88" w:rsidP="00D13A9C">
      <w:pPr>
        <w:rPr>
          <w:lang w:eastAsia="tr-TR"/>
        </w:rPr>
      </w:pPr>
      <w:r>
        <w:rPr>
          <w:lang w:eastAsia="tr-TR"/>
        </w:rPr>
        <w:t>Beni bugünlere getiren</w:t>
      </w:r>
      <w:r w:rsidR="00640406">
        <w:rPr>
          <w:lang w:eastAsia="tr-TR"/>
        </w:rPr>
        <w:t xml:space="preserve">, sabır ve desteklerini asla esirgemeyen </w:t>
      </w:r>
      <w:r w:rsidR="007778A5">
        <w:rPr>
          <w:lang w:eastAsia="tr-TR"/>
        </w:rPr>
        <w:t>canım ailemin t</w:t>
      </w:r>
      <w:r w:rsidR="001A72C3">
        <w:rPr>
          <w:lang w:eastAsia="tr-TR"/>
        </w:rPr>
        <w:t>üm</w:t>
      </w:r>
      <w:r w:rsidR="00640406">
        <w:rPr>
          <w:lang w:eastAsia="tr-TR"/>
        </w:rPr>
        <w:t xml:space="preserve"> fertlerine </w:t>
      </w:r>
      <w:r w:rsidR="00E53BC3">
        <w:rPr>
          <w:lang w:eastAsia="tr-TR"/>
        </w:rPr>
        <w:t>çok teşekkür ederim.</w:t>
      </w:r>
    </w:p>
    <w:p w:rsidR="007C54C2" w:rsidRDefault="007C54C2" w:rsidP="006E1F47">
      <w:pPr>
        <w:pStyle w:val="Balk1"/>
      </w:pPr>
    </w:p>
    <w:p w:rsidR="00BB3BE3" w:rsidRDefault="008C1525" w:rsidP="006E1F47">
      <w:pPr>
        <w:pStyle w:val="Balk1"/>
      </w:pPr>
      <w:r>
        <w:br w:type="page"/>
      </w:r>
      <w:bookmarkStart w:id="14" w:name="_Toc488176614"/>
      <w:bookmarkStart w:id="15" w:name="_Hlk9776778"/>
      <w:r w:rsidR="00FB3696" w:rsidRPr="00FB3696">
        <w:lastRenderedPageBreak/>
        <w:t>İÇİNDEKİLER</w:t>
      </w:r>
      <w:bookmarkEnd w:id="14"/>
    </w:p>
    <w:p w:rsidR="00254A76" w:rsidRDefault="00254A76" w:rsidP="00254A76">
      <w:pPr>
        <w:tabs>
          <w:tab w:val="left" w:pos="8325"/>
        </w:tabs>
        <w:ind w:firstLine="142"/>
        <w:rPr>
          <w:rFonts w:cs="Times New Roman"/>
          <w:b/>
          <w:szCs w:val="24"/>
        </w:rPr>
      </w:pPr>
      <w:bookmarkStart w:id="16" w:name="_Toc488176615"/>
      <w:bookmarkEnd w:id="15"/>
    </w:p>
    <w:p w:rsidR="00084DC7" w:rsidRPr="00075BB7" w:rsidRDefault="00084DC7" w:rsidP="00254A76">
      <w:pPr>
        <w:tabs>
          <w:tab w:val="left" w:pos="8325"/>
        </w:tabs>
        <w:ind w:firstLine="142"/>
        <w:rPr>
          <w:rFonts w:cs="Times New Roman"/>
          <w:b/>
          <w:szCs w:val="24"/>
        </w:rPr>
      </w:pPr>
    </w:p>
    <w:p w:rsidR="006A4185" w:rsidRPr="00084DC7" w:rsidRDefault="006A4185" w:rsidP="006A4185">
      <w:pPr>
        <w:pStyle w:val="T2"/>
        <w:rPr>
          <w:b w:val="0"/>
        </w:rPr>
      </w:pPr>
      <w:r w:rsidRPr="00084DC7">
        <w:rPr>
          <w:b w:val="0"/>
        </w:rPr>
        <w:t>KABUL VE ONAY SAYFASI</w:t>
      </w:r>
      <w:r w:rsidRPr="00084DC7">
        <w:rPr>
          <w:b w:val="0"/>
          <w:webHidden/>
        </w:rPr>
        <w:tab/>
        <w:t>i</w:t>
      </w:r>
    </w:p>
    <w:p w:rsidR="006A4185" w:rsidRPr="00084DC7" w:rsidRDefault="006A4185" w:rsidP="006A4185">
      <w:pPr>
        <w:pStyle w:val="T2"/>
        <w:rPr>
          <w:b w:val="0"/>
        </w:rPr>
      </w:pPr>
      <w:r w:rsidRPr="00084DC7">
        <w:rPr>
          <w:b w:val="0"/>
        </w:rPr>
        <w:t>TEŞEKKÜR</w:t>
      </w:r>
      <w:r w:rsidRPr="00084DC7">
        <w:rPr>
          <w:b w:val="0"/>
          <w:webHidden/>
        </w:rPr>
        <w:tab/>
        <w:t>ii</w:t>
      </w:r>
    </w:p>
    <w:p w:rsidR="006A4185" w:rsidRPr="00084DC7" w:rsidRDefault="006A4185" w:rsidP="006A4185">
      <w:pPr>
        <w:pStyle w:val="T2"/>
        <w:rPr>
          <w:b w:val="0"/>
        </w:rPr>
      </w:pPr>
      <w:r w:rsidRPr="00084DC7">
        <w:rPr>
          <w:b w:val="0"/>
        </w:rPr>
        <w:t>İÇİNDEKİLER</w:t>
      </w:r>
      <w:r w:rsidRPr="00084DC7">
        <w:rPr>
          <w:b w:val="0"/>
          <w:webHidden/>
        </w:rPr>
        <w:tab/>
        <w:t>iii</w:t>
      </w:r>
    </w:p>
    <w:p w:rsidR="006A4185" w:rsidRPr="00084DC7" w:rsidRDefault="006A4185" w:rsidP="006A4185">
      <w:pPr>
        <w:pStyle w:val="T2"/>
        <w:rPr>
          <w:b w:val="0"/>
        </w:rPr>
      </w:pPr>
      <w:r w:rsidRPr="00084DC7">
        <w:rPr>
          <w:b w:val="0"/>
        </w:rPr>
        <w:t>SİMGELER VE KISALTMALAR DİZİNİ</w:t>
      </w:r>
      <w:r w:rsidRPr="00084DC7">
        <w:rPr>
          <w:b w:val="0"/>
          <w:webHidden/>
        </w:rPr>
        <w:tab/>
        <w:t>vi</w:t>
      </w:r>
    </w:p>
    <w:p w:rsidR="006A4185" w:rsidRPr="00084DC7" w:rsidRDefault="006A4185" w:rsidP="006A4185">
      <w:pPr>
        <w:pStyle w:val="T2"/>
        <w:rPr>
          <w:b w:val="0"/>
        </w:rPr>
      </w:pPr>
      <w:r w:rsidRPr="00084DC7">
        <w:rPr>
          <w:b w:val="0"/>
        </w:rPr>
        <w:t>ŞEKİLLER DİZİNİ</w:t>
      </w:r>
      <w:r w:rsidRPr="00084DC7">
        <w:rPr>
          <w:b w:val="0"/>
          <w:webHidden/>
        </w:rPr>
        <w:tab/>
      </w:r>
      <w:r w:rsidR="00C22A76">
        <w:rPr>
          <w:b w:val="0"/>
          <w:webHidden/>
        </w:rPr>
        <w:t>x</w:t>
      </w:r>
    </w:p>
    <w:p w:rsidR="006A4185" w:rsidRPr="00084DC7" w:rsidRDefault="006A4185" w:rsidP="006A4185">
      <w:pPr>
        <w:pStyle w:val="T2"/>
        <w:rPr>
          <w:b w:val="0"/>
        </w:rPr>
      </w:pPr>
      <w:r w:rsidRPr="00084DC7">
        <w:rPr>
          <w:b w:val="0"/>
        </w:rPr>
        <w:t>RESİMLER DİZİNİ</w:t>
      </w:r>
      <w:r w:rsidRPr="00084DC7">
        <w:rPr>
          <w:b w:val="0"/>
          <w:webHidden/>
        </w:rPr>
        <w:tab/>
      </w:r>
      <w:r w:rsidR="0026158A">
        <w:rPr>
          <w:b w:val="0"/>
          <w:webHidden/>
        </w:rPr>
        <w:t>xv</w:t>
      </w:r>
      <w:r w:rsidR="00351119">
        <w:rPr>
          <w:b w:val="0"/>
          <w:webHidden/>
        </w:rPr>
        <w:t>i</w:t>
      </w:r>
    </w:p>
    <w:p w:rsidR="006A4185" w:rsidRPr="00084DC7" w:rsidRDefault="006A4185" w:rsidP="006A4185">
      <w:pPr>
        <w:pStyle w:val="T2"/>
        <w:rPr>
          <w:b w:val="0"/>
        </w:rPr>
      </w:pPr>
      <w:r w:rsidRPr="00084DC7">
        <w:rPr>
          <w:b w:val="0"/>
        </w:rPr>
        <w:t>TABLOLAR DİZİNİ</w:t>
      </w:r>
      <w:r w:rsidRPr="00084DC7">
        <w:rPr>
          <w:b w:val="0"/>
          <w:webHidden/>
        </w:rPr>
        <w:tab/>
      </w:r>
      <w:r w:rsidR="0026158A">
        <w:rPr>
          <w:b w:val="0"/>
          <w:webHidden/>
        </w:rPr>
        <w:t>xv</w:t>
      </w:r>
      <w:r w:rsidR="00351119">
        <w:rPr>
          <w:b w:val="0"/>
          <w:webHidden/>
        </w:rPr>
        <w:t>i</w:t>
      </w:r>
      <w:r w:rsidRPr="00084DC7">
        <w:rPr>
          <w:b w:val="0"/>
          <w:webHidden/>
        </w:rPr>
        <w:t>i</w:t>
      </w:r>
    </w:p>
    <w:p w:rsidR="006A4185" w:rsidRPr="00084DC7" w:rsidRDefault="006A4185" w:rsidP="006A4185">
      <w:pPr>
        <w:pStyle w:val="T2"/>
        <w:rPr>
          <w:b w:val="0"/>
        </w:rPr>
      </w:pPr>
      <w:r w:rsidRPr="00084DC7">
        <w:rPr>
          <w:b w:val="0"/>
        </w:rPr>
        <w:t>ÖZET</w:t>
      </w:r>
      <w:r w:rsidRPr="00084DC7">
        <w:rPr>
          <w:b w:val="0"/>
          <w:webHidden/>
        </w:rPr>
        <w:tab/>
        <w:t>x</w:t>
      </w:r>
      <w:r w:rsidR="00680798">
        <w:rPr>
          <w:b w:val="0"/>
          <w:webHidden/>
        </w:rPr>
        <w:t>i</w:t>
      </w:r>
      <w:r w:rsidR="00351119">
        <w:rPr>
          <w:b w:val="0"/>
          <w:webHidden/>
        </w:rPr>
        <w:t>x</w:t>
      </w:r>
    </w:p>
    <w:p w:rsidR="006A4185" w:rsidRPr="00084DC7" w:rsidRDefault="006A4185" w:rsidP="006A4185">
      <w:pPr>
        <w:pStyle w:val="T1"/>
        <w:rPr>
          <w:b w:val="0"/>
        </w:rPr>
      </w:pPr>
      <w:r w:rsidRPr="00084DC7">
        <w:rPr>
          <w:b w:val="0"/>
        </w:rPr>
        <w:t>ABSTRACT</w:t>
      </w:r>
      <w:r w:rsidRPr="00084DC7">
        <w:rPr>
          <w:b w:val="0"/>
          <w:webHidden/>
        </w:rPr>
        <w:tab/>
        <w:t>x</w:t>
      </w:r>
      <w:r w:rsidR="0026158A">
        <w:rPr>
          <w:b w:val="0"/>
          <w:webHidden/>
        </w:rPr>
        <w:t>x</w:t>
      </w:r>
      <w:r w:rsidR="00351119">
        <w:rPr>
          <w:b w:val="0"/>
          <w:webHidden/>
        </w:rPr>
        <w:t>i</w:t>
      </w:r>
    </w:p>
    <w:p w:rsidR="006A4185" w:rsidRPr="00084DC7" w:rsidRDefault="006A4185" w:rsidP="006A4185">
      <w:pPr>
        <w:pStyle w:val="T1"/>
        <w:rPr>
          <w:b w:val="0"/>
        </w:rPr>
      </w:pPr>
      <w:r w:rsidRPr="00084DC7">
        <w:rPr>
          <w:b w:val="0"/>
        </w:rPr>
        <w:t>1. GİRİŞ</w:t>
      </w:r>
      <w:r w:rsidRPr="00084DC7">
        <w:rPr>
          <w:b w:val="0"/>
          <w:webHidden/>
        </w:rPr>
        <w:tab/>
        <w:t>1</w:t>
      </w:r>
    </w:p>
    <w:p w:rsidR="006A4185" w:rsidRPr="00075BB7" w:rsidRDefault="006A4185" w:rsidP="006A4185">
      <w:pPr>
        <w:pStyle w:val="T1"/>
      </w:pPr>
      <w:r w:rsidRPr="00084DC7">
        <w:rPr>
          <w:b w:val="0"/>
        </w:rPr>
        <w:t>2. GENEL BİLGİLER</w:t>
      </w:r>
      <w:r w:rsidRPr="00084DC7">
        <w:rPr>
          <w:b w:val="0"/>
          <w:webHidden/>
        </w:rPr>
        <w:tab/>
        <w:t>3</w:t>
      </w:r>
    </w:p>
    <w:p w:rsidR="006A4185" w:rsidRPr="00075BB7" w:rsidRDefault="006A4185" w:rsidP="006A4185">
      <w:pPr>
        <w:pStyle w:val="T2"/>
        <w:rPr>
          <w:b w:val="0"/>
        </w:rPr>
      </w:pPr>
      <w:r w:rsidRPr="00075BB7">
        <w:rPr>
          <w:b w:val="0"/>
        </w:rPr>
        <w:t>2.1. Kanser</w:t>
      </w:r>
      <w:r w:rsidRPr="00075BB7">
        <w:rPr>
          <w:b w:val="0"/>
          <w:webHidden/>
        </w:rPr>
        <w:tab/>
        <w:t>3</w:t>
      </w:r>
    </w:p>
    <w:p w:rsidR="006A4185" w:rsidRPr="00075BB7" w:rsidRDefault="006A4185" w:rsidP="006A4185">
      <w:pPr>
        <w:pStyle w:val="T2"/>
        <w:rPr>
          <w:b w:val="0"/>
        </w:rPr>
      </w:pPr>
      <w:r w:rsidRPr="00075BB7">
        <w:rPr>
          <w:b w:val="0"/>
        </w:rPr>
        <w:t>2.2</w:t>
      </w:r>
      <w:r w:rsidR="00DE5847">
        <w:rPr>
          <w:b w:val="0"/>
        </w:rPr>
        <w:t>.</w:t>
      </w:r>
      <w:r w:rsidRPr="00075BB7">
        <w:rPr>
          <w:b w:val="0"/>
        </w:rPr>
        <w:t xml:space="preserve"> Kanserin Karakteristik Özellikleri</w:t>
      </w:r>
      <w:r w:rsidRPr="00075BB7">
        <w:rPr>
          <w:b w:val="0"/>
          <w:webHidden/>
        </w:rPr>
        <w:tab/>
        <w:t>3</w:t>
      </w:r>
    </w:p>
    <w:p w:rsidR="006A4185" w:rsidRPr="00075BB7" w:rsidRDefault="006A4185" w:rsidP="006A4185">
      <w:pPr>
        <w:pStyle w:val="T2"/>
        <w:rPr>
          <w:b w:val="0"/>
        </w:rPr>
      </w:pPr>
      <w:r w:rsidRPr="00075BB7">
        <w:rPr>
          <w:b w:val="0"/>
        </w:rPr>
        <w:t>2.3</w:t>
      </w:r>
      <w:r w:rsidR="00DE5847">
        <w:rPr>
          <w:b w:val="0"/>
        </w:rPr>
        <w:t>.</w:t>
      </w:r>
      <w:r w:rsidR="0027555D">
        <w:rPr>
          <w:b w:val="0"/>
        </w:rPr>
        <w:t xml:space="preserve"> Meme K</w:t>
      </w:r>
      <w:r w:rsidRPr="00075BB7">
        <w:rPr>
          <w:b w:val="0"/>
        </w:rPr>
        <w:t>anseri</w:t>
      </w:r>
      <w:r w:rsidRPr="00075BB7">
        <w:rPr>
          <w:b w:val="0"/>
          <w:webHidden/>
        </w:rPr>
        <w:tab/>
        <w:t>5</w:t>
      </w:r>
    </w:p>
    <w:p w:rsidR="006A4185" w:rsidRPr="00075BB7" w:rsidRDefault="006A4185" w:rsidP="006A4185">
      <w:pPr>
        <w:pStyle w:val="T2"/>
        <w:rPr>
          <w:b w:val="0"/>
        </w:rPr>
      </w:pPr>
      <w:r w:rsidRPr="00075BB7">
        <w:rPr>
          <w:b w:val="0"/>
        </w:rPr>
        <w:t>2.3.1 MCF-7 Meme Kanseri Hücre Hattı</w:t>
      </w:r>
      <w:r w:rsidRPr="00075BB7">
        <w:rPr>
          <w:b w:val="0"/>
          <w:webHidden/>
        </w:rPr>
        <w:tab/>
        <w:t>6</w:t>
      </w:r>
    </w:p>
    <w:p w:rsidR="006A4185" w:rsidRPr="00075BB7" w:rsidRDefault="006A4185" w:rsidP="006A4185">
      <w:pPr>
        <w:pStyle w:val="T2"/>
        <w:rPr>
          <w:b w:val="0"/>
        </w:rPr>
      </w:pPr>
      <w:r w:rsidRPr="00075BB7">
        <w:rPr>
          <w:b w:val="0"/>
        </w:rPr>
        <w:t>2.4</w:t>
      </w:r>
      <w:r w:rsidR="00DE5847">
        <w:rPr>
          <w:b w:val="0"/>
        </w:rPr>
        <w:t>.</w:t>
      </w:r>
      <w:r w:rsidRPr="00075BB7">
        <w:rPr>
          <w:b w:val="0"/>
        </w:rPr>
        <w:t xml:space="preserve"> Hücresel Metabolizma</w:t>
      </w:r>
      <w:r w:rsidRPr="00075BB7">
        <w:rPr>
          <w:b w:val="0"/>
          <w:webHidden/>
        </w:rPr>
        <w:tab/>
        <w:t>6</w:t>
      </w:r>
    </w:p>
    <w:p w:rsidR="006A4185" w:rsidRPr="00075BB7" w:rsidRDefault="006A4185" w:rsidP="006A4185">
      <w:pPr>
        <w:pStyle w:val="T2"/>
        <w:rPr>
          <w:b w:val="0"/>
        </w:rPr>
      </w:pPr>
      <w:r w:rsidRPr="00075BB7">
        <w:rPr>
          <w:b w:val="0"/>
        </w:rPr>
        <w:t>2.5</w:t>
      </w:r>
      <w:r w:rsidR="00DE5847">
        <w:rPr>
          <w:b w:val="0"/>
        </w:rPr>
        <w:t>.</w:t>
      </w:r>
      <w:r w:rsidRPr="00075BB7">
        <w:rPr>
          <w:b w:val="0"/>
        </w:rPr>
        <w:t xml:space="preserve"> Glukoz Metabolizması</w:t>
      </w:r>
      <w:r w:rsidRPr="00075BB7">
        <w:rPr>
          <w:b w:val="0"/>
          <w:webHidden/>
        </w:rPr>
        <w:tab/>
        <w:t>7</w:t>
      </w:r>
    </w:p>
    <w:p w:rsidR="006A4185" w:rsidRPr="00075BB7" w:rsidRDefault="006A4185" w:rsidP="006A4185">
      <w:pPr>
        <w:pStyle w:val="T2"/>
        <w:rPr>
          <w:b w:val="0"/>
        </w:rPr>
      </w:pPr>
      <w:r w:rsidRPr="00075BB7">
        <w:rPr>
          <w:b w:val="0"/>
        </w:rPr>
        <w:t>2.5.1</w:t>
      </w:r>
      <w:r w:rsidR="00DE5847">
        <w:rPr>
          <w:b w:val="0"/>
        </w:rPr>
        <w:t>.</w:t>
      </w:r>
      <w:r w:rsidRPr="00075BB7">
        <w:rPr>
          <w:b w:val="0"/>
        </w:rPr>
        <w:t xml:space="preserve"> Glikolizis Akışı ve Regülasyonu</w:t>
      </w:r>
      <w:r w:rsidRPr="00075BB7">
        <w:rPr>
          <w:b w:val="0"/>
          <w:webHidden/>
        </w:rPr>
        <w:tab/>
        <w:t>9</w:t>
      </w:r>
    </w:p>
    <w:p w:rsidR="006A4185" w:rsidRPr="00075BB7" w:rsidRDefault="006A4185" w:rsidP="006A4185">
      <w:pPr>
        <w:pStyle w:val="T2"/>
        <w:rPr>
          <w:b w:val="0"/>
        </w:rPr>
      </w:pPr>
      <w:r w:rsidRPr="00075BB7">
        <w:rPr>
          <w:b w:val="0"/>
        </w:rPr>
        <w:t>2.5.2. Allosterik Regülasyon ve Yüksek Glikolitik Akış</w:t>
      </w:r>
      <w:r w:rsidRPr="00075BB7">
        <w:rPr>
          <w:b w:val="0"/>
          <w:webHidden/>
        </w:rPr>
        <w:tab/>
        <w:t>10</w:t>
      </w:r>
    </w:p>
    <w:p w:rsidR="006A4185" w:rsidRPr="00075BB7" w:rsidRDefault="006A4185" w:rsidP="006A4185">
      <w:pPr>
        <w:pStyle w:val="T2"/>
        <w:rPr>
          <w:b w:val="0"/>
        </w:rPr>
      </w:pPr>
      <w:r w:rsidRPr="00075BB7">
        <w:rPr>
          <w:b w:val="0"/>
        </w:rPr>
        <w:t>2.5.3</w:t>
      </w:r>
      <w:r w:rsidR="00DE5847">
        <w:rPr>
          <w:b w:val="0"/>
        </w:rPr>
        <w:t>.</w:t>
      </w:r>
      <w:r w:rsidRPr="00075BB7">
        <w:rPr>
          <w:b w:val="0"/>
        </w:rPr>
        <w:t xml:space="preserve"> Dallı biyosentetik yollara Glikolitik Akışın Düzenlenmesi</w:t>
      </w:r>
      <w:r w:rsidRPr="00075BB7">
        <w:rPr>
          <w:b w:val="0"/>
          <w:webHidden/>
        </w:rPr>
        <w:tab/>
        <w:t>11</w:t>
      </w:r>
    </w:p>
    <w:p w:rsidR="006A4185" w:rsidRPr="00075BB7" w:rsidRDefault="006A4185" w:rsidP="006A4185">
      <w:pPr>
        <w:pStyle w:val="T2"/>
        <w:rPr>
          <w:b w:val="0"/>
        </w:rPr>
      </w:pPr>
      <w:r w:rsidRPr="00075BB7">
        <w:rPr>
          <w:b w:val="0"/>
        </w:rPr>
        <w:t>2.6</w:t>
      </w:r>
      <w:r w:rsidR="00DE5847">
        <w:rPr>
          <w:b w:val="0"/>
        </w:rPr>
        <w:t>.</w:t>
      </w:r>
      <w:r w:rsidRPr="00075BB7">
        <w:rPr>
          <w:b w:val="0"/>
        </w:rPr>
        <w:t xml:space="preserve"> Kanser Hücrelerinin Enerji Metabolizması</w:t>
      </w:r>
      <w:r w:rsidRPr="00075BB7">
        <w:rPr>
          <w:b w:val="0"/>
          <w:webHidden/>
        </w:rPr>
        <w:tab/>
        <w:t>14</w:t>
      </w:r>
    </w:p>
    <w:p w:rsidR="006A4185" w:rsidRPr="00075BB7" w:rsidRDefault="006A4185" w:rsidP="006A4185">
      <w:pPr>
        <w:pStyle w:val="T2"/>
        <w:rPr>
          <w:b w:val="0"/>
        </w:rPr>
      </w:pPr>
      <w:r w:rsidRPr="00075BB7">
        <w:rPr>
          <w:b w:val="0"/>
        </w:rPr>
        <w:t>2.6.1</w:t>
      </w:r>
      <w:r w:rsidR="00DE5847">
        <w:rPr>
          <w:b w:val="0"/>
        </w:rPr>
        <w:t>.</w:t>
      </w:r>
      <w:r w:rsidRPr="00075BB7">
        <w:rPr>
          <w:b w:val="0"/>
        </w:rPr>
        <w:t xml:space="preserve"> Crabtree Etkisi</w:t>
      </w:r>
      <w:r w:rsidRPr="00075BB7">
        <w:rPr>
          <w:b w:val="0"/>
          <w:webHidden/>
        </w:rPr>
        <w:tab/>
        <w:t>16</w:t>
      </w:r>
    </w:p>
    <w:p w:rsidR="006A4185" w:rsidRPr="00075BB7" w:rsidRDefault="006A4185" w:rsidP="006A4185">
      <w:pPr>
        <w:pStyle w:val="T2"/>
        <w:rPr>
          <w:b w:val="0"/>
        </w:rPr>
      </w:pPr>
      <w:r w:rsidRPr="00075BB7">
        <w:rPr>
          <w:b w:val="0"/>
        </w:rPr>
        <w:t>2.6.2</w:t>
      </w:r>
      <w:r w:rsidR="00DE5847">
        <w:rPr>
          <w:b w:val="0"/>
        </w:rPr>
        <w:t>.</w:t>
      </w:r>
      <w:r w:rsidRPr="00075BB7">
        <w:rPr>
          <w:b w:val="0"/>
        </w:rPr>
        <w:t xml:space="preserve"> Warburg Fenomeni</w:t>
      </w:r>
      <w:r w:rsidRPr="00075BB7">
        <w:rPr>
          <w:b w:val="0"/>
          <w:webHidden/>
        </w:rPr>
        <w:tab/>
        <w:t>17</w:t>
      </w:r>
    </w:p>
    <w:p w:rsidR="006A4185" w:rsidRPr="00075BB7" w:rsidRDefault="006A4185" w:rsidP="006A4185">
      <w:pPr>
        <w:pStyle w:val="T2"/>
        <w:rPr>
          <w:b w:val="0"/>
        </w:rPr>
      </w:pPr>
      <w:r w:rsidRPr="00075BB7">
        <w:rPr>
          <w:b w:val="0"/>
        </w:rPr>
        <w:t>2.7</w:t>
      </w:r>
      <w:r w:rsidR="00DE5847">
        <w:rPr>
          <w:b w:val="0"/>
        </w:rPr>
        <w:t>.</w:t>
      </w:r>
      <w:r w:rsidRPr="00075BB7">
        <w:rPr>
          <w:b w:val="0"/>
        </w:rPr>
        <w:t xml:space="preserve"> Hipoksi ve Kanser</w:t>
      </w:r>
      <w:r w:rsidRPr="00075BB7">
        <w:rPr>
          <w:b w:val="0"/>
          <w:webHidden/>
        </w:rPr>
        <w:tab/>
        <w:t>23</w:t>
      </w:r>
    </w:p>
    <w:p w:rsidR="006A4185" w:rsidRPr="00075BB7" w:rsidRDefault="006A4185" w:rsidP="006A4185">
      <w:pPr>
        <w:pStyle w:val="T2"/>
        <w:rPr>
          <w:b w:val="0"/>
        </w:rPr>
      </w:pPr>
      <w:r w:rsidRPr="00075BB7">
        <w:rPr>
          <w:b w:val="0"/>
        </w:rPr>
        <w:t>2.7.1</w:t>
      </w:r>
      <w:r w:rsidR="00DE5847">
        <w:rPr>
          <w:b w:val="0"/>
        </w:rPr>
        <w:t>.</w:t>
      </w:r>
      <w:r w:rsidR="00351119">
        <w:rPr>
          <w:b w:val="0"/>
        </w:rPr>
        <w:t xml:space="preserve"> Organizmadaki Oksijenin Fizyolojik K</w:t>
      </w:r>
      <w:r w:rsidRPr="00075BB7">
        <w:rPr>
          <w:b w:val="0"/>
        </w:rPr>
        <w:t>onsantrasyonları</w:t>
      </w:r>
      <w:r w:rsidRPr="00075BB7">
        <w:rPr>
          <w:b w:val="0"/>
          <w:webHidden/>
        </w:rPr>
        <w:tab/>
        <w:t>23</w:t>
      </w:r>
    </w:p>
    <w:p w:rsidR="006A4185" w:rsidRPr="00075BB7" w:rsidRDefault="006A4185" w:rsidP="006A4185">
      <w:pPr>
        <w:pStyle w:val="T2"/>
        <w:rPr>
          <w:b w:val="0"/>
        </w:rPr>
      </w:pPr>
      <w:r w:rsidRPr="00075BB7">
        <w:rPr>
          <w:b w:val="0"/>
        </w:rPr>
        <w:t>2.7.2</w:t>
      </w:r>
      <w:r w:rsidR="00DE5847">
        <w:rPr>
          <w:b w:val="0"/>
        </w:rPr>
        <w:t>.</w:t>
      </w:r>
      <w:r w:rsidRPr="00075BB7">
        <w:rPr>
          <w:b w:val="0"/>
        </w:rPr>
        <w:t xml:space="preserve"> Hipoksinin Tanımı</w:t>
      </w:r>
      <w:r w:rsidRPr="00075BB7">
        <w:rPr>
          <w:b w:val="0"/>
          <w:webHidden/>
        </w:rPr>
        <w:tab/>
        <w:t>23</w:t>
      </w:r>
    </w:p>
    <w:p w:rsidR="006A4185" w:rsidRPr="00075BB7" w:rsidRDefault="006A4185" w:rsidP="006A4185">
      <w:pPr>
        <w:pStyle w:val="T2"/>
        <w:rPr>
          <w:b w:val="0"/>
        </w:rPr>
      </w:pPr>
      <w:r w:rsidRPr="00075BB7">
        <w:rPr>
          <w:b w:val="0"/>
        </w:rPr>
        <w:t>2.7.3</w:t>
      </w:r>
      <w:r w:rsidR="00DE5847">
        <w:rPr>
          <w:b w:val="0"/>
        </w:rPr>
        <w:t>.</w:t>
      </w:r>
      <w:r w:rsidRPr="00075BB7">
        <w:rPr>
          <w:b w:val="0"/>
        </w:rPr>
        <w:t xml:space="preserve"> Kanser Gelişiminde Hipoksinin Rolü</w:t>
      </w:r>
      <w:r w:rsidRPr="00075BB7">
        <w:rPr>
          <w:b w:val="0"/>
          <w:webHidden/>
        </w:rPr>
        <w:tab/>
        <w:t>24</w:t>
      </w:r>
    </w:p>
    <w:p w:rsidR="006A4185" w:rsidRPr="00075BB7" w:rsidRDefault="006A4185" w:rsidP="006A4185">
      <w:pPr>
        <w:pStyle w:val="T2"/>
        <w:rPr>
          <w:b w:val="0"/>
        </w:rPr>
      </w:pPr>
      <w:r w:rsidRPr="00075BB7">
        <w:rPr>
          <w:b w:val="0"/>
        </w:rPr>
        <w:t>2.8</w:t>
      </w:r>
      <w:r w:rsidR="00DE5847">
        <w:rPr>
          <w:b w:val="0"/>
        </w:rPr>
        <w:t>.</w:t>
      </w:r>
      <w:r w:rsidRPr="00075BB7">
        <w:rPr>
          <w:b w:val="0"/>
        </w:rPr>
        <w:t xml:space="preserve"> HIF-1 Ailesi</w:t>
      </w:r>
      <w:r w:rsidRPr="00075BB7">
        <w:rPr>
          <w:b w:val="0"/>
          <w:webHidden/>
        </w:rPr>
        <w:tab/>
        <w:t>25</w:t>
      </w:r>
    </w:p>
    <w:p w:rsidR="006A4185" w:rsidRPr="00075BB7" w:rsidRDefault="006A4185" w:rsidP="006A4185">
      <w:pPr>
        <w:pStyle w:val="T2"/>
        <w:rPr>
          <w:b w:val="0"/>
        </w:rPr>
      </w:pPr>
      <w:r w:rsidRPr="00075BB7">
        <w:rPr>
          <w:b w:val="0"/>
        </w:rPr>
        <w:t>2.9</w:t>
      </w:r>
      <w:r w:rsidR="00DE5847">
        <w:rPr>
          <w:b w:val="0"/>
        </w:rPr>
        <w:t>.</w:t>
      </w:r>
      <w:r w:rsidRPr="00075BB7">
        <w:rPr>
          <w:b w:val="0"/>
        </w:rPr>
        <w:t xml:space="preserve"> Warburg Etkisinin Regülasyonu</w:t>
      </w:r>
      <w:r w:rsidRPr="00075BB7">
        <w:rPr>
          <w:b w:val="0"/>
          <w:webHidden/>
        </w:rPr>
        <w:tab/>
        <w:t>29</w:t>
      </w:r>
    </w:p>
    <w:p w:rsidR="006A4185" w:rsidRPr="00075BB7" w:rsidRDefault="006A4185" w:rsidP="006A4185">
      <w:pPr>
        <w:pStyle w:val="T2"/>
        <w:rPr>
          <w:b w:val="0"/>
        </w:rPr>
      </w:pPr>
      <w:r w:rsidRPr="00075BB7">
        <w:rPr>
          <w:b w:val="0"/>
        </w:rPr>
        <w:t>2.9.1</w:t>
      </w:r>
      <w:r w:rsidR="00DE5847">
        <w:rPr>
          <w:b w:val="0"/>
        </w:rPr>
        <w:t>.</w:t>
      </w:r>
      <w:r w:rsidRPr="00075BB7">
        <w:rPr>
          <w:b w:val="0"/>
        </w:rPr>
        <w:t xml:space="preserve"> Warburg Etkisinin Hipoksi ve HIF-1α ile Regülasyonu</w:t>
      </w:r>
      <w:r w:rsidRPr="00075BB7">
        <w:rPr>
          <w:b w:val="0"/>
          <w:webHidden/>
        </w:rPr>
        <w:tab/>
        <w:t>29</w:t>
      </w:r>
    </w:p>
    <w:p w:rsidR="006A4185" w:rsidRPr="00075BB7" w:rsidRDefault="006A4185" w:rsidP="006A4185">
      <w:pPr>
        <w:pStyle w:val="T2"/>
        <w:rPr>
          <w:b w:val="0"/>
        </w:rPr>
      </w:pPr>
      <w:r w:rsidRPr="00075BB7">
        <w:rPr>
          <w:b w:val="0"/>
        </w:rPr>
        <w:t>2.9.2</w:t>
      </w:r>
      <w:r w:rsidR="00DE5847">
        <w:rPr>
          <w:b w:val="0"/>
        </w:rPr>
        <w:t>.</w:t>
      </w:r>
      <w:r w:rsidRPr="00075BB7">
        <w:rPr>
          <w:b w:val="0"/>
        </w:rPr>
        <w:t xml:space="preserve"> Warburg Etkisi’nin Onkogenler ile Regülasyonu</w:t>
      </w:r>
      <w:r w:rsidRPr="00075BB7">
        <w:rPr>
          <w:b w:val="0"/>
          <w:webHidden/>
        </w:rPr>
        <w:tab/>
        <w:t>3</w:t>
      </w:r>
      <w:r w:rsidR="00021402">
        <w:rPr>
          <w:b w:val="0"/>
          <w:webHidden/>
        </w:rPr>
        <w:t>0</w:t>
      </w:r>
    </w:p>
    <w:p w:rsidR="006A4185" w:rsidRPr="00075BB7" w:rsidRDefault="006A4185" w:rsidP="006A4185">
      <w:pPr>
        <w:pStyle w:val="T2"/>
        <w:rPr>
          <w:b w:val="0"/>
        </w:rPr>
      </w:pPr>
      <w:r w:rsidRPr="00075BB7">
        <w:rPr>
          <w:b w:val="0"/>
        </w:rPr>
        <w:lastRenderedPageBreak/>
        <w:t>2.10</w:t>
      </w:r>
      <w:r w:rsidR="00DE5847">
        <w:rPr>
          <w:b w:val="0"/>
        </w:rPr>
        <w:t>.</w:t>
      </w:r>
      <w:r w:rsidRPr="00075BB7">
        <w:rPr>
          <w:b w:val="0"/>
        </w:rPr>
        <w:t xml:space="preserve"> Kanser Teşhis ve Prognozunda Warburg Etkisinin Kullanılması</w:t>
      </w:r>
      <w:r w:rsidRPr="00075BB7">
        <w:rPr>
          <w:b w:val="0"/>
          <w:webHidden/>
        </w:rPr>
        <w:tab/>
        <w:t>33</w:t>
      </w:r>
    </w:p>
    <w:p w:rsidR="006A4185" w:rsidRPr="00075BB7" w:rsidRDefault="006A4185" w:rsidP="006A4185">
      <w:pPr>
        <w:pStyle w:val="T2"/>
        <w:rPr>
          <w:b w:val="0"/>
        </w:rPr>
      </w:pPr>
      <w:r w:rsidRPr="00075BB7">
        <w:rPr>
          <w:b w:val="0"/>
        </w:rPr>
        <w:t>2.11</w:t>
      </w:r>
      <w:r w:rsidR="00DE5847">
        <w:rPr>
          <w:b w:val="0"/>
        </w:rPr>
        <w:t>.</w:t>
      </w:r>
      <w:r w:rsidRPr="00075BB7">
        <w:rPr>
          <w:b w:val="0"/>
        </w:rPr>
        <w:t xml:space="preserve"> Glukoz Taşıyıcıları</w:t>
      </w:r>
      <w:r w:rsidRPr="00075BB7">
        <w:rPr>
          <w:b w:val="0"/>
          <w:webHidden/>
        </w:rPr>
        <w:tab/>
        <w:t>34</w:t>
      </w:r>
    </w:p>
    <w:p w:rsidR="006A4185" w:rsidRPr="00075BB7" w:rsidRDefault="006A4185" w:rsidP="006A4185">
      <w:pPr>
        <w:pStyle w:val="T2"/>
        <w:rPr>
          <w:b w:val="0"/>
        </w:rPr>
      </w:pPr>
      <w:r w:rsidRPr="00075BB7">
        <w:rPr>
          <w:b w:val="0"/>
        </w:rPr>
        <w:t>2.12</w:t>
      </w:r>
      <w:r w:rsidR="00DE5847">
        <w:rPr>
          <w:b w:val="0"/>
        </w:rPr>
        <w:t>.</w:t>
      </w:r>
      <w:r w:rsidRPr="00075BB7">
        <w:rPr>
          <w:b w:val="0"/>
        </w:rPr>
        <w:t xml:space="preserve"> Glikolizin Kontrolünde Rol Oynayan Bazı Metabolik Enzimler</w:t>
      </w:r>
      <w:r w:rsidRPr="00075BB7">
        <w:rPr>
          <w:b w:val="0"/>
          <w:webHidden/>
        </w:rPr>
        <w:tab/>
        <w:t>36</w:t>
      </w:r>
    </w:p>
    <w:p w:rsidR="006A4185" w:rsidRPr="00075BB7" w:rsidRDefault="006A4185" w:rsidP="006A4185">
      <w:pPr>
        <w:pStyle w:val="T2"/>
        <w:rPr>
          <w:b w:val="0"/>
        </w:rPr>
      </w:pPr>
      <w:r w:rsidRPr="00075BB7">
        <w:rPr>
          <w:b w:val="0"/>
        </w:rPr>
        <w:t>2.12.1</w:t>
      </w:r>
      <w:r w:rsidR="00DE5847">
        <w:rPr>
          <w:b w:val="0"/>
        </w:rPr>
        <w:t>.</w:t>
      </w:r>
      <w:r w:rsidRPr="00075BB7">
        <w:rPr>
          <w:b w:val="0"/>
        </w:rPr>
        <w:t xml:space="preserve"> Hekzokinaz-2 (HK2)</w:t>
      </w:r>
      <w:r w:rsidRPr="00075BB7">
        <w:rPr>
          <w:b w:val="0"/>
          <w:webHidden/>
        </w:rPr>
        <w:tab/>
        <w:t>36</w:t>
      </w:r>
    </w:p>
    <w:p w:rsidR="006A4185" w:rsidRPr="00075BB7" w:rsidRDefault="006A4185" w:rsidP="006A4185">
      <w:pPr>
        <w:pStyle w:val="T2"/>
        <w:rPr>
          <w:b w:val="0"/>
        </w:rPr>
      </w:pPr>
      <w:r w:rsidRPr="00075BB7">
        <w:rPr>
          <w:b w:val="0"/>
        </w:rPr>
        <w:t>2.12.2</w:t>
      </w:r>
      <w:r w:rsidR="00DE5847">
        <w:rPr>
          <w:b w:val="0"/>
        </w:rPr>
        <w:t>.</w:t>
      </w:r>
      <w:r w:rsidRPr="00075BB7">
        <w:rPr>
          <w:b w:val="0"/>
        </w:rPr>
        <w:t xml:space="preserve"> Fosfofruktokinaz-1 ve 6-fosfofrukto-2-kinaz /fruktoz-2,6 bifosfataz</w:t>
      </w:r>
      <w:r w:rsidRPr="00075BB7">
        <w:rPr>
          <w:b w:val="0"/>
          <w:webHidden/>
        </w:rPr>
        <w:tab/>
        <w:t>39</w:t>
      </w:r>
    </w:p>
    <w:p w:rsidR="006A4185" w:rsidRPr="00075BB7" w:rsidRDefault="006A4185" w:rsidP="006A4185">
      <w:pPr>
        <w:pStyle w:val="T2"/>
        <w:rPr>
          <w:b w:val="0"/>
        </w:rPr>
      </w:pPr>
      <w:r w:rsidRPr="00075BB7">
        <w:rPr>
          <w:b w:val="0"/>
        </w:rPr>
        <w:t>2.12.3</w:t>
      </w:r>
      <w:r w:rsidR="00DE5847">
        <w:rPr>
          <w:b w:val="0"/>
        </w:rPr>
        <w:t>.</w:t>
      </w:r>
      <w:r w:rsidRPr="00075BB7">
        <w:rPr>
          <w:b w:val="0"/>
        </w:rPr>
        <w:t xml:space="preserve"> Gliseraldehid-3-fosfat dehidrogenaz (GAPDH)</w:t>
      </w:r>
      <w:r w:rsidRPr="00075BB7">
        <w:rPr>
          <w:b w:val="0"/>
          <w:webHidden/>
        </w:rPr>
        <w:tab/>
        <w:t>41</w:t>
      </w:r>
    </w:p>
    <w:p w:rsidR="006A4185" w:rsidRPr="00075BB7" w:rsidRDefault="006A4185" w:rsidP="006A4185">
      <w:pPr>
        <w:pStyle w:val="T2"/>
        <w:rPr>
          <w:b w:val="0"/>
        </w:rPr>
      </w:pPr>
      <w:r w:rsidRPr="00075BB7">
        <w:rPr>
          <w:b w:val="0"/>
        </w:rPr>
        <w:t>2.12.4</w:t>
      </w:r>
      <w:r w:rsidR="00DE5847">
        <w:rPr>
          <w:b w:val="0"/>
        </w:rPr>
        <w:t>.</w:t>
      </w:r>
      <w:r w:rsidRPr="00075BB7">
        <w:rPr>
          <w:b w:val="0"/>
        </w:rPr>
        <w:t xml:space="preserve"> Glukoz-6-fosfat dehidrogenaz (G6PD)</w:t>
      </w:r>
      <w:r w:rsidRPr="00075BB7">
        <w:rPr>
          <w:b w:val="0"/>
          <w:webHidden/>
        </w:rPr>
        <w:tab/>
        <w:t>44</w:t>
      </w:r>
    </w:p>
    <w:p w:rsidR="006A4185" w:rsidRPr="00075BB7" w:rsidRDefault="006A4185" w:rsidP="006A4185">
      <w:pPr>
        <w:pStyle w:val="T2"/>
        <w:rPr>
          <w:b w:val="0"/>
        </w:rPr>
      </w:pPr>
      <w:r w:rsidRPr="00075BB7">
        <w:rPr>
          <w:b w:val="0"/>
        </w:rPr>
        <w:t>2.12.5</w:t>
      </w:r>
      <w:r w:rsidR="00DE5847">
        <w:rPr>
          <w:b w:val="0"/>
        </w:rPr>
        <w:t>.</w:t>
      </w:r>
      <w:r w:rsidRPr="00075BB7">
        <w:rPr>
          <w:b w:val="0"/>
        </w:rPr>
        <w:t xml:space="preserve"> Piruvat kinaz (PK)</w:t>
      </w:r>
      <w:r w:rsidRPr="00075BB7">
        <w:rPr>
          <w:b w:val="0"/>
          <w:webHidden/>
        </w:rPr>
        <w:tab/>
        <w:t>46</w:t>
      </w:r>
    </w:p>
    <w:p w:rsidR="006A4185" w:rsidRPr="00075BB7" w:rsidRDefault="006A4185" w:rsidP="006A4185">
      <w:pPr>
        <w:pStyle w:val="T2"/>
        <w:rPr>
          <w:b w:val="0"/>
        </w:rPr>
      </w:pPr>
      <w:r w:rsidRPr="00075BB7">
        <w:rPr>
          <w:b w:val="0"/>
        </w:rPr>
        <w:t>2.12.6. Laktat Dehidrogenaz (LDH)</w:t>
      </w:r>
      <w:r w:rsidRPr="00075BB7">
        <w:rPr>
          <w:b w:val="0"/>
          <w:webHidden/>
        </w:rPr>
        <w:tab/>
        <w:t>50</w:t>
      </w:r>
    </w:p>
    <w:p w:rsidR="006A4185" w:rsidRPr="00075BB7" w:rsidRDefault="006A4185" w:rsidP="006A4185">
      <w:pPr>
        <w:pStyle w:val="T2"/>
        <w:rPr>
          <w:b w:val="0"/>
        </w:rPr>
      </w:pPr>
      <w:r w:rsidRPr="00075BB7">
        <w:rPr>
          <w:b w:val="0"/>
        </w:rPr>
        <w:t xml:space="preserve">2.12.6.1. Hücresel </w:t>
      </w:r>
      <w:r w:rsidR="00A57EE1">
        <w:rPr>
          <w:b w:val="0"/>
        </w:rPr>
        <w:t>m</w:t>
      </w:r>
      <w:r w:rsidRPr="00075BB7">
        <w:rPr>
          <w:b w:val="0"/>
        </w:rPr>
        <w:t xml:space="preserve">etabolizmada LDHA’nın </w:t>
      </w:r>
      <w:r w:rsidR="00A57EE1">
        <w:rPr>
          <w:b w:val="0"/>
        </w:rPr>
        <w:t>r</w:t>
      </w:r>
      <w:r w:rsidRPr="00075BB7">
        <w:rPr>
          <w:b w:val="0"/>
        </w:rPr>
        <w:t>olü</w:t>
      </w:r>
      <w:r w:rsidRPr="00075BB7">
        <w:rPr>
          <w:b w:val="0"/>
          <w:webHidden/>
        </w:rPr>
        <w:tab/>
        <w:t>53</w:t>
      </w:r>
    </w:p>
    <w:p w:rsidR="006A4185" w:rsidRPr="00075BB7" w:rsidRDefault="006A4185" w:rsidP="006A4185">
      <w:pPr>
        <w:pStyle w:val="T2"/>
        <w:rPr>
          <w:b w:val="0"/>
        </w:rPr>
      </w:pPr>
      <w:r w:rsidRPr="00075BB7">
        <w:rPr>
          <w:b w:val="0"/>
        </w:rPr>
        <w:t>2.12.7. Laktat Metabolizması</w:t>
      </w:r>
      <w:r w:rsidRPr="00075BB7">
        <w:rPr>
          <w:b w:val="0"/>
          <w:webHidden/>
        </w:rPr>
        <w:tab/>
        <w:t>55</w:t>
      </w:r>
    </w:p>
    <w:p w:rsidR="006A4185" w:rsidRPr="00075BB7" w:rsidRDefault="006A4185" w:rsidP="006A4185">
      <w:pPr>
        <w:pStyle w:val="T2"/>
        <w:rPr>
          <w:b w:val="0"/>
        </w:rPr>
      </w:pPr>
      <w:r w:rsidRPr="00075BB7">
        <w:rPr>
          <w:b w:val="0"/>
        </w:rPr>
        <w:t>3. GEREÇ ve YÖNTEM</w:t>
      </w:r>
      <w:r w:rsidRPr="00075BB7">
        <w:rPr>
          <w:b w:val="0"/>
          <w:webHidden/>
        </w:rPr>
        <w:tab/>
        <w:t>60</w:t>
      </w:r>
    </w:p>
    <w:p w:rsidR="006A4185" w:rsidRPr="00075BB7" w:rsidRDefault="006A4185" w:rsidP="006A4185">
      <w:pPr>
        <w:pStyle w:val="T2"/>
        <w:rPr>
          <w:b w:val="0"/>
        </w:rPr>
      </w:pPr>
      <w:r w:rsidRPr="00075BB7">
        <w:rPr>
          <w:b w:val="0"/>
        </w:rPr>
        <w:t>3.1. Kullanılan Cihazlar ve Kimyasal Maddeler</w:t>
      </w:r>
      <w:r w:rsidRPr="00075BB7">
        <w:rPr>
          <w:b w:val="0"/>
          <w:webHidden/>
        </w:rPr>
        <w:tab/>
        <w:t>60</w:t>
      </w:r>
    </w:p>
    <w:p w:rsidR="006A4185" w:rsidRPr="00075BB7" w:rsidRDefault="006A4185" w:rsidP="006A4185">
      <w:pPr>
        <w:pStyle w:val="T2"/>
        <w:rPr>
          <w:b w:val="0"/>
        </w:rPr>
      </w:pPr>
      <w:r w:rsidRPr="00075BB7">
        <w:rPr>
          <w:b w:val="0"/>
        </w:rPr>
        <w:t>3.2. Hücre Kültürü</w:t>
      </w:r>
      <w:r w:rsidRPr="00075BB7">
        <w:rPr>
          <w:b w:val="0"/>
          <w:webHidden/>
        </w:rPr>
        <w:tab/>
        <w:t>61</w:t>
      </w:r>
    </w:p>
    <w:p w:rsidR="006A4185" w:rsidRPr="00075BB7" w:rsidRDefault="006A4185" w:rsidP="006A4185">
      <w:pPr>
        <w:pStyle w:val="T2"/>
        <w:rPr>
          <w:b w:val="0"/>
        </w:rPr>
      </w:pPr>
      <w:r w:rsidRPr="00075BB7">
        <w:rPr>
          <w:b w:val="0"/>
        </w:rPr>
        <w:t>3.2.1</w:t>
      </w:r>
      <w:r>
        <w:rPr>
          <w:b w:val="0"/>
        </w:rPr>
        <w:t>.</w:t>
      </w:r>
      <w:r w:rsidRPr="00075BB7">
        <w:rPr>
          <w:b w:val="0"/>
        </w:rPr>
        <w:t xml:space="preserve"> MCF-7 Hücresinin Özellikleri</w:t>
      </w:r>
      <w:r w:rsidRPr="00075BB7">
        <w:rPr>
          <w:b w:val="0"/>
          <w:webHidden/>
        </w:rPr>
        <w:tab/>
        <w:t>61</w:t>
      </w:r>
    </w:p>
    <w:p w:rsidR="006A4185" w:rsidRPr="00075BB7" w:rsidRDefault="006A4185" w:rsidP="006A4185">
      <w:pPr>
        <w:pStyle w:val="T2"/>
        <w:rPr>
          <w:b w:val="0"/>
        </w:rPr>
      </w:pPr>
      <w:r w:rsidRPr="00075BB7">
        <w:rPr>
          <w:b w:val="0"/>
        </w:rPr>
        <w:t>3.2.</w:t>
      </w:r>
      <w:r>
        <w:rPr>
          <w:b w:val="0"/>
        </w:rPr>
        <w:t>2.</w:t>
      </w:r>
      <w:r w:rsidRPr="00075BB7">
        <w:rPr>
          <w:b w:val="0"/>
        </w:rPr>
        <w:t xml:space="preserve"> Hücre Kültürü Ortamı</w:t>
      </w:r>
      <w:r w:rsidRPr="00075BB7">
        <w:rPr>
          <w:b w:val="0"/>
          <w:webHidden/>
        </w:rPr>
        <w:tab/>
        <w:t>62</w:t>
      </w:r>
    </w:p>
    <w:p w:rsidR="006A4185" w:rsidRPr="00075BB7" w:rsidRDefault="006A4185" w:rsidP="006A4185">
      <w:pPr>
        <w:pStyle w:val="T2"/>
        <w:rPr>
          <w:b w:val="0"/>
        </w:rPr>
      </w:pPr>
      <w:r w:rsidRPr="00075BB7">
        <w:rPr>
          <w:b w:val="0"/>
        </w:rPr>
        <w:t>3.2.</w:t>
      </w:r>
      <w:r>
        <w:rPr>
          <w:b w:val="0"/>
        </w:rPr>
        <w:t>3.</w:t>
      </w:r>
      <w:r w:rsidRPr="00075BB7">
        <w:rPr>
          <w:b w:val="0"/>
        </w:rPr>
        <w:t xml:space="preserve"> Hücrelerin Pasajlanması</w:t>
      </w:r>
      <w:r w:rsidRPr="00075BB7">
        <w:rPr>
          <w:b w:val="0"/>
          <w:webHidden/>
        </w:rPr>
        <w:tab/>
        <w:t>62</w:t>
      </w:r>
    </w:p>
    <w:p w:rsidR="006A4185" w:rsidRPr="00075BB7" w:rsidRDefault="006A4185" w:rsidP="006A4185">
      <w:pPr>
        <w:pStyle w:val="T2"/>
        <w:rPr>
          <w:b w:val="0"/>
        </w:rPr>
      </w:pPr>
      <w:r w:rsidRPr="00075BB7">
        <w:rPr>
          <w:b w:val="0"/>
        </w:rPr>
        <w:t>3.2.</w:t>
      </w:r>
      <w:r>
        <w:rPr>
          <w:b w:val="0"/>
        </w:rPr>
        <w:t>4.</w:t>
      </w:r>
      <w:r w:rsidRPr="00075BB7">
        <w:rPr>
          <w:b w:val="0"/>
        </w:rPr>
        <w:t xml:space="preserve"> Hücrelerin Dondurulması ve Saklanması</w:t>
      </w:r>
      <w:r w:rsidRPr="00075BB7">
        <w:rPr>
          <w:b w:val="0"/>
          <w:webHidden/>
        </w:rPr>
        <w:tab/>
        <w:t>63</w:t>
      </w:r>
    </w:p>
    <w:p w:rsidR="006A4185" w:rsidRPr="00075BB7" w:rsidRDefault="006A4185" w:rsidP="006A4185">
      <w:pPr>
        <w:pStyle w:val="T2"/>
        <w:rPr>
          <w:b w:val="0"/>
        </w:rPr>
      </w:pPr>
      <w:r w:rsidRPr="00075BB7">
        <w:rPr>
          <w:b w:val="0"/>
        </w:rPr>
        <w:t>3.2.</w:t>
      </w:r>
      <w:r>
        <w:rPr>
          <w:b w:val="0"/>
        </w:rPr>
        <w:t>5.</w:t>
      </w:r>
      <w:r w:rsidRPr="00075BB7">
        <w:rPr>
          <w:b w:val="0"/>
        </w:rPr>
        <w:t xml:space="preserve"> Hücrelerin Çözülmesi</w:t>
      </w:r>
      <w:r w:rsidRPr="00075BB7">
        <w:rPr>
          <w:b w:val="0"/>
          <w:webHidden/>
        </w:rPr>
        <w:tab/>
        <w:t>64</w:t>
      </w:r>
    </w:p>
    <w:p w:rsidR="006A4185" w:rsidRPr="00075BB7" w:rsidRDefault="006A4185" w:rsidP="006A4185">
      <w:pPr>
        <w:pStyle w:val="T2"/>
        <w:rPr>
          <w:b w:val="0"/>
        </w:rPr>
      </w:pPr>
      <w:r w:rsidRPr="00075BB7">
        <w:rPr>
          <w:b w:val="0"/>
        </w:rPr>
        <w:t>3.2.</w:t>
      </w:r>
      <w:r>
        <w:rPr>
          <w:b w:val="0"/>
        </w:rPr>
        <w:t>6.</w:t>
      </w:r>
      <w:r w:rsidRPr="00075BB7">
        <w:rPr>
          <w:b w:val="0"/>
        </w:rPr>
        <w:t xml:space="preserve"> Hücre Sayımı</w:t>
      </w:r>
      <w:r w:rsidRPr="00075BB7">
        <w:rPr>
          <w:b w:val="0"/>
          <w:webHidden/>
        </w:rPr>
        <w:tab/>
        <w:t>64</w:t>
      </w:r>
    </w:p>
    <w:p w:rsidR="006A4185" w:rsidRPr="00075BB7" w:rsidRDefault="006A4185" w:rsidP="006A4185">
      <w:pPr>
        <w:pStyle w:val="T2"/>
        <w:rPr>
          <w:b w:val="0"/>
        </w:rPr>
      </w:pPr>
      <w:r w:rsidRPr="00075BB7">
        <w:rPr>
          <w:b w:val="0"/>
        </w:rPr>
        <w:t>3.2.</w:t>
      </w:r>
      <w:r>
        <w:rPr>
          <w:b w:val="0"/>
        </w:rPr>
        <w:t>7.</w:t>
      </w:r>
      <w:r w:rsidRPr="00075BB7">
        <w:rPr>
          <w:b w:val="0"/>
        </w:rPr>
        <w:t xml:space="preserve"> Hücrelere Farklı Konsantrasyonlarda Glukoz Uygulanması</w:t>
      </w:r>
      <w:r w:rsidRPr="00075BB7">
        <w:rPr>
          <w:b w:val="0"/>
          <w:webHidden/>
        </w:rPr>
        <w:tab/>
        <w:t>65</w:t>
      </w:r>
    </w:p>
    <w:p w:rsidR="006A4185" w:rsidRPr="00075BB7" w:rsidRDefault="006A4185" w:rsidP="006A4185">
      <w:pPr>
        <w:pStyle w:val="T2"/>
        <w:rPr>
          <w:b w:val="0"/>
        </w:rPr>
      </w:pPr>
      <w:r w:rsidRPr="00075BB7">
        <w:rPr>
          <w:b w:val="0"/>
        </w:rPr>
        <w:t>3.2.</w:t>
      </w:r>
      <w:r>
        <w:rPr>
          <w:b w:val="0"/>
        </w:rPr>
        <w:t>8.</w:t>
      </w:r>
      <w:r w:rsidRPr="00075BB7">
        <w:rPr>
          <w:b w:val="0"/>
        </w:rPr>
        <w:t xml:space="preserve"> Hipoksik Kültür Koşulları/ Hipoksi Modeli Oluşturulması</w:t>
      </w:r>
      <w:r w:rsidRPr="00075BB7">
        <w:rPr>
          <w:b w:val="0"/>
          <w:webHidden/>
        </w:rPr>
        <w:tab/>
        <w:t>65</w:t>
      </w:r>
    </w:p>
    <w:p w:rsidR="006A4185" w:rsidRPr="00075BB7" w:rsidRDefault="006A4185" w:rsidP="006A4185">
      <w:pPr>
        <w:pStyle w:val="T2"/>
        <w:rPr>
          <w:b w:val="0"/>
        </w:rPr>
      </w:pPr>
      <w:r w:rsidRPr="00075BB7">
        <w:rPr>
          <w:b w:val="0"/>
        </w:rPr>
        <w:t>3.3</w:t>
      </w:r>
      <w:r>
        <w:rPr>
          <w:b w:val="0"/>
        </w:rPr>
        <w:t>.</w:t>
      </w:r>
      <w:r w:rsidRPr="00075BB7">
        <w:rPr>
          <w:b w:val="0"/>
        </w:rPr>
        <w:t xml:space="preserve"> Hücre Canlılık Testi (WST-1 Testi)</w:t>
      </w:r>
      <w:r w:rsidRPr="00075BB7">
        <w:rPr>
          <w:b w:val="0"/>
          <w:webHidden/>
        </w:rPr>
        <w:tab/>
        <w:t>66</w:t>
      </w:r>
    </w:p>
    <w:p w:rsidR="006A4185" w:rsidRPr="00075BB7" w:rsidRDefault="006A4185" w:rsidP="006A4185">
      <w:pPr>
        <w:pStyle w:val="T2"/>
        <w:rPr>
          <w:b w:val="0"/>
        </w:rPr>
      </w:pPr>
      <w:r w:rsidRPr="00075BB7">
        <w:rPr>
          <w:b w:val="0"/>
        </w:rPr>
        <w:t>3.4</w:t>
      </w:r>
      <w:r>
        <w:rPr>
          <w:b w:val="0"/>
        </w:rPr>
        <w:t>.</w:t>
      </w:r>
      <w:r w:rsidRPr="00075BB7">
        <w:rPr>
          <w:b w:val="0"/>
        </w:rPr>
        <w:t xml:space="preserve"> Glikolitik Enzimlerin ELISA (Enzyme-linked immunosorbent assay) ile Tayini</w:t>
      </w:r>
      <w:r w:rsidRPr="00075BB7">
        <w:rPr>
          <w:b w:val="0"/>
          <w:webHidden/>
        </w:rPr>
        <w:tab/>
        <w:t>67</w:t>
      </w:r>
    </w:p>
    <w:p w:rsidR="006A4185" w:rsidRPr="00075BB7" w:rsidRDefault="006A4185" w:rsidP="006A4185">
      <w:pPr>
        <w:pStyle w:val="T2"/>
        <w:rPr>
          <w:b w:val="0"/>
        </w:rPr>
      </w:pPr>
      <w:r w:rsidRPr="00075BB7">
        <w:rPr>
          <w:b w:val="0"/>
        </w:rPr>
        <w:t>3.5</w:t>
      </w:r>
      <w:r>
        <w:rPr>
          <w:b w:val="0"/>
        </w:rPr>
        <w:t>.</w:t>
      </w:r>
      <w:r w:rsidR="00C222B1">
        <w:rPr>
          <w:b w:val="0"/>
        </w:rPr>
        <w:t xml:space="preserve"> Ko</w:t>
      </w:r>
      <w:r w:rsidRPr="00075BB7">
        <w:rPr>
          <w:b w:val="0"/>
        </w:rPr>
        <w:t>lorimetrik Ölçümler</w:t>
      </w:r>
      <w:r w:rsidRPr="00075BB7">
        <w:rPr>
          <w:b w:val="0"/>
          <w:webHidden/>
        </w:rPr>
        <w:tab/>
        <w:t>69</w:t>
      </w:r>
    </w:p>
    <w:p w:rsidR="006A4185" w:rsidRPr="00075BB7" w:rsidRDefault="006A4185" w:rsidP="006A4185">
      <w:pPr>
        <w:pStyle w:val="T2"/>
        <w:rPr>
          <w:b w:val="0"/>
        </w:rPr>
      </w:pPr>
      <w:r w:rsidRPr="00075BB7">
        <w:rPr>
          <w:b w:val="0"/>
        </w:rPr>
        <w:t>3.5.1</w:t>
      </w:r>
      <w:r>
        <w:rPr>
          <w:b w:val="0"/>
        </w:rPr>
        <w:t>.</w:t>
      </w:r>
      <w:r w:rsidRPr="00075BB7">
        <w:rPr>
          <w:b w:val="0"/>
        </w:rPr>
        <w:t xml:space="preserve"> Laktat Tayini</w:t>
      </w:r>
      <w:r w:rsidRPr="00075BB7">
        <w:rPr>
          <w:b w:val="0"/>
          <w:webHidden/>
        </w:rPr>
        <w:tab/>
        <w:t>69</w:t>
      </w:r>
    </w:p>
    <w:p w:rsidR="006A4185" w:rsidRPr="00075BB7" w:rsidRDefault="006A4185" w:rsidP="006A4185">
      <w:pPr>
        <w:pStyle w:val="T2"/>
        <w:rPr>
          <w:b w:val="0"/>
        </w:rPr>
      </w:pPr>
      <w:r w:rsidRPr="00075BB7">
        <w:rPr>
          <w:b w:val="0"/>
        </w:rPr>
        <w:t>3.5.2</w:t>
      </w:r>
      <w:r>
        <w:rPr>
          <w:b w:val="0"/>
        </w:rPr>
        <w:t>.</w:t>
      </w:r>
      <w:r w:rsidRPr="00075BB7">
        <w:rPr>
          <w:b w:val="0"/>
        </w:rPr>
        <w:t xml:space="preserve"> Glukoz Tayini</w:t>
      </w:r>
      <w:r w:rsidRPr="00075BB7">
        <w:rPr>
          <w:b w:val="0"/>
          <w:webHidden/>
        </w:rPr>
        <w:tab/>
        <w:t>70</w:t>
      </w:r>
    </w:p>
    <w:p w:rsidR="006A4185" w:rsidRPr="00075BB7" w:rsidRDefault="006A4185" w:rsidP="006A4185">
      <w:pPr>
        <w:pStyle w:val="T2"/>
        <w:rPr>
          <w:b w:val="0"/>
        </w:rPr>
      </w:pPr>
      <w:r w:rsidRPr="00075BB7">
        <w:rPr>
          <w:b w:val="0"/>
        </w:rPr>
        <w:t>3.6</w:t>
      </w:r>
      <w:r>
        <w:rPr>
          <w:b w:val="0"/>
        </w:rPr>
        <w:t>.</w:t>
      </w:r>
      <w:r w:rsidRPr="00075BB7">
        <w:rPr>
          <w:b w:val="0"/>
        </w:rPr>
        <w:t xml:space="preserve"> Wound Healing Testi</w:t>
      </w:r>
      <w:r w:rsidRPr="00075BB7">
        <w:rPr>
          <w:b w:val="0"/>
          <w:webHidden/>
        </w:rPr>
        <w:tab/>
        <w:t>72</w:t>
      </w:r>
    </w:p>
    <w:p w:rsidR="006A4185" w:rsidRPr="00075BB7" w:rsidRDefault="006A4185" w:rsidP="006A4185">
      <w:pPr>
        <w:pStyle w:val="T2"/>
        <w:rPr>
          <w:b w:val="0"/>
        </w:rPr>
      </w:pPr>
      <w:r w:rsidRPr="00075BB7">
        <w:rPr>
          <w:b w:val="0"/>
        </w:rPr>
        <w:t>3.7</w:t>
      </w:r>
      <w:r>
        <w:rPr>
          <w:b w:val="0"/>
        </w:rPr>
        <w:t>.</w:t>
      </w:r>
      <w:r w:rsidRPr="00075BB7">
        <w:rPr>
          <w:b w:val="0"/>
        </w:rPr>
        <w:t xml:space="preserve"> İstatistiksel Analiz</w:t>
      </w:r>
      <w:r w:rsidRPr="00075BB7">
        <w:rPr>
          <w:b w:val="0"/>
          <w:webHidden/>
        </w:rPr>
        <w:tab/>
        <w:t>73</w:t>
      </w:r>
    </w:p>
    <w:p w:rsidR="006A4185" w:rsidRPr="00075BB7" w:rsidRDefault="006A4185" w:rsidP="006A4185">
      <w:pPr>
        <w:pStyle w:val="T2"/>
        <w:rPr>
          <w:b w:val="0"/>
        </w:rPr>
      </w:pPr>
      <w:r w:rsidRPr="00075BB7">
        <w:rPr>
          <w:b w:val="0"/>
        </w:rPr>
        <w:t>4.</w:t>
      </w:r>
      <w:r w:rsidR="00966BAC">
        <w:rPr>
          <w:b w:val="0"/>
        </w:rPr>
        <w:t xml:space="preserve"> </w:t>
      </w:r>
      <w:r w:rsidRPr="00075BB7">
        <w:rPr>
          <w:b w:val="0"/>
        </w:rPr>
        <w:t>BULGULAR</w:t>
      </w:r>
      <w:r w:rsidRPr="00075BB7">
        <w:rPr>
          <w:b w:val="0"/>
          <w:webHidden/>
        </w:rPr>
        <w:tab/>
        <w:t>74</w:t>
      </w:r>
    </w:p>
    <w:p w:rsidR="006A4185" w:rsidRPr="00075BB7" w:rsidRDefault="006A4185" w:rsidP="006A4185">
      <w:pPr>
        <w:pStyle w:val="T2"/>
        <w:rPr>
          <w:b w:val="0"/>
        </w:rPr>
      </w:pPr>
      <w:r w:rsidRPr="00075BB7">
        <w:rPr>
          <w:b w:val="0"/>
        </w:rPr>
        <w:t>4.1. MCF-7 Hücrelerinin İnvert-Mikroskop Görüntüleri</w:t>
      </w:r>
      <w:r w:rsidRPr="00075BB7">
        <w:rPr>
          <w:b w:val="0"/>
          <w:webHidden/>
        </w:rPr>
        <w:tab/>
        <w:t>74</w:t>
      </w:r>
    </w:p>
    <w:p w:rsidR="006A4185" w:rsidRPr="00075BB7" w:rsidRDefault="006A4185" w:rsidP="006A4185">
      <w:pPr>
        <w:pStyle w:val="T2"/>
        <w:rPr>
          <w:b w:val="0"/>
        </w:rPr>
      </w:pPr>
      <w:r w:rsidRPr="00075BB7">
        <w:rPr>
          <w:b w:val="0"/>
        </w:rPr>
        <w:t>4.2</w:t>
      </w:r>
      <w:r>
        <w:rPr>
          <w:b w:val="0"/>
        </w:rPr>
        <w:t>.</w:t>
      </w:r>
      <w:r w:rsidRPr="00075BB7">
        <w:rPr>
          <w:b w:val="0"/>
        </w:rPr>
        <w:t xml:space="preserve"> Hücre Canlılığının Değerlendirilmesi</w:t>
      </w:r>
      <w:r w:rsidRPr="00075BB7">
        <w:rPr>
          <w:b w:val="0"/>
          <w:webHidden/>
        </w:rPr>
        <w:tab/>
        <w:t>75</w:t>
      </w:r>
    </w:p>
    <w:p w:rsidR="006A4185" w:rsidRPr="00075BB7" w:rsidRDefault="006A4185" w:rsidP="006A4185">
      <w:pPr>
        <w:pStyle w:val="T2"/>
        <w:rPr>
          <w:b w:val="0"/>
        </w:rPr>
      </w:pPr>
      <w:r w:rsidRPr="00075BB7">
        <w:rPr>
          <w:b w:val="0"/>
        </w:rPr>
        <w:t>4.</w:t>
      </w:r>
      <w:r>
        <w:rPr>
          <w:b w:val="0"/>
        </w:rPr>
        <w:t>3.</w:t>
      </w:r>
      <w:r w:rsidRPr="00075BB7">
        <w:rPr>
          <w:b w:val="0"/>
        </w:rPr>
        <w:t xml:space="preserve"> Enzim Miktarlarının Değerlendirilmesi</w:t>
      </w:r>
      <w:r w:rsidRPr="00075BB7">
        <w:rPr>
          <w:b w:val="0"/>
          <w:webHidden/>
        </w:rPr>
        <w:tab/>
        <w:t>81</w:t>
      </w:r>
    </w:p>
    <w:p w:rsidR="006A4185" w:rsidRPr="00075BB7" w:rsidRDefault="006A4185" w:rsidP="006A4185">
      <w:pPr>
        <w:pStyle w:val="T2"/>
        <w:rPr>
          <w:b w:val="0"/>
        </w:rPr>
      </w:pPr>
      <w:r w:rsidRPr="00075BB7">
        <w:rPr>
          <w:b w:val="0"/>
        </w:rPr>
        <w:t>4.</w:t>
      </w:r>
      <w:r>
        <w:rPr>
          <w:b w:val="0"/>
        </w:rPr>
        <w:t>3</w:t>
      </w:r>
      <w:r w:rsidRPr="00075BB7">
        <w:rPr>
          <w:b w:val="0"/>
        </w:rPr>
        <w:t>.1</w:t>
      </w:r>
      <w:r>
        <w:rPr>
          <w:b w:val="0"/>
        </w:rPr>
        <w:t>.</w:t>
      </w:r>
      <w:r w:rsidRPr="00075BB7">
        <w:rPr>
          <w:b w:val="0"/>
        </w:rPr>
        <w:t xml:space="preserve"> ELISA Yönteminden Elde Edilen PKM2 Sonuçları</w:t>
      </w:r>
      <w:r w:rsidRPr="00075BB7">
        <w:rPr>
          <w:b w:val="0"/>
          <w:webHidden/>
        </w:rPr>
        <w:tab/>
        <w:t>81</w:t>
      </w:r>
    </w:p>
    <w:p w:rsidR="006A4185" w:rsidRPr="00075BB7" w:rsidRDefault="006A4185" w:rsidP="006A4185">
      <w:pPr>
        <w:pStyle w:val="T2"/>
        <w:rPr>
          <w:b w:val="0"/>
        </w:rPr>
      </w:pPr>
      <w:r w:rsidRPr="00075BB7">
        <w:rPr>
          <w:b w:val="0"/>
        </w:rPr>
        <w:lastRenderedPageBreak/>
        <w:t>4.</w:t>
      </w:r>
      <w:r>
        <w:rPr>
          <w:b w:val="0"/>
        </w:rPr>
        <w:t>3</w:t>
      </w:r>
      <w:r w:rsidRPr="00075BB7">
        <w:rPr>
          <w:b w:val="0"/>
        </w:rPr>
        <w:t>.1.1</w:t>
      </w:r>
      <w:r>
        <w:rPr>
          <w:b w:val="0"/>
        </w:rPr>
        <w:t>.</w:t>
      </w:r>
      <w:r w:rsidR="00A57EE1">
        <w:rPr>
          <w:b w:val="0"/>
        </w:rPr>
        <w:t xml:space="preserve"> PKM2 </w:t>
      </w:r>
      <w:r w:rsidR="00DD010F">
        <w:rPr>
          <w:b w:val="0"/>
        </w:rPr>
        <w:t>e</w:t>
      </w:r>
      <w:r w:rsidR="00A57EE1">
        <w:rPr>
          <w:b w:val="0"/>
        </w:rPr>
        <w:t>nzim m</w:t>
      </w:r>
      <w:r w:rsidRPr="00075BB7">
        <w:rPr>
          <w:b w:val="0"/>
        </w:rPr>
        <w:t xml:space="preserve">iktarının </w:t>
      </w:r>
      <w:r w:rsidR="00A57EE1">
        <w:rPr>
          <w:b w:val="0"/>
        </w:rPr>
        <w:t>z</w:t>
      </w:r>
      <w:r w:rsidRPr="00075BB7">
        <w:rPr>
          <w:b w:val="0"/>
        </w:rPr>
        <w:t xml:space="preserve">amana ve </w:t>
      </w:r>
      <w:r w:rsidR="00A57EE1">
        <w:rPr>
          <w:b w:val="0"/>
        </w:rPr>
        <w:t>k</w:t>
      </w:r>
      <w:r w:rsidRPr="00075BB7">
        <w:rPr>
          <w:b w:val="0"/>
        </w:rPr>
        <w:t xml:space="preserve">onsantrasyona </w:t>
      </w:r>
      <w:r w:rsidR="00A57EE1">
        <w:rPr>
          <w:b w:val="0"/>
        </w:rPr>
        <w:t>b</w:t>
      </w:r>
      <w:r w:rsidRPr="00075BB7">
        <w:rPr>
          <w:b w:val="0"/>
        </w:rPr>
        <w:t xml:space="preserve">ağlı </w:t>
      </w:r>
      <w:r w:rsidR="00A57EE1">
        <w:rPr>
          <w:b w:val="0"/>
        </w:rPr>
        <w:t>d</w:t>
      </w:r>
      <w:r w:rsidRPr="00075BB7">
        <w:rPr>
          <w:b w:val="0"/>
        </w:rPr>
        <w:t>eğişimi</w:t>
      </w:r>
      <w:r w:rsidRPr="00075BB7">
        <w:rPr>
          <w:b w:val="0"/>
          <w:webHidden/>
        </w:rPr>
        <w:tab/>
        <w:t>81</w:t>
      </w:r>
    </w:p>
    <w:p w:rsidR="006A4185" w:rsidRPr="00075BB7" w:rsidRDefault="006A4185" w:rsidP="006A4185">
      <w:pPr>
        <w:pStyle w:val="T2"/>
        <w:rPr>
          <w:b w:val="0"/>
        </w:rPr>
      </w:pPr>
      <w:r w:rsidRPr="00075BB7">
        <w:rPr>
          <w:b w:val="0"/>
        </w:rPr>
        <w:t>4.</w:t>
      </w:r>
      <w:r>
        <w:rPr>
          <w:b w:val="0"/>
        </w:rPr>
        <w:t>3</w:t>
      </w:r>
      <w:r w:rsidRPr="00075BB7">
        <w:rPr>
          <w:b w:val="0"/>
        </w:rPr>
        <w:t>.1.2</w:t>
      </w:r>
      <w:r>
        <w:rPr>
          <w:b w:val="0"/>
        </w:rPr>
        <w:t>.</w:t>
      </w:r>
      <w:r w:rsidRPr="00075BB7">
        <w:rPr>
          <w:b w:val="0"/>
        </w:rPr>
        <w:t xml:space="preserve"> Aynı </w:t>
      </w:r>
      <w:r w:rsidR="00A57EE1">
        <w:rPr>
          <w:b w:val="0"/>
        </w:rPr>
        <w:t>k</w:t>
      </w:r>
      <w:r w:rsidRPr="00075BB7">
        <w:rPr>
          <w:b w:val="0"/>
        </w:rPr>
        <w:t xml:space="preserve">onsantrasyonlu </w:t>
      </w:r>
      <w:r w:rsidR="00A57EE1">
        <w:rPr>
          <w:b w:val="0"/>
        </w:rPr>
        <w:t>g</w:t>
      </w:r>
      <w:r w:rsidRPr="00075BB7">
        <w:rPr>
          <w:b w:val="0"/>
        </w:rPr>
        <w:t xml:space="preserve">lukoz </w:t>
      </w:r>
      <w:r w:rsidR="00A57EE1">
        <w:rPr>
          <w:b w:val="0"/>
        </w:rPr>
        <w:t>uygulamalarında n</w:t>
      </w:r>
      <w:r w:rsidRPr="00075BB7">
        <w:rPr>
          <w:b w:val="0"/>
        </w:rPr>
        <w:t xml:space="preserve">ormoksik ve </w:t>
      </w:r>
      <w:r w:rsidR="00A57EE1">
        <w:rPr>
          <w:b w:val="0"/>
        </w:rPr>
        <w:t>h</w:t>
      </w:r>
      <w:r w:rsidRPr="00075BB7">
        <w:rPr>
          <w:b w:val="0"/>
        </w:rPr>
        <w:t xml:space="preserve">ipoksik   </w:t>
      </w:r>
      <w:r w:rsidR="00A57EE1">
        <w:rPr>
          <w:b w:val="0"/>
        </w:rPr>
        <w:t>o</w:t>
      </w:r>
      <w:r w:rsidRPr="00075BB7">
        <w:rPr>
          <w:b w:val="0"/>
        </w:rPr>
        <w:t xml:space="preserve">rtamdaki PKM2 </w:t>
      </w:r>
      <w:r w:rsidR="00A57EE1">
        <w:rPr>
          <w:b w:val="0"/>
        </w:rPr>
        <w:t>e</w:t>
      </w:r>
      <w:r w:rsidRPr="00075BB7">
        <w:rPr>
          <w:b w:val="0"/>
        </w:rPr>
        <w:t xml:space="preserve">nzim </w:t>
      </w:r>
      <w:r w:rsidR="00A57EE1">
        <w:rPr>
          <w:b w:val="0"/>
        </w:rPr>
        <w:t>m</w:t>
      </w:r>
      <w:r w:rsidRPr="00075BB7">
        <w:rPr>
          <w:b w:val="0"/>
        </w:rPr>
        <w:t xml:space="preserve">iktarlarının </w:t>
      </w:r>
      <w:r w:rsidR="00A57EE1">
        <w:rPr>
          <w:b w:val="0"/>
        </w:rPr>
        <w:t>k</w:t>
      </w:r>
      <w:r w:rsidRPr="00075BB7">
        <w:rPr>
          <w:b w:val="0"/>
        </w:rPr>
        <w:t>arşılaştırılması</w:t>
      </w:r>
      <w:r w:rsidRPr="00075BB7">
        <w:rPr>
          <w:b w:val="0"/>
          <w:webHidden/>
        </w:rPr>
        <w:tab/>
        <w:t>85</w:t>
      </w:r>
    </w:p>
    <w:p w:rsidR="006A4185" w:rsidRPr="00075BB7" w:rsidRDefault="006A4185" w:rsidP="006A4185">
      <w:pPr>
        <w:pStyle w:val="T2"/>
        <w:rPr>
          <w:b w:val="0"/>
        </w:rPr>
      </w:pPr>
      <w:r w:rsidRPr="00075BB7">
        <w:rPr>
          <w:b w:val="0"/>
        </w:rPr>
        <w:t>4.</w:t>
      </w:r>
      <w:r>
        <w:rPr>
          <w:b w:val="0"/>
        </w:rPr>
        <w:t>3</w:t>
      </w:r>
      <w:r w:rsidRPr="00075BB7">
        <w:rPr>
          <w:b w:val="0"/>
        </w:rPr>
        <w:t>.2</w:t>
      </w:r>
      <w:r>
        <w:rPr>
          <w:b w:val="0"/>
        </w:rPr>
        <w:t>.</w:t>
      </w:r>
      <w:r w:rsidRPr="00075BB7">
        <w:rPr>
          <w:b w:val="0"/>
        </w:rPr>
        <w:t xml:space="preserve"> ELISA Yönteminden Elde Edilen LDHA Sonuçları</w:t>
      </w:r>
      <w:r w:rsidRPr="00075BB7">
        <w:rPr>
          <w:b w:val="0"/>
          <w:webHidden/>
        </w:rPr>
        <w:tab/>
        <w:t>87</w:t>
      </w:r>
    </w:p>
    <w:p w:rsidR="006A4185" w:rsidRPr="00075BB7" w:rsidRDefault="006A4185" w:rsidP="006A4185">
      <w:pPr>
        <w:pStyle w:val="T2"/>
        <w:rPr>
          <w:b w:val="0"/>
        </w:rPr>
      </w:pPr>
      <w:r w:rsidRPr="00075BB7">
        <w:rPr>
          <w:b w:val="0"/>
        </w:rPr>
        <w:t>4.</w:t>
      </w:r>
      <w:r>
        <w:rPr>
          <w:b w:val="0"/>
        </w:rPr>
        <w:t>3</w:t>
      </w:r>
      <w:r w:rsidRPr="00075BB7">
        <w:rPr>
          <w:b w:val="0"/>
        </w:rPr>
        <w:t>.2.1</w:t>
      </w:r>
      <w:r w:rsidR="00966BAC">
        <w:rPr>
          <w:b w:val="0"/>
        </w:rPr>
        <w:t>.</w:t>
      </w:r>
      <w:r w:rsidRPr="00075BB7">
        <w:rPr>
          <w:b w:val="0"/>
        </w:rPr>
        <w:t xml:space="preserve"> LDHA </w:t>
      </w:r>
      <w:r w:rsidR="00DD010F">
        <w:rPr>
          <w:b w:val="0"/>
        </w:rPr>
        <w:t>e</w:t>
      </w:r>
      <w:r w:rsidRPr="00075BB7">
        <w:rPr>
          <w:b w:val="0"/>
        </w:rPr>
        <w:t xml:space="preserve">nzim </w:t>
      </w:r>
      <w:r w:rsidR="00DD010F">
        <w:rPr>
          <w:b w:val="0"/>
        </w:rPr>
        <w:t>m</w:t>
      </w:r>
      <w:r w:rsidRPr="00075BB7">
        <w:rPr>
          <w:b w:val="0"/>
        </w:rPr>
        <w:t xml:space="preserve">iktarının </w:t>
      </w:r>
      <w:r w:rsidR="00DD010F">
        <w:rPr>
          <w:b w:val="0"/>
        </w:rPr>
        <w:t>zamana ve k</w:t>
      </w:r>
      <w:r w:rsidRPr="00075BB7">
        <w:rPr>
          <w:b w:val="0"/>
        </w:rPr>
        <w:t xml:space="preserve">onsantrasyona </w:t>
      </w:r>
      <w:r w:rsidR="00DD010F">
        <w:rPr>
          <w:b w:val="0"/>
        </w:rPr>
        <w:t>bağlı d</w:t>
      </w:r>
      <w:r w:rsidRPr="00075BB7">
        <w:rPr>
          <w:b w:val="0"/>
        </w:rPr>
        <w:t>eğişimi</w:t>
      </w:r>
      <w:r w:rsidRPr="00075BB7">
        <w:rPr>
          <w:b w:val="0"/>
          <w:webHidden/>
        </w:rPr>
        <w:tab/>
        <w:t>87</w:t>
      </w:r>
    </w:p>
    <w:p w:rsidR="006A4185" w:rsidRPr="00075BB7" w:rsidRDefault="006A4185" w:rsidP="006A4185">
      <w:pPr>
        <w:pStyle w:val="T2"/>
        <w:rPr>
          <w:b w:val="0"/>
        </w:rPr>
      </w:pPr>
      <w:r w:rsidRPr="00075BB7">
        <w:rPr>
          <w:b w:val="0"/>
        </w:rPr>
        <w:t>4.</w:t>
      </w:r>
      <w:r>
        <w:rPr>
          <w:b w:val="0"/>
        </w:rPr>
        <w:t>3</w:t>
      </w:r>
      <w:r w:rsidRPr="00075BB7">
        <w:rPr>
          <w:b w:val="0"/>
        </w:rPr>
        <w:t>.2.</w:t>
      </w:r>
      <w:r>
        <w:rPr>
          <w:b w:val="0"/>
        </w:rPr>
        <w:t>2.</w:t>
      </w:r>
      <w:r w:rsidRPr="00075BB7">
        <w:rPr>
          <w:b w:val="0"/>
        </w:rPr>
        <w:t xml:space="preserve"> Aynı </w:t>
      </w:r>
      <w:r w:rsidR="00DD010F">
        <w:rPr>
          <w:b w:val="0"/>
        </w:rPr>
        <w:t>k</w:t>
      </w:r>
      <w:r w:rsidRPr="00075BB7">
        <w:rPr>
          <w:b w:val="0"/>
        </w:rPr>
        <w:t xml:space="preserve">onsantrasyonlu </w:t>
      </w:r>
      <w:r w:rsidR="00DD010F">
        <w:rPr>
          <w:b w:val="0"/>
        </w:rPr>
        <w:t>glukoz uygulamalarında n</w:t>
      </w:r>
      <w:r w:rsidRPr="00075BB7">
        <w:rPr>
          <w:b w:val="0"/>
        </w:rPr>
        <w:t xml:space="preserve">ormoksik ve </w:t>
      </w:r>
      <w:r w:rsidR="00DD010F">
        <w:rPr>
          <w:b w:val="0"/>
        </w:rPr>
        <w:t>h</w:t>
      </w:r>
      <w:r w:rsidRPr="00075BB7">
        <w:rPr>
          <w:b w:val="0"/>
        </w:rPr>
        <w:t xml:space="preserve">ipoksik </w:t>
      </w:r>
      <w:r w:rsidR="00DD010F">
        <w:rPr>
          <w:b w:val="0"/>
        </w:rPr>
        <w:t>o</w:t>
      </w:r>
      <w:r w:rsidRPr="00075BB7">
        <w:rPr>
          <w:b w:val="0"/>
        </w:rPr>
        <w:t xml:space="preserve">rtamdaki LDHA </w:t>
      </w:r>
      <w:r w:rsidR="00DD010F">
        <w:rPr>
          <w:b w:val="0"/>
        </w:rPr>
        <w:t>e</w:t>
      </w:r>
      <w:r w:rsidRPr="00075BB7">
        <w:rPr>
          <w:b w:val="0"/>
        </w:rPr>
        <w:t xml:space="preserve">nzim </w:t>
      </w:r>
      <w:r w:rsidR="00DD010F">
        <w:rPr>
          <w:b w:val="0"/>
        </w:rPr>
        <w:t>m</w:t>
      </w:r>
      <w:r w:rsidRPr="00075BB7">
        <w:rPr>
          <w:b w:val="0"/>
        </w:rPr>
        <w:t xml:space="preserve">iktarlarının </w:t>
      </w:r>
      <w:r w:rsidR="00DD010F">
        <w:rPr>
          <w:b w:val="0"/>
        </w:rPr>
        <w:t>k</w:t>
      </w:r>
      <w:r w:rsidRPr="00075BB7">
        <w:rPr>
          <w:b w:val="0"/>
        </w:rPr>
        <w:t>arşılaştırılması</w:t>
      </w:r>
      <w:r w:rsidRPr="00075BB7">
        <w:rPr>
          <w:b w:val="0"/>
          <w:webHidden/>
        </w:rPr>
        <w:tab/>
        <w:t>91</w:t>
      </w:r>
    </w:p>
    <w:p w:rsidR="006A4185" w:rsidRPr="00075BB7" w:rsidRDefault="006A4185" w:rsidP="006A4185">
      <w:pPr>
        <w:pStyle w:val="T2"/>
        <w:rPr>
          <w:b w:val="0"/>
        </w:rPr>
      </w:pPr>
      <w:r w:rsidRPr="00075BB7">
        <w:rPr>
          <w:b w:val="0"/>
        </w:rPr>
        <w:t>4.</w:t>
      </w:r>
      <w:r>
        <w:rPr>
          <w:b w:val="0"/>
        </w:rPr>
        <w:t>3</w:t>
      </w:r>
      <w:r w:rsidRPr="00075BB7">
        <w:rPr>
          <w:b w:val="0"/>
        </w:rPr>
        <w:t>.3</w:t>
      </w:r>
      <w:r>
        <w:rPr>
          <w:b w:val="0"/>
        </w:rPr>
        <w:t>.</w:t>
      </w:r>
      <w:r w:rsidRPr="00075BB7">
        <w:rPr>
          <w:b w:val="0"/>
        </w:rPr>
        <w:t xml:space="preserve"> ELISA Yönteminden Elde Edilen G6PD Sonuçları</w:t>
      </w:r>
      <w:r w:rsidRPr="00075BB7">
        <w:rPr>
          <w:b w:val="0"/>
          <w:webHidden/>
        </w:rPr>
        <w:tab/>
        <w:t>94</w:t>
      </w:r>
    </w:p>
    <w:p w:rsidR="006A4185" w:rsidRPr="00075BB7" w:rsidRDefault="006A4185" w:rsidP="006A4185">
      <w:pPr>
        <w:pStyle w:val="T2"/>
        <w:rPr>
          <w:b w:val="0"/>
        </w:rPr>
      </w:pPr>
      <w:r w:rsidRPr="00075BB7">
        <w:rPr>
          <w:b w:val="0"/>
        </w:rPr>
        <w:t>4.</w:t>
      </w:r>
      <w:r>
        <w:rPr>
          <w:b w:val="0"/>
        </w:rPr>
        <w:t>3</w:t>
      </w:r>
      <w:r w:rsidRPr="00075BB7">
        <w:rPr>
          <w:b w:val="0"/>
        </w:rPr>
        <w:t>.3.1</w:t>
      </w:r>
      <w:r>
        <w:rPr>
          <w:b w:val="0"/>
        </w:rPr>
        <w:t>.</w:t>
      </w:r>
      <w:r w:rsidRPr="00075BB7">
        <w:rPr>
          <w:b w:val="0"/>
        </w:rPr>
        <w:t xml:space="preserve"> G6PD </w:t>
      </w:r>
      <w:r w:rsidR="00A57EE1">
        <w:rPr>
          <w:b w:val="0"/>
        </w:rPr>
        <w:t>e</w:t>
      </w:r>
      <w:r w:rsidRPr="00075BB7">
        <w:rPr>
          <w:b w:val="0"/>
        </w:rPr>
        <w:t xml:space="preserve">nzim </w:t>
      </w:r>
      <w:r w:rsidR="00DD010F">
        <w:rPr>
          <w:b w:val="0"/>
        </w:rPr>
        <w:t>m</w:t>
      </w:r>
      <w:r w:rsidRPr="00075BB7">
        <w:rPr>
          <w:b w:val="0"/>
        </w:rPr>
        <w:t xml:space="preserve">iktarının </w:t>
      </w:r>
      <w:r w:rsidR="00DD010F">
        <w:rPr>
          <w:b w:val="0"/>
        </w:rPr>
        <w:t>z</w:t>
      </w:r>
      <w:r w:rsidRPr="00075BB7">
        <w:rPr>
          <w:b w:val="0"/>
        </w:rPr>
        <w:t xml:space="preserve">amana ve </w:t>
      </w:r>
      <w:r w:rsidR="00DD010F">
        <w:rPr>
          <w:b w:val="0"/>
        </w:rPr>
        <w:t>k</w:t>
      </w:r>
      <w:r w:rsidRPr="00075BB7">
        <w:rPr>
          <w:b w:val="0"/>
        </w:rPr>
        <w:t xml:space="preserve">onsantrasyona </w:t>
      </w:r>
      <w:r w:rsidR="00DD010F">
        <w:rPr>
          <w:b w:val="0"/>
        </w:rPr>
        <w:t>b</w:t>
      </w:r>
      <w:r w:rsidRPr="00075BB7">
        <w:rPr>
          <w:b w:val="0"/>
        </w:rPr>
        <w:t xml:space="preserve">ağlı </w:t>
      </w:r>
      <w:r w:rsidR="00DD010F">
        <w:rPr>
          <w:b w:val="0"/>
        </w:rPr>
        <w:t>d</w:t>
      </w:r>
      <w:r w:rsidRPr="00075BB7">
        <w:rPr>
          <w:b w:val="0"/>
        </w:rPr>
        <w:t>eğişimi</w:t>
      </w:r>
      <w:r w:rsidRPr="00075BB7">
        <w:rPr>
          <w:b w:val="0"/>
          <w:webHidden/>
        </w:rPr>
        <w:tab/>
        <w:t>94</w:t>
      </w:r>
    </w:p>
    <w:p w:rsidR="006A4185" w:rsidRPr="00075BB7" w:rsidRDefault="006A4185" w:rsidP="006A4185">
      <w:pPr>
        <w:pStyle w:val="T2"/>
        <w:rPr>
          <w:b w:val="0"/>
        </w:rPr>
      </w:pPr>
      <w:r w:rsidRPr="00075BB7">
        <w:rPr>
          <w:b w:val="0"/>
        </w:rPr>
        <w:t>4.</w:t>
      </w:r>
      <w:r>
        <w:rPr>
          <w:b w:val="0"/>
        </w:rPr>
        <w:t>3</w:t>
      </w:r>
      <w:r w:rsidRPr="00075BB7">
        <w:rPr>
          <w:b w:val="0"/>
        </w:rPr>
        <w:t>.3.</w:t>
      </w:r>
      <w:r>
        <w:rPr>
          <w:b w:val="0"/>
        </w:rPr>
        <w:t>2.</w:t>
      </w:r>
      <w:r w:rsidR="00DD010F">
        <w:rPr>
          <w:b w:val="0"/>
        </w:rPr>
        <w:t xml:space="preserve"> Aynı k</w:t>
      </w:r>
      <w:r w:rsidRPr="00075BB7">
        <w:rPr>
          <w:b w:val="0"/>
        </w:rPr>
        <w:t xml:space="preserve">onsantrasyonlu </w:t>
      </w:r>
      <w:r w:rsidR="00DD010F">
        <w:rPr>
          <w:b w:val="0"/>
        </w:rPr>
        <w:t>glukoz u</w:t>
      </w:r>
      <w:r w:rsidRPr="00075BB7">
        <w:rPr>
          <w:b w:val="0"/>
        </w:rPr>
        <w:t xml:space="preserve">ygulamalarında </w:t>
      </w:r>
      <w:r w:rsidR="00DD010F">
        <w:rPr>
          <w:b w:val="0"/>
        </w:rPr>
        <w:t>n</w:t>
      </w:r>
      <w:r w:rsidRPr="00075BB7">
        <w:rPr>
          <w:b w:val="0"/>
        </w:rPr>
        <w:t xml:space="preserve">ormoksik ve </w:t>
      </w:r>
      <w:r w:rsidR="00DD010F">
        <w:rPr>
          <w:b w:val="0"/>
        </w:rPr>
        <w:t>h</w:t>
      </w:r>
      <w:r w:rsidRPr="00075BB7">
        <w:rPr>
          <w:b w:val="0"/>
        </w:rPr>
        <w:t xml:space="preserve">ipoksik </w:t>
      </w:r>
      <w:r w:rsidR="00DD010F">
        <w:rPr>
          <w:b w:val="0"/>
        </w:rPr>
        <w:t>o</w:t>
      </w:r>
      <w:r w:rsidRPr="00075BB7">
        <w:rPr>
          <w:b w:val="0"/>
        </w:rPr>
        <w:t xml:space="preserve">rtamdaki G6PD </w:t>
      </w:r>
      <w:r w:rsidR="00DD010F">
        <w:rPr>
          <w:b w:val="0"/>
        </w:rPr>
        <w:t>e</w:t>
      </w:r>
      <w:r w:rsidRPr="00075BB7">
        <w:rPr>
          <w:b w:val="0"/>
        </w:rPr>
        <w:t xml:space="preserve">nzim </w:t>
      </w:r>
      <w:r w:rsidR="00DD010F">
        <w:rPr>
          <w:b w:val="0"/>
        </w:rPr>
        <w:t>m</w:t>
      </w:r>
      <w:r w:rsidRPr="00075BB7">
        <w:rPr>
          <w:b w:val="0"/>
        </w:rPr>
        <w:t xml:space="preserve">iktarlarının </w:t>
      </w:r>
      <w:r w:rsidR="00DD010F">
        <w:rPr>
          <w:b w:val="0"/>
        </w:rPr>
        <w:t>k</w:t>
      </w:r>
      <w:r w:rsidRPr="00075BB7">
        <w:rPr>
          <w:b w:val="0"/>
        </w:rPr>
        <w:t>arşılaştırılması</w:t>
      </w:r>
      <w:r w:rsidRPr="00075BB7">
        <w:rPr>
          <w:b w:val="0"/>
          <w:webHidden/>
        </w:rPr>
        <w:tab/>
        <w:t>97</w:t>
      </w:r>
    </w:p>
    <w:p w:rsidR="006A4185" w:rsidRPr="00075BB7" w:rsidRDefault="006A4185" w:rsidP="006A4185">
      <w:pPr>
        <w:pStyle w:val="T2"/>
        <w:rPr>
          <w:b w:val="0"/>
        </w:rPr>
      </w:pPr>
      <w:r w:rsidRPr="00075BB7">
        <w:rPr>
          <w:b w:val="0"/>
        </w:rPr>
        <w:t>4.</w:t>
      </w:r>
      <w:r>
        <w:rPr>
          <w:b w:val="0"/>
        </w:rPr>
        <w:t>3</w:t>
      </w:r>
      <w:r w:rsidRPr="00075BB7">
        <w:rPr>
          <w:b w:val="0"/>
        </w:rPr>
        <w:t>.4</w:t>
      </w:r>
      <w:r>
        <w:rPr>
          <w:b w:val="0"/>
        </w:rPr>
        <w:t>.</w:t>
      </w:r>
      <w:r w:rsidRPr="00075BB7">
        <w:rPr>
          <w:b w:val="0"/>
        </w:rPr>
        <w:t xml:space="preserve"> ELISA Yönteminden Elde Edilen HK2 Sonuçları</w:t>
      </w:r>
      <w:r w:rsidRPr="00075BB7">
        <w:rPr>
          <w:b w:val="0"/>
          <w:webHidden/>
        </w:rPr>
        <w:tab/>
        <w:t>100</w:t>
      </w:r>
    </w:p>
    <w:p w:rsidR="006A4185" w:rsidRPr="00075BB7" w:rsidRDefault="006A4185" w:rsidP="006A4185">
      <w:pPr>
        <w:pStyle w:val="T2"/>
        <w:rPr>
          <w:b w:val="0"/>
        </w:rPr>
      </w:pPr>
      <w:r w:rsidRPr="00075BB7">
        <w:rPr>
          <w:b w:val="0"/>
        </w:rPr>
        <w:t>4.</w:t>
      </w:r>
      <w:r>
        <w:rPr>
          <w:b w:val="0"/>
        </w:rPr>
        <w:t>3</w:t>
      </w:r>
      <w:r w:rsidRPr="00075BB7">
        <w:rPr>
          <w:b w:val="0"/>
        </w:rPr>
        <w:t>.4.1</w:t>
      </w:r>
      <w:r>
        <w:rPr>
          <w:b w:val="0"/>
        </w:rPr>
        <w:t>.</w:t>
      </w:r>
      <w:r w:rsidR="00DD010F">
        <w:rPr>
          <w:b w:val="0"/>
        </w:rPr>
        <w:t xml:space="preserve"> HK2 e</w:t>
      </w:r>
      <w:r w:rsidRPr="00075BB7">
        <w:rPr>
          <w:b w:val="0"/>
        </w:rPr>
        <w:t xml:space="preserve">nzim </w:t>
      </w:r>
      <w:r w:rsidR="00DD010F">
        <w:rPr>
          <w:b w:val="0"/>
        </w:rPr>
        <w:t>m</w:t>
      </w:r>
      <w:r w:rsidRPr="00075BB7">
        <w:rPr>
          <w:b w:val="0"/>
        </w:rPr>
        <w:t xml:space="preserve">iktarının </w:t>
      </w:r>
      <w:r w:rsidR="00DD010F">
        <w:rPr>
          <w:b w:val="0"/>
        </w:rPr>
        <w:t>z</w:t>
      </w:r>
      <w:r w:rsidRPr="00075BB7">
        <w:rPr>
          <w:b w:val="0"/>
        </w:rPr>
        <w:t xml:space="preserve">amana </w:t>
      </w:r>
      <w:r w:rsidR="00DD010F">
        <w:rPr>
          <w:b w:val="0"/>
        </w:rPr>
        <w:t>g</w:t>
      </w:r>
      <w:r w:rsidRPr="00075BB7">
        <w:rPr>
          <w:b w:val="0"/>
        </w:rPr>
        <w:t xml:space="preserve">öre </w:t>
      </w:r>
      <w:r w:rsidR="00DD010F">
        <w:rPr>
          <w:b w:val="0"/>
        </w:rPr>
        <w:t>d</w:t>
      </w:r>
      <w:r w:rsidRPr="00075BB7">
        <w:rPr>
          <w:b w:val="0"/>
        </w:rPr>
        <w:t>eğişimi</w:t>
      </w:r>
      <w:r w:rsidRPr="00075BB7">
        <w:rPr>
          <w:b w:val="0"/>
          <w:webHidden/>
        </w:rPr>
        <w:tab/>
        <w:t>100</w:t>
      </w:r>
    </w:p>
    <w:p w:rsidR="006A4185" w:rsidRPr="00075BB7" w:rsidRDefault="006A4185" w:rsidP="006A4185">
      <w:pPr>
        <w:pStyle w:val="T2"/>
        <w:rPr>
          <w:b w:val="0"/>
        </w:rPr>
      </w:pPr>
      <w:r w:rsidRPr="00075BB7">
        <w:rPr>
          <w:b w:val="0"/>
        </w:rPr>
        <w:t>4.</w:t>
      </w:r>
      <w:r>
        <w:rPr>
          <w:b w:val="0"/>
        </w:rPr>
        <w:t>3</w:t>
      </w:r>
      <w:r w:rsidRPr="00075BB7">
        <w:rPr>
          <w:b w:val="0"/>
        </w:rPr>
        <w:t>.4.</w:t>
      </w:r>
      <w:r>
        <w:rPr>
          <w:b w:val="0"/>
        </w:rPr>
        <w:t>2.</w:t>
      </w:r>
      <w:r w:rsidRPr="00075BB7">
        <w:rPr>
          <w:b w:val="0"/>
        </w:rPr>
        <w:t xml:space="preserve"> Aynı </w:t>
      </w:r>
      <w:r w:rsidR="00DD010F">
        <w:rPr>
          <w:b w:val="0"/>
        </w:rPr>
        <w:t>k</w:t>
      </w:r>
      <w:r w:rsidRPr="00075BB7">
        <w:rPr>
          <w:b w:val="0"/>
        </w:rPr>
        <w:t xml:space="preserve">onsantrasyonlu </w:t>
      </w:r>
      <w:r w:rsidR="00DD010F">
        <w:rPr>
          <w:b w:val="0"/>
        </w:rPr>
        <w:t>g</w:t>
      </w:r>
      <w:r w:rsidRPr="00075BB7">
        <w:rPr>
          <w:b w:val="0"/>
        </w:rPr>
        <w:t xml:space="preserve">lukoz </w:t>
      </w:r>
      <w:r w:rsidR="00DD010F">
        <w:rPr>
          <w:b w:val="0"/>
        </w:rPr>
        <w:t>u</w:t>
      </w:r>
      <w:r w:rsidRPr="00075BB7">
        <w:rPr>
          <w:b w:val="0"/>
        </w:rPr>
        <w:t xml:space="preserve">ygulamalarında </w:t>
      </w:r>
      <w:r w:rsidR="00DD010F">
        <w:rPr>
          <w:b w:val="0"/>
        </w:rPr>
        <w:t>n</w:t>
      </w:r>
      <w:r w:rsidRPr="00075BB7">
        <w:rPr>
          <w:b w:val="0"/>
        </w:rPr>
        <w:t xml:space="preserve">ormoksik ve </w:t>
      </w:r>
      <w:r w:rsidR="00DD010F">
        <w:rPr>
          <w:b w:val="0"/>
        </w:rPr>
        <w:t>h</w:t>
      </w:r>
      <w:r w:rsidRPr="00075BB7">
        <w:rPr>
          <w:b w:val="0"/>
        </w:rPr>
        <w:t xml:space="preserve">ipoksik </w:t>
      </w:r>
      <w:r w:rsidR="00DD010F">
        <w:rPr>
          <w:b w:val="0"/>
        </w:rPr>
        <w:t>ortamdaki HK2 enzim m</w:t>
      </w:r>
      <w:r w:rsidRPr="00075BB7">
        <w:rPr>
          <w:b w:val="0"/>
        </w:rPr>
        <w:t xml:space="preserve">iktarlarının </w:t>
      </w:r>
      <w:r w:rsidR="00DD010F">
        <w:rPr>
          <w:b w:val="0"/>
        </w:rPr>
        <w:t>k</w:t>
      </w:r>
      <w:r w:rsidRPr="00075BB7">
        <w:rPr>
          <w:b w:val="0"/>
        </w:rPr>
        <w:t>arşılaştırılması</w:t>
      </w:r>
      <w:r w:rsidRPr="00075BB7">
        <w:rPr>
          <w:b w:val="0"/>
          <w:webHidden/>
        </w:rPr>
        <w:tab/>
        <w:t>103</w:t>
      </w:r>
    </w:p>
    <w:p w:rsidR="006A4185" w:rsidRPr="00075BB7" w:rsidRDefault="006A4185" w:rsidP="006A4185">
      <w:pPr>
        <w:pStyle w:val="T2"/>
        <w:rPr>
          <w:b w:val="0"/>
        </w:rPr>
      </w:pPr>
      <w:r w:rsidRPr="00075BB7">
        <w:rPr>
          <w:b w:val="0"/>
        </w:rPr>
        <w:t>4.</w:t>
      </w:r>
      <w:r>
        <w:rPr>
          <w:b w:val="0"/>
        </w:rPr>
        <w:t>3</w:t>
      </w:r>
      <w:r w:rsidRPr="00075BB7">
        <w:rPr>
          <w:b w:val="0"/>
        </w:rPr>
        <w:t>.5</w:t>
      </w:r>
      <w:r w:rsidR="00966BAC">
        <w:rPr>
          <w:b w:val="0"/>
        </w:rPr>
        <w:t>.</w:t>
      </w:r>
      <w:r w:rsidR="00DD010F">
        <w:rPr>
          <w:b w:val="0"/>
        </w:rPr>
        <w:t xml:space="preserve"> ELISA</w:t>
      </w:r>
      <w:r w:rsidR="00351119">
        <w:rPr>
          <w:b w:val="0"/>
        </w:rPr>
        <w:t xml:space="preserve"> Y</w:t>
      </w:r>
      <w:r w:rsidRPr="00075BB7">
        <w:rPr>
          <w:b w:val="0"/>
        </w:rPr>
        <w:t xml:space="preserve">önteminden </w:t>
      </w:r>
      <w:r w:rsidR="00351119">
        <w:rPr>
          <w:b w:val="0"/>
        </w:rPr>
        <w:t>E</w:t>
      </w:r>
      <w:r w:rsidRPr="00075BB7">
        <w:rPr>
          <w:b w:val="0"/>
        </w:rPr>
        <w:t xml:space="preserve">lde </w:t>
      </w:r>
      <w:r w:rsidR="00351119">
        <w:rPr>
          <w:b w:val="0"/>
        </w:rPr>
        <w:t>E</w:t>
      </w:r>
      <w:r w:rsidRPr="00075BB7">
        <w:rPr>
          <w:b w:val="0"/>
        </w:rPr>
        <w:t xml:space="preserve">dilen PFKP </w:t>
      </w:r>
      <w:r w:rsidR="00351119">
        <w:rPr>
          <w:b w:val="0"/>
        </w:rPr>
        <w:t>S</w:t>
      </w:r>
      <w:r w:rsidRPr="00075BB7">
        <w:rPr>
          <w:b w:val="0"/>
        </w:rPr>
        <w:t>onuçları</w:t>
      </w:r>
      <w:r w:rsidRPr="00075BB7">
        <w:rPr>
          <w:b w:val="0"/>
          <w:webHidden/>
        </w:rPr>
        <w:tab/>
        <w:t>106</w:t>
      </w:r>
    </w:p>
    <w:p w:rsidR="006A4185" w:rsidRPr="00075BB7" w:rsidRDefault="006A4185" w:rsidP="006A4185">
      <w:pPr>
        <w:pStyle w:val="T2"/>
        <w:rPr>
          <w:b w:val="0"/>
        </w:rPr>
      </w:pPr>
      <w:r w:rsidRPr="00075BB7">
        <w:rPr>
          <w:b w:val="0"/>
        </w:rPr>
        <w:t>4.</w:t>
      </w:r>
      <w:r>
        <w:rPr>
          <w:b w:val="0"/>
        </w:rPr>
        <w:t>3</w:t>
      </w:r>
      <w:r w:rsidRPr="00075BB7">
        <w:rPr>
          <w:b w:val="0"/>
        </w:rPr>
        <w:t>.5.1</w:t>
      </w:r>
      <w:r>
        <w:rPr>
          <w:b w:val="0"/>
        </w:rPr>
        <w:t>.</w:t>
      </w:r>
      <w:r w:rsidR="00DD010F">
        <w:rPr>
          <w:b w:val="0"/>
        </w:rPr>
        <w:t xml:space="preserve"> PFKP enzim m</w:t>
      </w:r>
      <w:r w:rsidRPr="00075BB7">
        <w:rPr>
          <w:b w:val="0"/>
        </w:rPr>
        <w:t xml:space="preserve">iktarının </w:t>
      </w:r>
      <w:r w:rsidR="00DD010F">
        <w:rPr>
          <w:b w:val="0"/>
        </w:rPr>
        <w:t>z</w:t>
      </w:r>
      <w:r w:rsidRPr="00075BB7">
        <w:rPr>
          <w:b w:val="0"/>
        </w:rPr>
        <w:t xml:space="preserve">amana ve </w:t>
      </w:r>
      <w:r w:rsidR="00DD010F">
        <w:rPr>
          <w:b w:val="0"/>
        </w:rPr>
        <w:t>konsantrasyona bağlı d</w:t>
      </w:r>
      <w:r w:rsidRPr="00075BB7">
        <w:rPr>
          <w:b w:val="0"/>
        </w:rPr>
        <w:t>eğişimi</w:t>
      </w:r>
      <w:r w:rsidRPr="00075BB7">
        <w:rPr>
          <w:b w:val="0"/>
          <w:webHidden/>
        </w:rPr>
        <w:tab/>
        <w:t>106</w:t>
      </w:r>
    </w:p>
    <w:p w:rsidR="006A4185" w:rsidRPr="00075BB7" w:rsidRDefault="006A4185" w:rsidP="006A4185">
      <w:pPr>
        <w:pStyle w:val="T2"/>
        <w:rPr>
          <w:b w:val="0"/>
        </w:rPr>
      </w:pPr>
      <w:r w:rsidRPr="00075BB7">
        <w:rPr>
          <w:b w:val="0"/>
        </w:rPr>
        <w:t>4.</w:t>
      </w:r>
      <w:r>
        <w:rPr>
          <w:b w:val="0"/>
        </w:rPr>
        <w:t>3</w:t>
      </w:r>
      <w:r w:rsidRPr="00075BB7">
        <w:rPr>
          <w:b w:val="0"/>
        </w:rPr>
        <w:t>.5.</w:t>
      </w:r>
      <w:r>
        <w:rPr>
          <w:b w:val="0"/>
        </w:rPr>
        <w:t>2.</w:t>
      </w:r>
      <w:r w:rsidR="00DD010F">
        <w:rPr>
          <w:b w:val="0"/>
        </w:rPr>
        <w:t xml:space="preserve"> Aynı </w:t>
      </w:r>
      <w:r w:rsidR="006B7302">
        <w:rPr>
          <w:b w:val="0"/>
        </w:rPr>
        <w:t>k</w:t>
      </w:r>
      <w:r w:rsidR="00DD010F">
        <w:rPr>
          <w:b w:val="0"/>
        </w:rPr>
        <w:t>onsantrasyonlu g</w:t>
      </w:r>
      <w:r w:rsidR="006B7302">
        <w:rPr>
          <w:b w:val="0"/>
        </w:rPr>
        <w:t>lukoz uygulamalarında n</w:t>
      </w:r>
      <w:r w:rsidRPr="00075BB7">
        <w:rPr>
          <w:b w:val="0"/>
        </w:rPr>
        <w:t xml:space="preserve">ormoksik ve </w:t>
      </w:r>
      <w:r w:rsidR="006B7302">
        <w:rPr>
          <w:b w:val="0"/>
        </w:rPr>
        <w:t>h</w:t>
      </w:r>
      <w:r w:rsidRPr="00075BB7">
        <w:rPr>
          <w:b w:val="0"/>
        </w:rPr>
        <w:t xml:space="preserve">ipoksik </w:t>
      </w:r>
      <w:r w:rsidR="006B7302">
        <w:rPr>
          <w:b w:val="0"/>
        </w:rPr>
        <w:t>o</w:t>
      </w:r>
      <w:r w:rsidRPr="00075BB7">
        <w:rPr>
          <w:b w:val="0"/>
        </w:rPr>
        <w:t xml:space="preserve">rtamdaki PFKP </w:t>
      </w:r>
      <w:r w:rsidR="006B7302">
        <w:rPr>
          <w:b w:val="0"/>
        </w:rPr>
        <w:t>enzim m</w:t>
      </w:r>
      <w:r w:rsidRPr="00075BB7">
        <w:rPr>
          <w:b w:val="0"/>
        </w:rPr>
        <w:t xml:space="preserve">iktarlarının </w:t>
      </w:r>
      <w:r w:rsidR="006B7302">
        <w:rPr>
          <w:b w:val="0"/>
        </w:rPr>
        <w:t>k</w:t>
      </w:r>
      <w:r w:rsidRPr="00075BB7">
        <w:rPr>
          <w:b w:val="0"/>
        </w:rPr>
        <w:t>arşılaştırılması</w:t>
      </w:r>
      <w:r w:rsidRPr="00075BB7">
        <w:rPr>
          <w:b w:val="0"/>
          <w:webHidden/>
        </w:rPr>
        <w:tab/>
        <w:t>110</w:t>
      </w:r>
    </w:p>
    <w:p w:rsidR="006A4185" w:rsidRPr="00075BB7" w:rsidRDefault="006A4185" w:rsidP="006A4185">
      <w:pPr>
        <w:pStyle w:val="T2"/>
        <w:rPr>
          <w:b w:val="0"/>
        </w:rPr>
      </w:pPr>
      <w:r>
        <w:rPr>
          <w:b w:val="0"/>
        </w:rPr>
        <w:t>4</w:t>
      </w:r>
      <w:r w:rsidRPr="00075BB7">
        <w:rPr>
          <w:b w:val="0"/>
        </w:rPr>
        <w:t>.</w:t>
      </w:r>
      <w:r>
        <w:rPr>
          <w:b w:val="0"/>
        </w:rPr>
        <w:t>4</w:t>
      </w:r>
      <w:r w:rsidRPr="00075BB7">
        <w:rPr>
          <w:b w:val="0"/>
        </w:rPr>
        <w:t xml:space="preserve">. </w:t>
      </w:r>
      <w:r w:rsidR="00C222B1">
        <w:rPr>
          <w:b w:val="0"/>
        </w:rPr>
        <w:t>Ko</w:t>
      </w:r>
      <w:r w:rsidRPr="00D771A2">
        <w:rPr>
          <w:b w:val="0"/>
        </w:rPr>
        <w:t>lorimetrik Laktat Tayini</w:t>
      </w:r>
      <w:r w:rsidRPr="00075BB7">
        <w:rPr>
          <w:b w:val="0"/>
          <w:webHidden/>
        </w:rPr>
        <w:tab/>
      </w:r>
      <w:r>
        <w:rPr>
          <w:b w:val="0"/>
          <w:webHidden/>
        </w:rPr>
        <w:t>112</w:t>
      </w:r>
    </w:p>
    <w:p w:rsidR="006A4185" w:rsidRPr="00075BB7" w:rsidRDefault="006A4185" w:rsidP="006A4185">
      <w:pPr>
        <w:pStyle w:val="T2"/>
        <w:rPr>
          <w:b w:val="0"/>
        </w:rPr>
      </w:pPr>
      <w:r w:rsidRPr="00075BB7">
        <w:rPr>
          <w:b w:val="0"/>
        </w:rPr>
        <w:t>4.</w:t>
      </w:r>
      <w:r>
        <w:rPr>
          <w:b w:val="0"/>
        </w:rPr>
        <w:t>4</w:t>
      </w:r>
      <w:r w:rsidRPr="00075BB7">
        <w:rPr>
          <w:b w:val="0"/>
        </w:rPr>
        <w:t>.1</w:t>
      </w:r>
      <w:r w:rsidR="00966BAC">
        <w:rPr>
          <w:b w:val="0"/>
        </w:rPr>
        <w:t>.</w:t>
      </w:r>
      <w:r w:rsidRPr="00075BB7">
        <w:rPr>
          <w:b w:val="0"/>
        </w:rPr>
        <w:t xml:space="preserve"> Normoksik ve Hipoksik Koşullarda Zamana Bağlı Hücre Dışı Laktat Salınımı</w:t>
      </w:r>
      <w:r w:rsidRPr="00075BB7">
        <w:rPr>
          <w:b w:val="0"/>
          <w:webHidden/>
        </w:rPr>
        <w:tab/>
        <w:t>112</w:t>
      </w:r>
    </w:p>
    <w:p w:rsidR="006A4185" w:rsidRPr="00075BB7" w:rsidRDefault="006A4185" w:rsidP="006A4185">
      <w:pPr>
        <w:pStyle w:val="T2"/>
        <w:rPr>
          <w:b w:val="0"/>
        </w:rPr>
      </w:pPr>
      <w:r w:rsidRPr="00075BB7">
        <w:rPr>
          <w:b w:val="0"/>
        </w:rPr>
        <w:t>4.</w:t>
      </w:r>
      <w:r>
        <w:rPr>
          <w:b w:val="0"/>
        </w:rPr>
        <w:t>4.</w:t>
      </w:r>
      <w:r w:rsidRPr="00075BB7">
        <w:rPr>
          <w:b w:val="0"/>
        </w:rPr>
        <w:t>2</w:t>
      </w:r>
      <w:r>
        <w:rPr>
          <w:b w:val="0"/>
        </w:rPr>
        <w:t>.</w:t>
      </w:r>
      <w:r w:rsidRPr="00075BB7">
        <w:rPr>
          <w:b w:val="0"/>
        </w:rPr>
        <w:t xml:space="preserve"> Aynı Konsantrasyonlu Glukoz Uygulamalarında Normoksik ve Hipoksik Ortamdaki Ekstrasellüler Laktat Miktarlarının Karşılaştırılması</w:t>
      </w:r>
      <w:r w:rsidRPr="00075BB7">
        <w:rPr>
          <w:b w:val="0"/>
          <w:webHidden/>
        </w:rPr>
        <w:tab/>
        <w:t>116</w:t>
      </w:r>
    </w:p>
    <w:p w:rsidR="006A4185" w:rsidRPr="00075BB7" w:rsidRDefault="006A4185" w:rsidP="006A4185">
      <w:pPr>
        <w:pStyle w:val="T2"/>
        <w:rPr>
          <w:b w:val="0"/>
        </w:rPr>
      </w:pPr>
      <w:r w:rsidRPr="00075BB7">
        <w:rPr>
          <w:b w:val="0"/>
        </w:rPr>
        <w:t>4.</w:t>
      </w:r>
      <w:r>
        <w:rPr>
          <w:b w:val="0"/>
        </w:rPr>
        <w:t>5.</w:t>
      </w:r>
      <w:r w:rsidRPr="00075BB7">
        <w:rPr>
          <w:b w:val="0"/>
        </w:rPr>
        <w:t xml:space="preserve"> Glukoz Tüketim Miktarlarının Belirlenmesi</w:t>
      </w:r>
      <w:r w:rsidRPr="00075BB7">
        <w:rPr>
          <w:b w:val="0"/>
          <w:webHidden/>
        </w:rPr>
        <w:tab/>
        <w:t>119</w:t>
      </w:r>
    </w:p>
    <w:p w:rsidR="006A4185" w:rsidRPr="00075BB7" w:rsidRDefault="006A4185" w:rsidP="006A4185">
      <w:pPr>
        <w:pStyle w:val="T2"/>
        <w:rPr>
          <w:b w:val="0"/>
        </w:rPr>
      </w:pPr>
      <w:r w:rsidRPr="00075BB7">
        <w:rPr>
          <w:b w:val="0"/>
        </w:rPr>
        <w:t>4.</w:t>
      </w:r>
      <w:r>
        <w:rPr>
          <w:b w:val="0"/>
        </w:rPr>
        <w:t>5</w:t>
      </w:r>
      <w:r w:rsidRPr="00075BB7">
        <w:rPr>
          <w:b w:val="0"/>
        </w:rPr>
        <w:t>.1</w:t>
      </w:r>
      <w:r>
        <w:rPr>
          <w:b w:val="0"/>
        </w:rPr>
        <w:t>.</w:t>
      </w:r>
      <w:r w:rsidRPr="00075BB7">
        <w:rPr>
          <w:b w:val="0"/>
        </w:rPr>
        <w:t xml:space="preserve"> Normoksik ve Hipoksik Koşullarda Glukoz Tüketim Miktarı</w:t>
      </w:r>
      <w:r w:rsidRPr="00075BB7">
        <w:rPr>
          <w:b w:val="0"/>
          <w:webHidden/>
        </w:rPr>
        <w:tab/>
        <w:t>119</w:t>
      </w:r>
    </w:p>
    <w:p w:rsidR="006A4185" w:rsidRPr="00075BB7" w:rsidRDefault="006A4185" w:rsidP="006A4185">
      <w:pPr>
        <w:pStyle w:val="T2"/>
        <w:rPr>
          <w:b w:val="0"/>
        </w:rPr>
      </w:pPr>
      <w:r w:rsidRPr="00075BB7">
        <w:rPr>
          <w:b w:val="0"/>
        </w:rPr>
        <w:t>4.</w:t>
      </w:r>
      <w:r>
        <w:rPr>
          <w:b w:val="0"/>
        </w:rPr>
        <w:t>5</w:t>
      </w:r>
      <w:r w:rsidRPr="00075BB7">
        <w:rPr>
          <w:b w:val="0"/>
        </w:rPr>
        <w:t>.2</w:t>
      </w:r>
      <w:r>
        <w:rPr>
          <w:b w:val="0"/>
        </w:rPr>
        <w:t>.</w:t>
      </w:r>
      <w:r w:rsidRPr="00075BB7">
        <w:rPr>
          <w:b w:val="0"/>
        </w:rPr>
        <w:t xml:space="preserve"> Normoksik ve Hipoksik Koşulların Glukoz Tüketim Miktarı Üzerine Etkisinin Karşılaştırılması</w:t>
      </w:r>
      <w:r w:rsidRPr="00075BB7">
        <w:rPr>
          <w:b w:val="0"/>
          <w:webHidden/>
        </w:rPr>
        <w:tab/>
        <w:t>121</w:t>
      </w:r>
    </w:p>
    <w:p w:rsidR="006A4185" w:rsidRPr="00075BB7" w:rsidRDefault="006A4185" w:rsidP="006A4185">
      <w:pPr>
        <w:pStyle w:val="T2"/>
        <w:rPr>
          <w:b w:val="0"/>
        </w:rPr>
      </w:pPr>
      <w:r w:rsidRPr="00075BB7">
        <w:rPr>
          <w:b w:val="0"/>
        </w:rPr>
        <w:t>4.</w:t>
      </w:r>
      <w:r>
        <w:rPr>
          <w:b w:val="0"/>
        </w:rPr>
        <w:t>6.</w:t>
      </w:r>
      <w:r w:rsidRPr="00075BB7">
        <w:rPr>
          <w:b w:val="0"/>
        </w:rPr>
        <w:t xml:space="preserve"> Wound Healing Test Sonuçları</w:t>
      </w:r>
      <w:r w:rsidRPr="00075BB7">
        <w:rPr>
          <w:b w:val="0"/>
          <w:webHidden/>
        </w:rPr>
        <w:tab/>
        <w:t>123</w:t>
      </w:r>
    </w:p>
    <w:p w:rsidR="006A4185" w:rsidRPr="003418F0" w:rsidRDefault="006A4185" w:rsidP="006A4185">
      <w:pPr>
        <w:pStyle w:val="T1"/>
        <w:rPr>
          <w:b w:val="0"/>
        </w:rPr>
      </w:pPr>
      <w:r w:rsidRPr="00E83F17">
        <w:rPr>
          <w:b w:val="0"/>
          <w:sz w:val="24"/>
        </w:rPr>
        <w:t>5. TARTIŞMA</w:t>
      </w:r>
      <w:r w:rsidRPr="003418F0">
        <w:rPr>
          <w:b w:val="0"/>
          <w:webHidden/>
        </w:rPr>
        <w:tab/>
        <w:t>128</w:t>
      </w:r>
    </w:p>
    <w:p w:rsidR="006A4185" w:rsidRPr="003418F0" w:rsidRDefault="006A4185" w:rsidP="006A4185">
      <w:pPr>
        <w:pStyle w:val="T2"/>
        <w:rPr>
          <w:b w:val="0"/>
        </w:rPr>
      </w:pPr>
      <w:r w:rsidRPr="003418F0">
        <w:rPr>
          <w:b w:val="0"/>
        </w:rPr>
        <w:t>6. SONUÇ ve ÖNERİLER</w:t>
      </w:r>
      <w:r w:rsidRPr="003418F0">
        <w:rPr>
          <w:b w:val="0"/>
          <w:webHidden/>
        </w:rPr>
        <w:tab/>
        <w:t>14</w:t>
      </w:r>
      <w:r w:rsidR="00904AFB">
        <w:rPr>
          <w:b w:val="0"/>
          <w:webHidden/>
        </w:rPr>
        <w:t>6</w:t>
      </w:r>
    </w:p>
    <w:p w:rsidR="006A4185" w:rsidRPr="00075BB7" w:rsidRDefault="006A4185" w:rsidP="006A4185">
      <w:pPr>
        <w:pStyle w:val="T2"/>
        <w:rPr>
          <w:b w:val="0"/>
        </w:rPr>
      </w:pPr>
      <w:r w:rsidRPr="00075BB7">
        <w:rPr>
          <w:b w:val="0"/>
        </w:rPr>
        <w:t>KAYNAKLAR</w:t>
      </w:r>
      <w:r w:rsidRPr="00075BB7">
        <w:rPr>
          <w:b w:val="0"/>
          <w:webHidden/>
        </w:rPr>
        <w:tab/>
        <w:t>149</w:t>
      </w:r>
    </w:p>
    <w:p w:rsidR="006A4185" w:rsidRPr="00075BB7" w:rsidRDefault="006A4185" w:rsidP="006A4185">
      <w:pPr>
        <w:pStyle w:val="T2"/>
        <w:rPr>
          <w:b w:val="0"/>
        </w:rPr>
      </w:pPr>
      <w:r w:rsidRPr="00075BB7">
        <w:rPr>
          <w:b w:val="0"/>
        </w:rPr>
        <w:t>ÖZGEÇMİŞ</w:t>
      </w:r>
      <w:r w:rsidRPr="00075BB7">
        <w:rPr>
          <w:b w:val="0"/>
          <w:webHidden/>
        </w:rPr>
        <w:tab/>
      </w:r>
      <w:r w:rsidR="00D62DA1">
        <w:rPr>
          <w:b w:val="0"/>
          <w:webHidden/>
        </w:rPr>
        <w:t>18</w:t>
      </w:r>
      <w:r w:rsidR="005A477F">
        <w:rPr>
          <w:b w:val="0"/>
          <w:webHidden/>
        </w:rPr>
        <w:t>5</w:t>
      </w:r>
    </w:p>
    <w:p w:rsidR="00254A76" w:rsidRDefault="00254A76" w:rsidP="006A4185">
      <w:pPr>
        <w:ind w:firstLine="0"/>
        <w:rPr>
          <w:rFonts w:cs="Times New Roman"/>
          <w:szCs w:val="24"/>
        </w:rPr>
      </w:pPr>
    </w:p>
    <w:p w:rsidR="00075BB7" w:rsidRDefault="00075BB7" w:rsidP="00254A76">
      <w:pPr>
        <w:ind w:firstLine="0"/>
        <w:rPr>
          <w:rFonts w:cs="Times New Roman"/>
          <w:szCs w:val="24"/>
        </w:rPr>
      </w:pPr>
    </w:p>
    <w:p w:rsidR="0003179A" w:rsidRPr="00C44C5D" w:rsidRDefault="00C44C5D" w:rsidP="00C44C5D">
      <w:pPr>
        <w:ind w:firstLine="0"/>
        <w:jc w:val="center"/>
        <w:rPr>
          <w:rFonts w:cs="Times New Roman"/>
          <w:b/>
          <w:sz w:val="28"/>
          <w:szCs w:val="24"/>
        </w:rPr>
      </w:pPr>
      <w:r w:rsidRPr="00C44C5D">
        <w:rPr>
          <w:rFonts w:cs="Times New Roman"/>
          <w:b/>
          <w:sz w:val="28"/>
          <w:szCs w:val="24"/>
        </w:rPr>
        <w:lastRenderedPageBreak/>
        <w:t>SİMGELER VE KISALTMALAR DİZİNİ</w:t>
      </w:r>
    </w:p>
    <w:p w:rsidR="00020870" w:rsidRDefault="00020870" w:rsidP="00C44C5D">
      <w:pPr>
        <w:ind w:firstLine="0"/>
        <w:jc w:val="left"/>
        <w:rPr>
          <w:rFonts w:cs="Times New Roman"/>
          <w:b/>
          <w:szCs w:val="24"/>
        </w:rPr>
      </w:pPr>
    </w:p>
    <w:p w:rsidR="004320C3" w:rsidRDefault="004320C3" w:rsidP="00C44C5D">
      <w:pPr>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19"/>
      </w:tblGrid>
      <w:tr w:rsidR="00A837B1" w:rsidRPr="00840D38" w:rsidTr="005D0C54">
        <w:tc>
          <w:tcPr>
            <w:tcW w:w="1809" w:type="dxa"/>
          </w:tcPr>
          <w:p w:rsidR="00A837B1" w:rsidRPr="00840D38" w:rsidRDefault="00A837B1" w:rsidP="005D0C54">
            <w:pPr>
              <w:ind w:firstLine="0"/>
              <w:rPr>
                <w:rFonts w:eastAsia="Times New Roman" w:cs="Times New Roman"/>
                <w:b/>
                <w:bCs/>
                <w:sz w:val="24"/>
                <w:szCs w:val="24"/>
                <w:lang w:eastAsia="tr-TR"/>
              </w:rPr>
            </w:pPr>
            <w:bookmarkStart w:id="17" w:name="_Hlk9814767"/>
            <w:bookmarkStart w:id="18" w:name="_Toc488176616"/>
            <w:bookmarkEnd w:id="16"/>
            <w:r w:rsidRPr="00840D38">
              <w:rPr>
                <w:b/>
                <w:sz w:val="24"/>
                <w:szCs w:val="24"/>
              </w:rPr>
              <w:t>1,3BPG</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1,3 Bifosfogliserat</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2PG</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2- </w:t>
            </w:r>
            <w:r w:rsidRPr="00840D38">
              <w:rPr>
                <w:sz w:val="24"/>
                <w:szCs w:val="24"/>
              </w:rPr>
              <w:t>Fosfogliserat</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rPr>
            </w:pPr>
            <w:r w:rsidRPr="00840D38">
              <w:rPr>
                <w:rFonts w:eastAsia="Times New Roman" w:cs="Times New Roman"/>
                <w:b/>
                <w:sz w:val="24"/>
                <w:szCs w:val="24"/>
              </w:rPr>
              <w:t>2-P-L</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2- Fosfolaktat</w:t>
            </w:r>
          </w:p>
        </w:tc>
      </w:tr>
      <w:tr w:rsidR="00A837B1" w:rsidRPr="00840D38" w:rsidTr="005D0C54">
        <w:tc>
          <w:tcPr>
            <w:tcW w:w="1809" w:type="dxa"/>
          </w:tcPr>
          <w:p w:rsidR="00A837B1" w:rsidRPr="00840D38" w:rsidRDefault="00A837B1" w:rsidP="005D0C54">
            <w:pPr>
              <w:ind w:firstLine="0"/>
              <w:rPr>
                <w:rFonts w:cs="Times New Roman"/>
                <w:b/>
                <w:bCs/>
                <w:sz w:val="24"/>
                <w:szCs w:val="24"/>
              </w:rPr>
            </w:pPr>
            <w:r w:rsidRPr="00840D38">
              <w:rPr>
                <w:rFonts w:cs="Times New Roman"/>
                <w:b/>
                <w:bCs/>
                <w:sz w:val="24"/>
                <w:szCs w:val="24"/>
              </w:rPr>
              <w:t>3PG</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3- Fosfogliserat</w:t>
            </w:r>
          </w:p>
        </w:tc>
      </w:tr>
      <w:tr w:rsidR="00A837B1" w:rsidRPr="00840D38" w:rsidTr="005D0C54">
        <w:tc>
          <w:tcPr>
            <w:tcW w:w="1809" w:type="dxa"/>
          </w:tcPr>
          <w:p w:rsidR="00A837B1" w:rsidRPr="00840D38" w:rsidRDefault="00A837B1" w:rsidP="005D0C54">
            <w:pPr>
              <w:ind w:firstLine="0"/>
              <w:rPr>
                <w:rFonts w:cs="Times New Roman"/>
                <w:b/>
                <w:bCs/>
                <w:sz w:val="24"/>
                <w:szCs w:val="24"/>
              </w:rPr>
            </w:pPr>
            <w:r w:rsidRPr="00840D38">
              <w:rPr>
                <w:rFonts w:cs="Times New Roman"/>
                <w:b/>
                <w:bCs/>
                <w:sz w:val="24"/>
                <w:szCs w:val="24"/>
              </w:rPr>
              <w:t>6PGDH</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6-Fosfoglukonat dehidrogenaz</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ACLY</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ATP sitrat liyaz</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ADP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Adenozin difosfat</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AMP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Adenozin monofosfat</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lang w:eastAsia="tr-TR"/>
              </w:rPr>
            </w:pPr>
            <w:r w:rsidRPr="00840D38">
              <w:rPr>
                <w:rFonts w:eastAsia="Times New Roman" w:cs="Times New Roman"/>
                <w:b/>
                <w:bCs/>
                <w:sz w:val="24"/>
                <w:szCs w:val="24"/>
                <w:lang w:eastAsia="tr-TR"/>
              </w:rPr>
              <w:t>AMPK</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AMP ile aktive protein kinaz</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lang w:eastAsia="tr-TR"/>
              </w:rPr>
            </w:pPr>
            <w:r w:rsidRPr="00840D38">
              <w:rPr>
                <w:rFonts w:eastAsia="Times New Roman" w:cs="Times New Roman"/>
                <w:b/>
                <w:bCs/>
                <w:sz w:val="24"/>
                <w:szCs w:val="24"/>
                <w:lang w:eastAsia="tr-TR"/>
              </w:rPr>
              <w:t>ANT</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Adenin nükleotit translokatör</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lang w:eastAsia="tr-TR"/>
              </w:rPr>
            </w:pPr>
            <w:r w:rsidRPr="00840D38">
              <w:rPr>
                <w:rFonts w:eastAsia="Times New Roman" w:cs="Times New Roman"/>
                <w:b/>
                <w:bCs/>
                <w:sz w:val="24"/>
                <w:szCs w:val="24"/>
                <w:lang w:eastAsia="tr-TR"/>
              </w:rPr>
              <w:t>APAF-1</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Apoptotik proteaz aktifleştirici faktör-1</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ATP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Adenozin trifosfat</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CA</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Karbonik anhidraz</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cAMP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w:t>
            </w:r>
            <w:proofErr w:type="gramStart"/>
            <w:r w:rsidRPr="00840D38">
              <w:rPr>
                <w:rFonts w:eastAsia="Times New Roman" w:cs="Times New Roman"/>
                <w:sz w:val="24"/>
                <w:szCs w:val="24"/>
                <w:lang w:eastAsia="tr-TR"/>
              </w:rPr>
              <w:t>Siklik</w:t>
            </w:r>
            <w:proofErr w:type="gramEnd"/>
            <w:r w:rsidRPr="00840D38">
              <w:rPr>
                <w:rFonts w:eastAsia="Times New Roman" w:cs="Times New Roman"/>
                <w:sz w:val="24"/>
                <w:szCs w:val="24"/>
                <w:lang w:eastAsia="tr-TR"/>
              </w:rPr>
              <w:t xml:space="preserve"> adenozin monofosfat</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CBP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00EE22AB" w:rsidRPr="00840D38">
              <w:rPr>
                <w:rFonts w:eastAsia="Times New Roman" w:cs="Times New Roman"/>
                <w:sz w:val="24"/>
                <w:szCs w:val="24"/>
                <w:lang w:eastAsia="tr-TR"/>
              </w:rPr>
              <w:t xml:space="preserve"> </w:t>
            </w:r>
            <w:r w:rsidRPr="00840D38">
              <w:rPr>
                <w:rFonts w:eastAsia="Times New Roman" w:cs="Times New Roman"/>
                <w:sz w:val="24"/>
                <w:szCs w:val="24"/>
                <w:lang w:eastAsia="tr-TR"/>
              </w:rPr>
              <w:t>CREB bağlı protein</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CCND1</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w:t>
            </w:r>
            <w:proofErr w:type="gramStart"/>
            <w:r w:rsidRPr="00840D38">
              <w:rPr>
                <w:rFonts w:eastAsia="Times New Roman" w:cs="Times New Roman"/>
                <w:sz w:val="24"/>
                <w:szCs w:val="24"/>
                <w:lang w:eastAsia="tr-TR"/>
              </w:rPr>
              <w:t>Siklin</w:t>
            </w:r>
            <w:proofErr w:type="gramEnd"/>
            <w:r w:rsidRPr="00840D38">
              <w:rPr>
                <w:rFonts w:eastAsia="Times New Roman" w:cs="Times New Roman"/>
                <w:sz w:val="24"/>
                <w:szCs w:val="24"/>
                <w:lang w:eastAsia="tr-TR"/>
              </w:rPr>
              <w:t xml:space="preserve"> D1</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CMP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Sitidin monofosfat</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COX</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Sitokrom c oksidaz</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CRE</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cAMP yanıt elemanı</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DHAP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Dihidroksiaseton fosfat</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DNA</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Deoksiribonükleik asit</w:t>
            </w:r>
          </w:p>
        </w:tc>
      </w:tr>
      <w:bookmarkEnd w:id="17"/>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E(1,4)BP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1,4-Bisfosfoeritronat</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rPr>
            </w:pPr>
            <w:r w:rsidRPr="00840D38">
              <w:rPr>
                <w:rFonts w:eastAsia="Times New Roman" w:cs="Times New Roman"/>
                <w:b/>
                <w:sz w:val="24"/>
                <w:szCs w:val="24"/>
              </w:rPr>
              <w:t>E4P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4-Fosfoeritronat</w:t>
            </w:r>
          </w:p>
        </w:tc>
      </w:tr>
      <w:tr w:rsidR="00A837B1" w:rsidRPr="00840D38" w:rsidTr="005D0C54">
        <w:tc>
          <w:tcPr>
            <w:tcW w:w="1809" w:type="dxa"/>
          </w:tcPr>
          <w:p w:rsidR="00A837B1" w:rsidRPr="00840D38" w:rsidRDefault="00A837B1" w:rsidP="005D0C54">
            <w:pPr>
              <w:ind w:firstLine="0"/>
              <w:rPr>
                <w:rFonts w:cs="Times New Roman"/>
                <w:b/>
                <w:bCs/>
                <w:sz w:val="24"/>
                <w:szCs w:val="24"/>
              </w:rPr>
            </w:pPr>
            <w:r w:rsidRPr="00840D38">
              <w:rPr>
                <w:rFonts w:cs="Times New Roman"/>
                <w:b/>
                <w:bCs/>
                <w:sz w:val="24"/>
                <w:szCs w:val="24"/>
              </w:rPr>
              <w:t>ENO</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Enolaz</w:t>
            </w:r>
          </w:p>
        </w:tc>
      </w:tr>
      <w:tr w:rsidR="00A837B1" w:rsidRPr="00840D38" w:rsidTr="005D0C54">
        <w:tc>
          <w:tcPr>
            <w:tcW w:w="1809" w:type="dxa"/>
          </w:tcPr>
          <w:p w:rsidR="00A837B1" w:rsidRPr="00840D38" w:rsidRDefault="00A837B1" w:rsidP="005D0C54">
            <w:pPr>
              <w:ind w:firstLine="0"/>
              <w:rPr>
                <w:rFonts w:cs="Times New Roman"/>
                <w:b/>
                <w:bCs/>
                <w:sz w:val="24"/>
                <w:szCs w:val="24"/>
              </w:rPr>
            </w:pPr>
            <w:r w:rsidRPr="00840D38">
              <w:rPr>
                <w:b/>
                <w:sz w:val="24"/>
                <w:szCs w:val="24"/>
              </w:rPr>
              <w:t xml:space="preserve">ENTPD5   </w:t>
            </w:r>
          </w:p>
        </w:tc>
        <w:tc>
          <w:tcPr>
            <w:tcW w:w="7119" w:type="dxa"/>
          </w:tcPr>
          <w:p w:rsidR="00A837B1" w:rsidRPr="00840D38" w:rsidRDefault="00A837B1" w:rsidP="005D0C54">
            <w:pPr>
              <w:autoSpaceDE w:val="0"/>
              <w:autoSpaceDN w:val="0"/>
              <w:adjustRightInd w:val="0"/>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Ektonükleozid trifosfat difosfohidrolaz 5 </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EPO</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Eritropoietin</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ER</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Endoplazmik retikulum</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vertAlign w:val="superscript"/>
              </w:rPr>
            </w:pPr>
            <w:r w:rsidRPr="00840D38">
              <w:rPr>
                <w:rFonts w:eastAsia="Times New Roman" w:cs="Times New Roman"/>
                <w:b/>
                <w:bCs/>
                <w:sz w:val="24"/>
                <w:szCs w:val="24"/>
              </w:rPr>
              <w:t>ER</w:t>
            </w:r>
            <w:r w:rsidRPr="00840D38">
              <w:rPr>
                <w:rFonts w:eastAsia="Times New Roman" w:cs="Times New Roman"/>
                <w:b/>
                <w:bCs/>
                <w:sz w:val="24"/>
                <w:szCs w:val="24"/>
                <w:vertAlign w:val="superscript"/>
              </w:rPr>
              <w:t>+</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Östrojen reseptörü pozitif</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lang w:eastAsia="tr-TR"/>
              </w:rPr>
            </w:pPr>
            <w:r w:rsidRPr="00840D38">
              <w:rPr>
                <w:rFonts w:eastAsia="Times New Roman" w:cs="Times New Roman"/>
                <w:b/>
                <w:bCs/>
                <w:sz w:val="24"/>
                <w:szCs w:val="24"/>
                <w:lang w:eastAsia="tr-TR"/>
              </w:rPr>
              <w:t>ER</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Östrojen reseptörü </w:t>
            </w:r>
            <w:r w:rsidRPr="00840D38">
              <w:rPr>
                <w:rFonts w:ascii="Calibri" w:eastAsia="Times New Roman" w:hAnsi="Calibri" w:cs="Calibri"/>
                <w:sz w:val="24"/>
                <w:szCs w:val="24"/>
                <w:lang w:eastAsia="tr-TR"/>
              </w:rPr>
              <w:t>α</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lang w:eastAsia="tr-TR"/>
              </w:rPr>
            </w:pPr>
            <w:r w:rsidRPr="00840D38">
              <w:rPr>
                <w:rFonts w:eastAsia="Times New Roman" w:cs="Times New Roman"/>
                <w:b/>
                <w:bCs/>
                <w:sz w:val="24"/>
                <w:szCs w:val="24"/>
                <w:lang w:eastAsia="tr-TR"/>
              </w:rPr>
              <w:t>F1,6-BP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Fruktoz 1,6 bisfosfat</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lang w:eastAsia="tr-TR"/>
              </w:rPr>
            </w:pPr>
            <w:r w:rsidRPr="00840D38">
              <w:rPr>
                <w:rFonts w:eastAsia="Times New Roman" w:cs="Times New Roman"/>
                <w:b/>
                <w:bCs/>
                <w:sz w:val="24"/>
                <w:szCs w:val="24"/>
                <w:lang w:eastAsia="tr-TR"/>
              </w:rPr>
              <w:lastRenderedPageBreak/>
              <w:t>F2,6-BP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Fruktoz-2,6-bisfosfat</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F6P</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Fruktoz-6-fosfat</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FDG</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Floro-D-glukoz</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FDG-PET</w:t>
            </w:r>
          </w:p>
        </w:tc>
        <w:tc>
          <w:tcPr>
            <w:tcW w:w="7119" w:type="dxa"/>
          </w:tcPr>
          <w:p w:rsidR="00A837B1" w:rsidRPr="00840D38" w:rsidRDefault="00A837B1" w:rsidP="005D0C54">
            <w:pPr>
              <w:autoSpaceDE w:val="0"/>
              <w:autoSpaceDN w:val="0"/>
              <w:adjustRightInd w:val="0"/>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2-deoksi-2- [18F] Floro-D-Glukoz Pozitron Emisyon Tomografisi</w:t>
            </w:r>
          </w:p>
        </w:tc>
      </w:tr>
      <w:tr w:rsidR="00A837B1" w:rsidRPr="00840D38" w:rsidTr="005D0C54">
        <w:tc>
          <w:tcPr>
            <w:tcW w:w="1809" w:type="dxa"/>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t>FOXM1</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Forkhead box protein M1</w:t>
            </w:r>
          </w:p>
        </w:tc>
      </w:tr>
      <w:tr w:rsidR="00A837B1" w:rsidRPr="00840D38" w:rsidTr="005D0C54">
        <w:tc>
          <w:tcPr>
            <w:tcW w:w="1809" w:type="dxa"/>
          </w:tcPr>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FOXO</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G3P</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G6P</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G6PD</w:t>
            </w:r>
          </w:p>
          <w:p w:rsidR="00A837B1" w:rsidRPr="00840D38" w:rsidRDefault="00A837B1" w:rsidP="005D0C54">
            <w:pPr>
              <w:tabs>
                <w:tab w:val="left" w:pos="1535"/>
              </w:tabs>
              <w:ind w:firstLine="0"/>
              <w:rPr>
                <w:rFonts w:eastAsia="Times New Roman" w:cs="Times New Roman"/>
                <w:b/>
                <w:sz w:val="24"/>
                <w:szCs w:val="24"/>
                <w:lang w:eastAsia="tr-TR"/>
              </w:rPr>
            </w:pPr>
            <w:r w:rsidRPr="00840D38">
              <w:rPr>
                <w:rFonts w:eastAsia="Times New Roman" w:cs="Times New Roman"/>
                <w:b/>
                <w:sz w:val="24"/>
                <w:szCs w:val="24"/>
                <w:lang w:eastAsia="tr-TR"/>
              </w:rPr>
              <w:t>GAPDH</w:t>
            </w:r>
          </w:p>
          <w:p w:rsidR="00A837B1" w:rsidRPr="00840D38" w:rsidRDefault="00A837B1" w:rsidP="005D0C54">
            <w:pPr>
              <w:tabs>
                <w:tab w:val="left" w:pos="1535"/>
              </w:tabs>
              <w:ind w:firstLine="0"/>
              <w:rPr>
                <w:rFonts w:eastAsia="Times New Roman" w:cs="Times New Roman"/>
                <w:sz w:val="24"/>
                <w:szCs w:val="24"/>
                <w:lang w:eastAsia="tr-TR"/>
              </w:rPr>
            </w:pPr>
            <w:r w:rsidRPr="00840D38">
              <w:rPr>
                <w:rFonts w:eastAsia="Times New Roman" w:cs="Times New Roman"/>
                <w:b/>
                <w:sz w:val="24"/>
                <w:szCs w:val="24"/>
                <w:lang w:eastAsia="tr-TR"/>
              </w:rPr>
              <w:t>GLUT</w:t>
            </w:r>
            <w:r w:rsidRPr="00840D38">
              <w:rPr>
                <w:rFonts w:eastAsia="Times New Roman" w:cs="Times New Roman"/>
                <w:sz w:val="24"/>
                <w:szCs w:val="24"/>
                <w:lang w:eastAsia="tr-TR"/>
              </w:rPr>
              <w:t xml:space="preserve">                  </w:t>
            </w:r>
          </w:p>
          <w:p w:rsidR="00A837B1" w:rsidRPr="00840D38" w:rsidRDefault="00A837B1" w:rsidP="005D0C54">
            <w:pPr>
              <w:tabs>
                <w:tab w:val="left" w:pos="1535"/>
              </w:tabs>
              <w:ind w:firstLine="0"/>
              <w:rPr>
                <w:rFonts w:eastAsia="Times New Roman" w:cs="Times New Roman"/>
                <w:b/>
                <w:sz w:val="24"/>
                <w:szCs w:val="24"/>
                <w:lang w:eastAsia="tr-TR"/>
              </w:rPr>
            </w:pPr>
            <w:r w:rsidRPr="00840D38">
              <w:rPr>
                <w:rFonts w:eastAsia="Times New Roman" w:cs="Times New Roman"/>
                <w:b/>
                <w:sz w:val="24"/>
                <w:szCs w:val="24"/>
                <w:lang w:eastAsia="tr-TR"/>
              </w:rPr>
              <w:t>GPI</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GSH</w:t>
            </w:r>
          </w:p>
          <w:p w:rsidR="00A837B1" w:rsidRPr="00840D38" w:rsidRDefault="00A837B1" w:rsidP="005D0C54">
            <w:pPr>
              <w:tabs>
                <w:tab w:val="left" w:pos="1005"/>
              </w:tabs>
              <w:ind w:firstLine="0"/>
              <w:rPr>
                <w:rFonts w:eastAsia="Times New Roman" w:cs="Times New Roman"/>
                <w:b/>
                <w:sz w:val="24"/>
                <w:szCs w:val="24"/>
                <w:lang w:eastAsia="tr-TR"/>
              </w:rPr>
            </w:pPr>
            <w:r w:rsidRPr="00840D38">
              <w:rPr>
                <w:rFonts w:eastAsia="Times New Roman" w:cs="Times New Roman"/>
                <w:b/>
                <w:sz w:val="24"/>
                <w:szCs w:val="24"/>
                <w:lang w:eastAsia="tr-TR"/>
              </w:rPr>
              <w:t>HIF</w:t>
            </w:r>
          </w:p>
          <w:p w:rsidR="00A837B1" w:rsidRPr="00840D38" w:rsidRDefault="00A837B1" w:rsidP="005D0C54">
            <w:pPr>
              <w:tabs>
                <w:tab w:val="left" w:pos="1005"/>
              </w:tabs>
              <w:ind w:firstLine="0"/>
              <w:rPr>
                <w:rFonts w:eastAsia="Times New Roman" w:cs="Times New Roman"/>
                <w:b/>
                <w:sz w:val="24"/>
                <w:szCs w:val="24"/>
                <w:lang w:eastAsia="tr-TR"/>
              </w:rPr>
            </w:pPr>
            <w:r w:rsidRPr="00840D38">
              <w:rPr>
                <w:rFonts w:eastAsia="Times New Roman" w:cs="Times New Roman"/>
                <w:b/>
                <w:sz w:val="24"/>
                <w:szCs w:val="24"/>
                <w:lang w:eastAsia="tr-TR"/>
              </w:rPr>
              <w:t>HK</w:t>
            </w:r>
          </w:p>
          <w:p w:rsidR="00A837B1" w:rsidRPr="00840D38" w:rsidRDefault="00A837B1" w:rsidP="005D0C54">
            <w:pPr>
              <w:tabs>
                <w:tab w:val="left" w:pos="1005"/>
              </w:tabs>
              <w:ind w:firstLine="0"/>
              <w:rPr>
                <w:rFonts w:eastAsia="Times New Roman" w:cs="Times New Roman"/>
                <w:b/>
                <w:sz w:val="24"/>
                <w:szCs w:val="24"/>
                <w:lang w:eastAsia="tr-TR"/>
              </w:rPr>
            </w:pPr>
            <w:r w:rsidRPr="00840D38">
              <w:rPr>
                <w:rFonts w:eastAsia="Times New Roman" w:cs="Times New Roman"/>
                <w:b/>
                <w:sz w:val="24"/>
                <w:szCs w:val="24"/>
                <w:lang w:eastAsia="tr-TR"/>
              </w:rPr>
              <w:t>HRE</w:t>
            </w:r>
          </w:p>
          <w:p w:rsidR="00A837B1" w:rsidRPr="00840D38" w:rsidRDefault="00A837B1" w:rsidP="005D0C54">
            <w:pPr>
              <w:tabs>
                <w:tab w:val="left" w:pos="1005"/>
              </w:tabs>
              <w:ind w:firstLine="0"/>
              <w:rPr>
                <w:rFonts w:eastAsia="Times New Roman" w:cs="Times New Roman"/>
                <w:b/>
                <w:sz w:val="24"/>
                <w:szCs w:val="24"/>
                <w:lang w:eastAsia="tr-TR"/>
              </w:rPr>
            </w:pPr>
            <w:r w:rsidRPr="00840D38">
              <w:rPr>
                <w:rFonts w:eastAsia="Times New Roman" w:cs="Times New Roman"/>
                <w:b/>
                <w:sz w:val="24"/>
                <w:szCs w:val="24"/>
                <w:lang w:eastAsia="tr-TR"/>
              </w:rPr>
              <w:t>IGF</w:t>
            </w:r>
          </w:p>
          <w:p w:rsidR="00A837B1" w:rsidRPr="00840D38" w:rsidRDefault="00A837B1" w:rsidP="005D0C54">
            <w:pPr>
              <w:tabs>
                <w:tab w:val="left" w:pos="1005"/>
              </w:tabs>
              <w:ind w:firstLine="0"/>
              <w:rPr>
                <w:rFonts w:eastAsia="Times New Roman" w:cs="Times New Roman"/>
                <w:b/>
                <w:sz w:val="24"/>
                <w:szCs w:val="24"/>
                <w:lang w:eastAsia="tr-TR"/>
              </w:rPr>
            </w:pPr>
            <w:r w:rsidRPr="00840D38">
              <w:rPr>
                <w:rFonts w:eastAsia="Times New Roman" w:cs="Times New Roman"/>
                <w:b/>
                <w:sz w:val="24"/>
                <w:szCs w:val="24"/>
                <w:lang w:eastAsia="tr-TR"/>
              </w:rPr>
              <w:t>IGF-BP</w:t>
            </w:r>
          </w:p>
          <w:p w:rsidR="00A837B1" w:rsidRPr="00840D38" w:rsidRDefault="00A837B1" w:rsidP="005D0C54">
            <w:pPr>
              <w:tabs>
                <w:tab w:val="left" w:pos="1005"/>
              </w:tabs>
              <w:ind w:firstLine="0"/>
              <w:rPr>
                <w:rFonts w:eastAsia="Times New Roman" w:cs="Times New Roman"/>
                <w:b/>
                <w:sz w:val="24"/>
                <w:szCs w:val="24"/>
                <w:lang w:eastAsia="tr-TR"/>
              </w:rPr>
            </w:pPr>
            <w:r w:rsidRPr="00840D38">
              <w:rPr>
                <w:rFonts w:eastAsia="Times New Roman" w:cs="Times New Roman"/>
                <w:b/>
                <w:sz w:val="24"/>
                <w:szCs w:val="24"/>
                <w:lang w:eastAsia="tr-TR"/>
              </w:rPr>
              <w:t>IL-8</w:t>
            </w:r>
          </w:p>
          <w:p w:rsidR="00A837B1" w:rsidRPr="00840D38" w:rsidRDefault="00A837B1" w:rsidP="005D0C54">
            <w:pPr>
              <w:tabs>
                <w:tab w:val="left" w:pos="1005"/>
              </w:tabs>
              <w:ind w:firstLine="0"/>
              <w:rPr>
                <w:rFonts w:eastAsia="Times New Roman" w:cs="Times New Roman"/>
                <w:b/>
                <w:sz w:val="24"/>
                <w:szCs w:val="24"/>
                <w:lang w:eastAsia="tr-TR"/>
              </w:rPr>
            </w:pPr>
            <w:r w:rsidRPr="00840D38">
              <w:rPr>
                <w:rFonts w:eastAsia="Times New Roman" w:cs="Times New Roman"/>
                <w:b/>
                <w:sz w:val="24"/>
                <w:szCs w:val="24"/>
                <w:lang w:eastAsia="tr-TR"/>
              </w:rPr>
              <w:t>JMJD5</w:t>
            </w:r>
          </w:p>
          <w:p w:rsidR="00A837B1" w:rsidRPr="00840D38" w:rsidRDefault="00A837B1" w:rsidP="005D0C54">
            <w:pPr>
              <w:tabs>
                <w:tab w:val="left" w:pos="1005"/>
              </w:tabs>
              <w:ind w:firstLine="0"/>
              <w:rPr>
                <w:rFonts w:eastAsia="Times New Roman" w:cs="Times New Roman"/>
                <w:b/>
                <w:sz w:val="24"/>
                <w:szCs w:val="24"/>
                <w:lang w:eastAsia="tr-TR"/>
              </w:rPr>
            </w:pPr>
            <w:r w:rsidRPr="00840D38">
              <w:rPr>
                <w:rFonts w:eastAsia="Times New Roman" w:cs="Times New Roman"/>
                <w:b/>
                <w:sz w:val="24"/>
                <w:szCs w:val="24"/>
                <w:lang w:eastAsia="tr-TR"/>
              </w:rPr>
              <w:t>KLF4</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LDH</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LKB1</w:t>
            </w:r>
          </w:p>
          <w:p w:rsidR="00A837B1" w:rsidRPr="00840D38" w:rsidRDefault="00A837B1" w:rsidP="005D0C54">
            <w:pPr>
              <w:tabs>
                <w:tab w:val="left" w:pos="1291"/>
              </w:tabs>
              <w:ind w:firstLine="0"/>
              <w:rPr>
                <w:rFonts w:eastAsia="Times New Roman" w:cs="Times New Roman"/>
                <w:b/>
                <w:sz w:val="24"/>
                <w:szCs w:val="24"/>
                <w:lang w:eastAsia="tr-TR"/>
              </w:rPr>
            </w:pPr>
            <w:r w:rsidRPr="00840D38">
              <w:rPr>
                <w:rFonts w:eastAsia="Times New Roman" w:cs="Times New Roman"/>
                <w:b/>
                <w:sz w:val="24"/>
                <w:szCs w:val="24"/>
                <w:lang w:eastAsia="tr-TR"/>
              </w:rPr>
              <w:t>LOX</w:t>
            </w:r>
          </w:p>
          <w:p w:rsidR="00A837B1" w:rsidRPr="00840D38" w:rsidRDefault="00A837B1" w:rsidP="005D0C54">
            <w:pPr>
              <w:ind w:firstLine="0"/>
              <w:rPr>
                <w:rFonts w:eastAsia="Times New Roman" w:cs="Times New Roman"/>
                <w:b/>
                <w:sz w:val="24"/>
                <w:szCs w:val="24"/>
                <w:lang w:eastAsia="tr-TR"/>
              </w:rPr>
            </w:pPr>
            <w:r w:rsidRPr="00840D38">
              <w:rPr>
                <w:b/>
                <w:sz w:val="24"/>
                <w:szCs w:val="24"/>
              </w:rPr>
              <w:t>MCT1</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MMP-2</w:t>
            </w:r>
          </w:p>
          <w:p w:rsidR="00A837B1" w:rsidRPr="00840D38" w:rsidRDefault="00A837B1" w:rsidP="005D0C54">
            <w:pPr>
              <w:ind w:firstLine="0"/>
              <w:rPr>
                <w:rFonts w:eastAsia="Times New Roman" w:cs="Times New Roman"/>
                <w:b/>
                <w:sz w:val="24"/>
                <w:szCs w:val="24"/>
                <w:lang w:eastAsia="tr-TR"/>
              </w:rPr>
            </w:pPr>
            <w:r w:rsidRPr="00840D38">
              <w:rPr>
                <w:b/>
                <w:sz w:val="24"/>
                <w:szCs w:val="24"/>
              </w:rPr>
              <w:t>NAD</w:t>
            </w:r>
            <w:r w:rsidRPr="00840D38">
              <w:rPr>
                <w:b/>
                <w:sz w:val="24"/>
                <w:szCs w:val="24"/>
                <w:vertAlign w:val="superscript"/>
              </w:rPr>
              <w:t>+</w:t>
            </w:r>
          </w:p>
          <w:p w:rsidR="00A837B1" w:rsidRPr="00840D38" w:rsidRDefault="00A837B1" w:rsidP="005D0C54">
            <w:pPr>
              <w:ind w:firstLine="0"/>
              <w:rPr>
                <w:rFonts w:eastAsia="Times New Roman" w:cs="Times New Roman"/>
                <w:b/>
                <w:sz w:val="24"/>
                <w:szCs w:val="24"/>
                <w:lang w:eastAsia="tr-TR"/>
              </w:rPr>
            </w:pPr>
            <w:r w:rsidRPr="00840D38">
              <w:rPr>
                <w:b/>
                <w:sz w:val="24"/>
                <w:szCs w:val="24"/>
              </w:rPr>
              <w:t>NADH</w:t>
            </w:r>
          </w:p>
          <w:p w:rsidR="00A837B1" w:rsidRPr="00840D38" w:rsidRDefault="00A837B1" w:rsidP="005D0C54">
            <w:pPr>
              <w:ind w:firstLine="0"/>
              <w:rPr>
                <w:rFonts w:eastAsia="Times New Roman" w:cs="Times New Roman"/>
                <w:b/>
                <w:sz w:val="24"/>
                <w:szCs w:val="24"/>
                <w:lang w:eastAsia="tr-TR"/>
              </w:rPr>
            </w:pPr>
            <w:r w:rsidRPr="00840D38">
              <w:rPr>
                <w:b/>
                <w:sz w:val="24"/>
                <w:szCs w:val="24"/>
              </w:rPr>
              <w:t>NF-</w:t>
            </w:r>
            <w:r w:rsidRPr="00840D38">
              <w:rPr>
                <w:rFonts w:cs="Times New Roman"/>
                <w:b/>
                <w:sz w:val="24"/>
                <w:szCs w:val="24"/>
              </w:rPr>
              <w:t>κ</w:t>
            </w:r>
            <w:r w:rsidRPr="00840D38">
              <w:rPr>
                <w:b/>
                <w:sz w:val="24"/>
                <w:szCs w:val="24"/>
              </w:rPr>
              <w:t>B</w:t>
            </w:r>
          </w:p>
          <w:p w:rsidR="00A837B1" w:rsidRPr="00840D38" w:rsidRDefault="00A837B1" w:rsidP="005D0C54">
            <w:pPr>
              <w:tabs>
                <w:tab w:val="left" w:pos="1182"/>
              </w:tabs>
              <w:ind w:firstLine="0"/>
              <w:rPr>
                <w:rFonts w:eastAsia="Times New Roman" w:cs="Times New Roman"/>
                <w:b/>
                <w:sz w:val="24"/>
                <w:szCs w:val="24"/>
                <w:lang w:eastAsia="tr-TR"/>
              </w:rPr>
            </w:pPr>
            <w:r w:rsidRPr="00840D38">
              <w:rPr>
                <w:rFonts w:eastAsia="Times New Roman" w:cs="Times New Roman"/>
                <w:b/>
                <w:sz w:val="24"/>
                <w:szCs w:val="24"/>
                <w:lang w:eastAsia="tr-TR"/>
              </w:rPr>
              <w:t>NHE1</w:t>
            </w:r>
          </w:p>
          <w:p w:rsidR="00A837B1" w:rsidRPr="00840D38" w:rsidRDefault="00A837B1" w:rsidP="005D0C54">
            <w:pPr>
              <w:tabs>
                <w:tab w:val="left" w:pos="1182"/>
              </w:tabs>
              <w:ind w:firstLine="0"/>
              <w:rPr>
                <w:rFonts w:eastAsia="Times New Roman" w:cs="Times New Roman"/>
                <w:b/>
                <w:sz w:val="24"/>
                <w:szCs w:val="24"/>
                <w:lang w:eastAsia="tr-TR"/>
              </w:rPr>
            </w:pPr>
            <w:r w:rsidRPr="00840D38">
              <w:rPr>
                <w:rFonts w:eastAsia="Times New Roman" w:cs="Times New Roman"/>
                <w:b/>
                <w:sz w:val="24"/>
                <w:szCs w:val="24"/>
                <w:lang w:eastAsia="tr-TR"/>
              </w:rPr>
              <w:t>NO</w:t>
            </w:r>
          </w:p>
          <w:p w:rsidR="00A837B1" w:rsidRPr="00840D38" w:rsidRDefault="00A837B1" w:rsidP="005D0C54">
            <w:pPr>
              <w:tabs>
                <w:tab w:val="left" w:pos="1182"/>
              </w:tabs>
              <w:ind w:firstLine="0"/>
              <w:rPr>
                <w:rFonts w:eastAsia="Times New Roman" w:cs="Times New Roman"/>
                <w:b/>
                <w:sz w:val="24"/>
                <w:szCs w:val="24"/>
                <w:lang w:eastAsia="tr-TR"/>
              </w:rPr>
            </w:pPr>
            <w:r w:rsidRPr="00840D38">
              <w:rPr>
                <w:rFonts w:eastAsia="Times New Roman" w:cs="Times New Roman"/>
                <w:b/>
                <w:sz w:val="24"/>
                <w:szCs w:val="24"/>
                <w:lang w:eastAsia="tr-TR"/>
              </w:rPr>
              <w:t>NOX</w:t>
            </w:r>
          </w:p>
          <w:p w:rsidR="00A837B1" w:rsidRPr="00840D38" w:rsidRDefault="00A837B1" w:rsidP="005D0C54">
            <w:pPr>
              <w:tabs>
                <w:tab w:val="left" w:pos="1182"/>
              </w:tabs>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OCT1              </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lastRenderedPageBreak/>
              <w:t>OXPHOS</w:t>
            </w:r>
          </w:p>
          <w:p w:rsidR="00A837B1" w:rsidRPr="00840D38" w:rsidRDefault="00A837B1" w:rsidP="005D0C54">
            <w:pPr>
              <w:tabs>
                <w:tab w:val="left" w:pos="1073"/>
              </w:tabs>
              <w:ind w:firstLine="0"/>
              <w:rPr>
                <w:rFonts w:eastAsia="Times New Roman" w:cs="Times New Roman"/>
                <w:b/>
                <w:sz w:val="24"/>
                <w:szCs w:val="24"/>
                <w:lang w:eastAsia="tr-TR"/>
              </w:rPr>
            </w:pPr>
            <w:r w:rsidRPr="00840D38">
              <w:rPr>
                <w:rFonts w:eastAsia="Times New Roman" w:cs="Times New Roman"/>
                <w:b/>
                <w:sz w:val="24"/>
                <w:szCs w:val="24"/>
                <w:lang w:eastAsia="tr-TR"/>
              </w:rPr>
              <w:t>PARP1</w:t>
            </w:r>
          </w:p>
          <w:p w:rsidR="00A837B1" w:rsidRPr="00840D38" w:rsidRDefault="00A837B1" w:rsidP="005D0C54">
            <w:pPr>
              <w:tabs>
                <w:tab w:val="left" w:pos="1073"/>
              </w:tabs>
              <w:ind w:firstLine="0"/>
              <w:rPr>
                <w:rFonts w:eastAsia="Times New Roman" w:cs="Times New Roman"/>
                <w:b/>
                <w:sz w:val="24"/>
                <w:szCs w:val="24"/>
                <w:lang w:eastAsia="tr-TR"/>
              </w:rPr>
            </w:pPr>
            <w:r w:rsidRPr="00840D38">
              <w:rPr>
                <w:rFonts w:eastAsia="Times New Roman" w:cs="Times New Roman"/>
                <w:b/>
                <w:sz w:val="24"/>
                <w:szCs w:val="24"/>
                <w:lang w:eastAsia="tr-TR"/>
              </w:rPr>
              <w:t>PDGF</w:t>
            </w:r>
          </w:p>
          <w:p w:rsidR="00A837B1" w:rsidRPr="00840D38" w:rsidRDefault="00A837B1" w:rsidP="005D0C54">
            <w:pPr>
              <w:tabs>
                <w:tab w:val="left" w:pos="1073"/>
              </w:tabs>
              <w:ind w:firstLine="0"/>
              <w:rPr>
                <w:rFonts w:eastAsia="Times New Roman" w:cs="Times New Roman"/>
                <w:b/>
                <w:sz w:val="24"/>
                <w:szCs w:val="24"/>
                <w:lang w:eastAsia="tr-TR"/>
              </w:rPr>
            </w:pPr>
            <w:r w:rsidRPr="00840D38">
              <w:rPr>
                <w:rFonts w:eastAsia="Times New Roman" w:cs="Times New Roman"/>
                <w:b/>
                <w:sz w:val="24"/>
                <w:szCs w:val="24"/>
                <w:lang w:eastAsia="tr-TR"/>
              </w:rPr>
              <w:t>PDH</w:t>
            </w:r>
          </w:p>
          <w:p w:rsidR="00A837B1" w:rsidRPr="00840D38" w:rsidRDefault="00A837B1" w:rsidP="005D0C54">
            <w:pPr>
              <w:tabs>
                <w:tab w:val="left" w:pos="1073"/>
              </w:tabs>
              <w:ind w:firstLine="0"/>
              <w:rPr>
                <w:rFonts w:eastAsia="Times New Roman" w:cs="Times New Roman"/>
                <w:b/>
                <w:sz w:val="24"/>
                <w:szCs w:val="24"/>
                <w:lang w:eastAsia="tr-TR"/>
              </w:rPr>
            </w:pPr>
            <w:r w:rsidRPr="00840D38">
              <w:rPr>
                <w:rFonts w:eastAsia="Times New Roman" w:cs="Times New Roman"/>
                <w:b/>
                <w:sz w:val="24"/>
                <w:szCs w:val="24"/>
                <w:lang w:eastAsia="tr-TR"/>
              </w:rPr>
              <w:t>PEP</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PFK-1</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PFKFB</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PGAM</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PGK-1</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PHD</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PHGDH</w:t>
            </w:r>
          </w:p>
          <w:p w:rsidR="00A837B1" w:rsidRPr="00840D38" w:rsidRDefault="00A837B1" w:rsidP="005D0C54">
            <w:pPr>
              <w:tabs>
                <w:tab w:val="left" w:pos="1318"/>
              </w:tabs>
              <w:ind w:firstLine="0"/>
              <w:rPr>
                <w:rFonts w:eastAsia="Times New Roman" w:cs="Times New Roman"/>
                <w:b/>
                <w:sz w:val="24"/>
                <w:szCs w:val="24"/>
                <w:lang w:eastAsia="tr-TR"/>
              </w:rPr>
            </w:pPr>
            <w:r w:rsidRPr="00840D38">
              <w:rPr>
                <w:rFonts w:eastAsia="Times New Roman" w:cs="Times New Roman"/>
                <w:b/>
                <w:sz w:val="24"/>
                <w:szCs w:val="24"/>
                <w:lang w:eastAsia="tr-TR"/>
              </w:rPr>
              <w:t>pHi</w:t>
            </w:r>
          </w:p>
          <w:p w:rsidR="00A837B1" w:rsidRPr="00840D38" w:rsidRDefault="00A837B1" w:rsidP="005D0C54">
            <w:pPr>
              <w:tabs>
                <w:tab w:val="left" w:pos="1318"/>
              </w:tabs>
              <w:ind w:firstLine="0"/>
              <w:rPr>
                <w:rFonts w:eastAsia="Times New Roman" w:cs="Times New Roman"/>
                <w:b/>
                <w:sz w:val="24"/>
                <w:szCs w:val="24"/>
                <w:lang w:eastAsia="tr-TR"/>
              </w:rPr>
            </w:pPr>
            <w:r w:rsidRPr="00840D38">
              <w:rPr>
                <w:rFonts w:eastAsia="Times New Roman" w:cs="Times New Roman"/>
                <w:b/>
                <w:sz w:val="24"/>
                <w:szCs w:val="24"/>
                <w:lang w:eastAsia="tr-TR"/>
              </w:rPr>
              <w:t>PI3K</w:t>
            </w:r>
          </w:p>
          <w:p w:rsidR="00A837B1" w:rsidRPr="00840D38" w:rsidRDefault="00A837B1" w:rsidP="005D0C54">
            <w:pPr>
              <w:tabs>
                <w:tab w:val="left" w:pos="1318"/>
              </w:tabs>
              <w:ind w:firstLine="0"/>
              <w:rPr>
                <w:rFonts w:eastAsia="Times New Roman" w:cs="Times New Roman"/>
                <w:b/>
                <w:sz w:val="24"/>
                <w:szCs w:val="24"/>
                <w:lang w:eastAsia="tr-TR"/>
              </w:rPr>
            </w:pPr>
            <w:r w:rsidRPr="00840D38">
              <w:rPr>
                <w:rFonts w:eastAsia="Times New Roman" w:cs="Times New Roman"/>
                <w:b/>
                <w:sz w:val="24"/>
                <w:szCs w:val="24"/>
                <w:lang w:eastAsia="tr-TR"/>
              </w:rPr>
              <w:t>PiC</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PK</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PKB</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PKM2</w:t>
            </w:r>
          </w:p>
          <w:p w:rsidR="00A837B1" w:rsidRPr="00840D38" w:rsidRDefault="00A837B1" w:rsidP="005D0C54">
            <w:pPr>
              <w:tabs>
                <w:tab w:val="left" w:pos="1277"/>
              </w:tabs>
              <w:ind w:firstLine="0"/>
              <w:rPr>
                <w:rFonts w:eastAsia="Times New Roman" w:cs="Times New Roman"/>
                <w:b/>
                <w:sz w:val="24"/>
                <w:szCs w:val="24"/>
                <w:lang w:eastAsia="tr-TR"/>
              </w:rPr>
            </w:pPr>
            <w:r w:rsidRPr="00840D38">
              <w:rPr>
                <w:rFonts w:eastAsia="Times New Roman" w:cs="Times New Roman"/>
                <w:b/>
                <w:sz w:val="24"/>
                <w:szCs w:val="24"/>
                <w:lang w:eastAsia="tr-TR"/>
              </w:rPr>
              <w:t>PPP</w:t>
            </w:r>
          </w:p>
          <w:p w:rsidR="00A837B1" w:rsidRPr="00840D38" w:rsidRDefault="00A837B1" w:rsidP="005D0C54">
            <w:pPr>
              <w:ind w:firstLine="0"/>
              <w:rPr>
                <w:rFonts w:eastAsia="Times New Roman" w:cs="Times New Roman"/>
                <w:b/>
                <w:sz w:val="24"/>
                <w:szCs w:val="24"/>
                <w:lang w:eastAsia="tr-TR"/>
              </w:rPr>
            </w:pPr>
            <w:r w:rsidRPr="00840D38">
              <w:rPr>
                <w:b/>
                <w:sz w:val="24"/>
                <w:szCs w:val="24"/>
              </w:rPr>
              <w:t>PR</w:t>
            </w:r>
            <w:r w:rsidRPr="00840D38">
              <w:rPr>
                <w:b/>
                <w:sz w:val="24"/>
                <w:szCs w:val="24"/>
                <w:vertAlign w:val="superscript"/>
              </w:rPr>
              <w:t>+</w:t>
            </w:r>
          </w:p>
          <w:p w:rsidR="00A837B1" w:rsidRPr="00840D38" w:rsidRDefault="00A837B1" w:rsidP="005D0C54">
            <w:pPr>
              <w:tabs>
                <w:tab w:val="left" w:pos="1155"/>
              </w:tabs>
              <w:ind w:firstLine="0"/>
              <w:rPr>
                <w:rFonts w:eastAsia="Times New Roman" w:cs="Times New Roman"/>
                <w:b/>
                <w:sz w:val="24"/>
                <w:szCs w:val="24"/>
                <w:lang w:eastAsia="tr-TR"/>
              </w:rPr>
            </w:pPr>
            <w:r w:rsidRPr="00840D38">
              <w:rPr>
                <w:b/>
                <w:sz w:val="24"/>
                <w:szCs w:val="24"/>
              </w:rPr>
              <w:t>pVHL</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R5P</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RNS</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Ru5P</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SAICAR</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SCO2</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SDH</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SIRT</w:t>
            </w:r>
          </w:p>
          <w:p w:rsidR="00A837B1" w:rsidRPr="00840D38" w:rsidRDefault="00A837B1" w:rsidP="005D0C54">
            <w:pPr>
              <w:tabs>
                <w:tab w:val="left" w:pos="1386"/>
              </w:tabs>
              <w:ind w:firstLine="0"/>
              <w:rPr>
                <w:rFonts w:eastAsia="Times New Roman" w:cs="Times New Roman"/>
                <w:b/>
                <w:sz w:val="24"/>
                <w:szCs w:val="24"/>
                <w:lang w:eastAsia="tr-TR"/>
              </w:rPr>
            </w:pPr>
            <w:r w:rsidRPr="00840D38">
              <w:rPr>
                <w:rFonts w:eastAsia="Times New Roman" w:cs="Times New Roman"/>
                <w:b/>
                <w:sz w:val="24"/>
                <w:szCs w:val="24"/>
                <w:lang w:eastAsia="tr-TR"/>
              </w:rPr>
              <w:t>TCA</w:t>
            </w:r>
          </w:p>
          <w:p w:rsidR="00A837B1" w:rsidRPr="00840D38" w:rsidRDefault="00A837B1" w:rsidP="005D0C54">
            <w:pPr>
              <w:ind w:firstLine="0"/>
              <w:rPr>
                <w:rFonts w:eastAsia="Times New Roman" w:cs="Times New Roman"/>
                <w:b/>
                <w:sz w:val="24"/>
                <w:szCs w:val="24"/>
                <w:lang w:eastAsia="tr-TR"/>
              </w:rPr>
            </w:pPr>
            <w:r w:rsidRPr="00840D38">
              <w:rPr>
                <w:b/>
                <w:sz w:val="24"/>
                <w:szCs w:val="24"/>
              </w:rPr>
              <w:t xml:space="preserve">TGF-α                          </w:t>
            </w:r>
          </w:p>
          <w:p w:rsidR="00A837B1" w:rsidRPr="00840D38" w:rsidRDefault="00A837B1" w:rsidP="005D0C54">
            <w:pPr>
              <w:tabs>
                <w:tab w:val="left" w:pos="1236"/>
              </w:tabs>
              <w:ind w:firstLine="0"/>
              <w:rPr>
                <w:rFonts w:eastAsia="Times New Roman" w:cs="Times New Roman"/>
                <w:b/>
                <w:sz w:val="24"/>
                <w:szCs w:val="24"/>
                <w:lang w:eastAsia="tr-TR"/>
              </w:rPr>
            </w:pPr>
            <w:r w:rsidRPr="00840D38">
              <w:rPr>
                <w:rFonts w:eastAsia="Times New Roman" w:cs="Times New Roman"/>
                <w:b/>
                <w:sz w:val="24"/>
                <w:szCs w:val="24"/>
                <w:lang w:eastAsia="tr-TR"/>
              </w:rPr>
              <w:t>TKT</w:t>
            </w:r>
          </w:p>
          <w:p w:rsidR="00A837B1" w:rsidRPr="00840D38" w:rsidRDefault="00A837B1" w:rsidP="005D0C54">
            <w:pPr>
              <w:tabs>
                <w:tab w:val="left" w:pos="1236"/>
              </w:tabs>
              <w:ind w:firstLine="0"/>
              <w:rPr>
                <w:rFonts w:eastAsia="Times New Roman" w:cs="Times New Roman"/>
                <w:b/>
                <w:sz w:val="24"/>
                <w:szCs w:val="24"/>
                <w:lang w:eastAsia="tr-TR"/>
              </w:rPr>
            </w:pPr>
            <w:r w:rsidRPr="00840D38">
              <w:rPr>
                <w:rFonts w:eastAsia="Times New Roman" w:cs="Times New Roman"/>
                <w:b/>
                <w:sz w:val="24"/>
                <w:szCs w:val="24"/>
                <w:lang w:eastAsia="tr-TR"/>
              </w:rPr>
              <w:t>Ub</w:t>
            </w:r>
          </w:p>
        </w:tc>
        <w:tc>
          <w:tcPr>
            <w:tcW w:w="7119" w:type="dxa"/>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lastRenderedPageBreak/>
              <w:t xml:space="preserve">: </w:t>
            </w:r>
            <w:r w:rsidRPr="00840D38">
              <w:rPr>
                <w:rFonts w:eastAsia="Times New Roman" w:cs="Times New Roman"/>
                <w:sz w:val="24"/>
                <w:szCs w:val="24"/>
                <w:lang w:eastAsia="tr-TR"/>
              </w:rPr>
              <w:t>Forkhead box subfamily O</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Gliseraldehid-3-fosfat</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Glukoz-6-fosfat</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Glukoz-6-fosfat dehidrogenaz</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Gliseraldehid-3-fosfat dehidrogenaz</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Glukoz transfercisi</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Glukoz fosfat izomeraz</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Aktif glutatyon</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Hipoksi ile indüklenebilir faktör</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Hekzokinaz</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Hipoksik cevap elementi</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İnsülin benzeri büyüme faktörü</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IGF-bağlı protein</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İnterlökin-8</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Jumonji C domain içeren dioksijenaz</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Kruppel-benzeri faktör 4</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Laktat dehidrogenaz</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Karaciğer kinaz Bl; serin/treonin kinaz 11-STK11</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Lizil oksidaz</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Protona bağlı karboksilat taşıyıcı-1</w:t>
            </w:r>
          </w:p>
          <w:p w:rsidR="00A837B1" w:rsidRPr="00840D38" w:rsidRDefault="00A837B1" w:rsidP="005D0C54">
            <w:pPr>
              <w:autoSpaceDE w:val="0"/>
              <w:autoSpaceDN w:val="0"/>
              <w:adjustRightInd w:val="0"/>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Matriks metaloproteinaz 2</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Nikotinamid adenin dinükleotid (okside)</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Nikotinamid adenin dinükleotid (redükte)</w:t>
            </w:r>
          </w:p>
          <w:p w:rsidR="00A837B1" w:rsidRPr="00840D38" w:rsidRDefault="00A837B1" w:rsidP="005D0C54">
            <w:pPr>
              <w:autoSpaceDE w:val="0"/>
              <w:autoSpaceDN w:val="0"/>
              <w:adjustRightInd w:val="0"/>
              <w:ind w:firstLine="0"/>
              <w:rPr>
                <w:sz w:val="24"/>
                <w:szCs w:val="24"/>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Nükleer faktör-kappa B</w:t>
            </w:r>
          </w:p>
          <w:p w:rsidR="00A837B1" w:rsidRPr="00840D38" w:rsidRDefault="00A837B1" w:rsidP="005D0C54">
            <w:pPr>
              <w:ind w:firstLine="0"/>
              <w:rPr>
                <w:sz w:val="24"/>
                <w:szCs w:val="24"/>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Na+/H+ değiştirici</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Nitrik oksit</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NADPH-oksidazlar</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Oktamer-bağlayıcı transkripsiyon faktörü 1</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lastRenderedPageBreak/>
              <w:t xml:space="preserve">: </w:t>
            </w:r>
            <w:r w:rsidRPr="00840D38">
              <w:rPr>
                <w:rFonts w:eastAsia="Times New Roman" w:cs="Times New Roman"/>
                <w:sz w:val="24"/>
                <w:szCs w:val="24"/>
                <w:lang w:eastAsia="tr-TR"/>
              </w:rPr>
              <w:t>Oksidatif fosforilasyon</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 xml:space="preserve">Poli (ADP-riboz) polimeraz 1 </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Trombosit kökenli büyüme faktörü</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Piruvat dehidrogenaz</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Fosfoenolpiruvat</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Fosfofruktokinaz-1</w:t>
            </w:r>
          </w:p>
          <w:p w:rsidR="00A837B1" w:rsidRPr="00840D38" w:rsidRDefault="00A837B1" w:rsidP="005D0C54">
            <w:pPr>
              <w:ind w:firstLine="0"/>
              <w:rPr>
                <w:sz w:val="24"/>
                <w:szCs w:val="24"/>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6-fosfosfofrukto-2 kinaz / fruktoz-2,6-bisfosfataz</w:t>
            </w:r>
            <w:r w:rsidRPr="00840D38">
              <w:rPr>
                <w:sz w:val="24"/>
                <w:szCs w:val="24"/>
              </w:rPr>
              <w:t xml:space="preserve"> </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Fosfogliserat mutaz</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Fosfogliserat kinaz 1</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Prolil hidroksilaz domain proteinleri</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3-fosfogliserat dehidrogenaz</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Alkali hücre içi pH</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Fosfoinositid-3-kinaz</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İnorganik fosfat taşıyıcı</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Piruvat kinaz</w:t>
            </w:r>
          </w:p>
          <w:p w:rsidR="00A837B1" w:rsidRPr="00840D38" w:rsidRDefault="00A837B1" w:rsidP="005D0C54">
            <w:pPr>
              <w:autoSpaceDE w:val="0"/>
              <w:autoSpaceDN w:val="0"/>
              <w:adjustRightInd w:val="0"/>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 xml:space="preserve">Serin/treonin kinaz Akt </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Piruvat kinaz M2</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Pentoz fosfat yolu</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Progesteron reseptörü pozitif</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Von Hippel-Lindau</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Riboz-5-fosfat</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Reaktif azot türleri</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Ribüloz 5-fosfat</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2-[5-Amino-1-(5-fosfo-D-ribozil)imidazol-4-karboksamido] süksinat</w:t>
            </w:r>
            <w:proofErr w:type="gramStart"/>
            <w:r w:rsidRPr="00840D38">
              <w:rPr>
                <w:rFonts w:eastAsia="Times New Roman" w:cs="Times New Roman"/>
                <w:sz w:val="24"/>
                <w:szCs w:val="24"/>
                <w:lang w:eastAsia="tr-TR"/>
              </w:rPr>
              <w:t>)</w:t>
            </w:r>
            <w:proofErr w:type="gramEnd"/>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Sitokrom c oksidaz-2</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Süksinat dehidrogenaz</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Sirtuin</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Trikarboksilik asit siklusu</w:t>
            </w:r>
          </w:p>
          <w:p w:rsidR="00A837B1" w:rsidRPr="00840D38" w:rsidRDefault="00A837B1" w:rsidP="005D0C54">
            <w:pPr>
              <w:autoSpaceDE w:val="0"/>
              <w:autoSpaceDN w:val="0"/>
              <w:adjustRightInd w:val="0"/>
              <w:ind w:firstLine="0"/>
              <w:rPr>
                <w:sz w:val="24"/>
                <w:szCs w:val="24"/>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w:t>
            </w:r>
            <w:r w:rsidRPr="00840D38">
              <w:rPr>
                <w:sz w:val="24"/>
                <w:szCs w:val="24"/>
              </w:rPr>
              <w:t>Transforme edici büyüme faktörü α</w:t>
            </w:r>
          </w:p>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Transketolaz</w:t>
            </w:r>
          </w:p>
          <w:p w:rsidR="00A837B1" w:rsidRPr="00840D38" w:rsidRDefault="00A837B1" w:rsidP="005D0C54">
            <w:pPr>
              <w:ind w:firstLine="0"/>
              <w:rPr>
                <w:rFonts w:eastAsia="Times New Roman" w:cs="Times New Roman"/>
                <w:b/>
                <w:sz w:val="24"/>
                <w:szCs w:val="24"/>
                <w:lang w:eastAsia="tr-TR"/>
              </w:rPr>
            </w:pPr>
            <w:r w:rsidRPr="00840D38">
              <w:rPr>
                <w:rFonts w:eastAsia="Times New Roman" w:cs="Times New Roman"/>
                <w:b/>
                <w:sz w:val="24"/>
                <w:szCs w:val="24"/>
                <w:lang w:eastAsia="tr-TR"/>
              </w:rPr>
              <w:t xml:space="preserve">: </w:t>
            </w:r>
            <w:r w:rsidRPr="00840D38">
              <w:rPr>
                <w:rFonts w:eastAsia="Times New Roman" w:cs="Times New Roman"/>
                <w:sz w:val="24"/>
                <w:szCs w:val="24"/>
                <w:lang w:eastAsia="tr-TR"/>
              </w:rPr>
              <w:t>Ubikitin</w:t>
            </w:r>
          </w:p>
        </w:tc>
      </w:tr>
      <w:tr w:rsidR="00A837B1" w:rsidRPr="00840D38" w:rsidTr="005D0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rsidR="00A837B1" w:rsidRPr="00840D38" w:rsidRDefault="00A837B1" w:rsidP="005D0C54">
            <w:pPr>
              <w:ind w:firstLine="0"/>
              <w:rPr>
                <w:rFonts w:eastAsia="Times New Roman" w:cs="Times New Roman"/>
                <w:b/>
                <w:bCs/>
                <w:sz w:val="24"/>
                <w:szCs w:val="24"/>
              </w:rPr>
            </w:pPr>
            <w:r w:rsidRPr="00840D38">
              <w:rPr>
                <w:rFonts w:eastAsia="Times New Roman" w:cs="Times New Roman"/>
                <w:b/>
                <w:bCs/>
                <w:sz w:val="24"/>
                <w:szCs w:val="24"/>
              </w:rPr>
              <w:lastRenderedPageBreak/>
              <w:t>UDP</w:t>
            </w:r>
          </w:p>
        </w:tc>
        <w:tc>
          <w:tcPr>
            <w:tcW w:w="7119" w:type="dxa"/>
            <w:tcBorders>
              <w:top w:val="nil"/>
              <w:left w:val="nil"/>
              <w:bottom w:val="nil"/>
              <w:right w:val="nil"/>
            </w:tcBorders>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Uridin 5’ difosfat</w:t>
            </w:r>
          </w:p>
        </w:tc>
      </w:tr>
      <w:tr w:rsidR="00A837B1" w:rsidRPr="00840D38" w:rsidTr="005D0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rsidR="00A837B1" w:rsidRPr="00840D38" w:rsidRDefault="00A837B1" w:rsidP="005D0C54">
            <w:pPr>
              <w:ind w:firstLine="0"/>
              <w:rPr>
                <w:rFonts w:eastAsia="Times New Roman" w:cs="Times New Roman"/>
                <w:b/>
                <w:sz w:val="24"/>
                <w:szCs w:val="24"/>
              </w:rPr>
            </w:pPr>
            <w:r w:rsidRPr="00840D38">
              <w:rPr>
                <w:rFonts w:eastAsia="Times New Roman" w:cs="Times New Roman"/>
                <w:b/>
                <w:sz w:val="24"/>
                <w:szCs w:val="24"/>
              </w:rPr>
              <w:t>UMP</w:t>
            </w:r>
          </w:p>
        </w:tc>
        <w:tc>
          <w:tcPr>
            <w:tcW w:w="7119" w:type="dxa"/>
            <w:tcBorders>
              <w:top w:val="nil"/>
              <w:left w:val="nil"/>
              <w:bottom w:val="nil"/>
              <w:right w:val="nil"/>
            </w:tcBorders>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Uridin 5’ monofosfat</w:t>
            </w:r>
          </w:p>
        </w:tc>
      </w:tr>
      <w:tr w:rsidR="00A837B1" w:rsidRPr="00840D38" w:rsidTr="005D0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rsidR="00A837B1" w:rsidRPr="00840D38" w:rsidRDefault="00A837B1" w:rsidP="005D0C54">
            <w:pPr>
              <w:ind w:firstLine="0"/>
              <w:rPr>
                <w:rFonts w:cs="Times New Roman"/>
                <w:b/>
                <w:bCs/>
                <w:sz w:val="24"/>
                <w:szCs w:val="24"/>
              </w:rPr>
            </w:pPr>
            <w:r w:rsidRPr="00840D38">
              <w:rPr>
                <w:rFonts w:cs="Times New Roman"/>
                <w:b/>
                <w:bCs/>
                <w:sz w:val="24"/>
                <w:szCs w:val="24"/>
              </w:rPr>
              <w:lastRenderedPageBreak/>
              <w:t>VDAC</w:t>
            </w:r>
          </w:p>
        </w:tc>
        <w:tc>
          <w:tcPr>
            <w:tcW w:w="7119" w:type="dxa"/>
            <w:tcBorders>
              <w:top w:val="nil"/>
              <w:left w:val="nil"/>
              <w:bottom w:val="nil"/>
              <w:right w:val="nil"/>
            </w:tcBorders>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Voltaj bağlı anyon kanalları</w:t>
            </w:r>
          </w:p>
        </w:tc>
      </w:tr>
      <w:tr w:rsidR="00A837B1" w:rsidRPr="00840D38" w:rsidTr="005D0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rsidR="00A837B1" w:rsidRPr="00840D38" w:rsidRDefault="00A837B1" w:rsidP="005D0C54">
            <w:pPr>
              <w:ind w:firstLine="0"/>
              <w:rPr>
                <w:rFonts w:cs="Times New Roman"/>
                <w:b/>
                <w:bCs/>
                <w:sz w:val="24"/>
                <w:szCs w:val="24"/>
              </w:rPr>
            </w:pPr>
            <w:r w:rsidRPr="00840D38">
              <w:rPr>
                <w:rFonts w:cs="Times New Roman"/>
                <w:b/>
                <w:bCs/>
                <w:sz w:val="24"/>
                <w:szCs w:val="24"/>
              </w:rPr>
              <w:t>VGEF</w:t>
            </w:r>
          </w:p>
        </w:tc>
        <w:tc>
          <w:tcPr>
            <w:tcW w:w="7119" w:type="dxa"/>
            <w:tcBorders>
              <w:top w:val="nil"/>
              <w:left w:val="nil"/>
              <w:bottom w:val="nil"/>
              <w:right w:val="nil"/>
            </w:tcBorders>
          </w:tcPr>
          <w:p w:rsidR="00A837B1" w:rsidRPr="00840D38" w:rsidRDefault="00A837B1" w:rsidP="005D0C54">
            <w:pPr>
              <w:ind w:firstLine="0"/>
              <w:rPr>
                <w:rFonts w:eastAsia="Times New Roman" w:cs="Times New Roman"/>
                <w:sz w:val="24"/>
                <w:szCs w:val="24"/>
                <w:lang w:eastAsia="tr-TR"/>
              </w:rPr>
            </w:pPr>
            <w:r w:rsidRPr="00840D38">
              <w:rPr>
                <w:rFonts w:eastAsia="Times New Roman" w:cs="Times New Roman"/>
                <w:b/>
                <w:sz w:val="24"/>
                <w:szCs w:val="24"/>
                <w:lang w:eastAsia="tr-TR"/>
              </w:rPr>
              <w:t>:</w:t>
            </w:r>
            <w:r w:rsidRPr="00840D38">
              <w:rPr>
                <w:rFonts w:eastAsia="Times New Roman" w:cs="Times New Roman"/>
                <w:sz w:val="24"/>
                <w:szCs w:val="24"/>
                <w:lang w:eastAsia="tr-TR"/>
              </w:rPr>
              <w:t xml:space="preserve"> Vasküler endotelyal büyüme faktörü</w:t>
            </w:r>
          </w:p>
        </w:tc>
      </w:tr>
    </w:tbl>
    <w:p w:rsidR="00B962B0" w:rsidRDefault="00B962B0" w:rsidP="00B962B0">
      <w:pPr>
        <w:pStyle w:val="AralkYok"/>
      </w:pPr>
    </w:p>
    <w:p w:rsidR="007157CA" w:rsidRDefault="007157CA" w:rsidP="007157CA"/>
    <w:p w:rsidR="007157CA" w:rsidRDefault="007157CA" w:rsidP="007157CA"/>
    <w:p w:rsidR="007157CA" w:rsidRDefault="007157CA" w:rsidP="007157CA"/>
    <w:p w:rsidR="00AD0083" w:rsidRDefault="00AD0083" w:rsidP="007157CA"/>
    <w:p w:rsidR="007157CA" w:rsidRDefault="007157CA" w:rsidP="007157CA"/>
    <w:p w:rsidR="006A4185" w:rsidRDefault="006A4185"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p w:rsidR="00840D38" w:rsidRDefault="00840D38" w:rsidP="007157CA"/>
    <w:bookmarkEnd w:id="18"/>
    <w:p w:rsidR="00AA65D4" w:rsidRPr="00540E08" w:rsidRDefault="00540E08" w:rsidP="00540E08">
      <w:pPr>
        <w:jc w:val="center"/>
        <w:rPr>
          <w:b/>
          <w:sz w:val="28"/>
          <w:szCs w:val="28"/>
        </w:rPr>
      </w:pPr>
      <w:r w:rsidRPr="00540E08">
        <w:rPr>
          <w:rFonts w:cs="Times New Roman"/>
          <w:b/>
          <w:sz w:val="28"/>
          <w:szCs w:val="28"/>
        </w:rPr>
        <w:lastRenderedPageBreak/>
        <w:t>ŞEKİLLER DİZİNİ</w:t>
      </w:r>
    </w:p>
    <w:p w:rsidR="00FA7E25" w:rsidRDefault="00FA7E25" w:rsidP="00540E08"/>
    <w:p w:rsidR="00AC38E0" w:rsidRDefault="007441D4" w:rsidP="002D7525">
      <w:r>
        <w:t xml:space="preserve"> </w:t>
      </w:r>
    </w:p>
    <w:p w:rsidR="00254A76" w:rsidRPr="00D52B35" w:rsidRDefault="00254A76" w:rsidP="006E285C">
      <w:pPr>
        <w:pStyle w:val="T1"/>
        <w:rPr>
          <w:rFonts w:eastAsiaTheme="minorEastAsia"/>
          <w:lang w:eastAsia="tr-TR"/>
        </w:rPr>
      </w:pPr>
      <w:r w:rsidRPr="00F06FC4">
        <w:rPr>
          <w:sz w:val="24"/>
        </w:rPr>
        <w:t>Şekil 1</w:t>
      </w:r>
      <w:r w:rsidR="00157EA4">
        <w:rPr>
          <w:b w:val="0"/>
          <w:sz w:val="24"/>
        </w:rPr>
        <w:t>. Kanser b</w:t>
      </w:r>
      <w:r w:rsidRPr="00F06FC4">
        <w:rPr>
          <w:b w:val="0"/>
          <w:sz w:val="24"/>
        </w:rPr>
        <w:t>elirteçleri</w:t>
      </w:r>
      <w:r w:rsidRPr="00D52B35">
        <w:rPr>
          <w:webHidden/>
        </w:rPr>
        <w:tab/>
      </w:r>
      <w:r w:rsidRPr="006E285C">
        <w:rPr>
          <w:b w:val="0"/>
          <w:webHidden/>
        </w:rPr>
        <w:t>5</w:t>
      </w:r>
    </w:p>
    <w:p w:rsidR="00254A76" w:rsidRPr="00D52B35" w:rsidRDefault="00254A76" w:rsidP="006E285C">
      <w:pPr>
        <w:pStyle w:val="T1"/>
        <w:rPr>
          <w:rFonts w:eastAsiaTheme="minorEastAsia"/>
          <w:lang w:eastAsia="tr-TR"/>
        </w:rPr>
      </w:pPr>
      <w:r w:rsidRPr="00F06FC4">
        <w:rPr>
          <w:sz w:val="24"/>
        </w:rPr>
        <w:t>Şekil 2</w:t>
      </w:r>
      <w:r w:rsidRPr="00F06FC4">
        <w:rPr>
          <w:b w:val="0"/>
          <w:sz w:val="24"/>
        </w:rPr>
        <w:t>. Glikolizisin ve TCA döngüsünün metabolik adımları</w:t>
      </w:r>
      <w:r w:rsidRPr="00D52B35">
        <w:rPr>
          <w:webHidden/>
        </w:rPr>
        <w:tab/>
      </w:r>
      <w:r w:rsidRPr="006E285C">
        <w:rPr>
          <w:b w:val="0"/>
          <w:webHidden/>
        </w:rPr>
        <w:t>9</w:t>
      </w:r>
    </w:p>
    <w:p w:rsidR="00254A76" w:rsidRPr="00D52B35" w:rsidRDefault="00254A76" w:rsidP="006E285C">
      <w:pPr>
        <w:pStyle w:val="T1"/>
        <w:rPr>
          <w:rFonts w:eastAsiaTheme="minorEastAsia"/>
          <w:lang w:eastAsia="tr-TR"/>
        </w:rPr>
      </w:pPr>
      <w:r w:rsidRPr="00F06FC4">
        <w:rPr>
          <w:sz w:val="24"/>
        </w:rPr>
        <w:t>Şekil 3</w:t>
      </w:r>
      <w:r w:rsidRPr="00F06FC4">
        <w:rPr>
          <w:b w:val="0"/>
          <w:sz w:val="24"/>
        </w:rPr>
        <w:t>. Glikolizis ile pozitif ve negatif feedback regülasyonlarının mekanizmalarına genel bakış</w:t>
      </w:r>
      <w:r w:rsidRPr="00D52B35">
        <w:rPr>
          <w:webHidden/>
        </w:rPr>
        <w:tab/>
      </w:r>
      <w:r w:rsidRPr="006E285C">
        <w:rPr>
          <w:b w:val="0"/>
          <w:webHidden/>
        </w:rPr>
        <w:t>13</w:t>
      </w:r>
    </w:p>
    <w:p w:rsidR="00254A76" w:rsidRPr="00D52B35" w:rsidRDefault="00254A76" w:rsidP="006E285C">
      <w:pPr>
        <w:pStyle w:val="T1"/>
        <w:rPr>
          <w:rFonts w:eastAsiaTheme="minorEastAsia"/>
          <w:lang w:eastAsia="tr-TR"/>
        </w:rPr>
      </w:pPr>
      <w:r w:rsidRPr="00F06FC4">
        <w:rPr>
          <w:sz w:val="24"/>
        </w:rPr>
        <w:t>Şekil 4</w:t>
      </w:r>
      <w:r w:rsidRPr="00F06FC4">
        <w:rPr>
          <w:b w:val="0"/>
          <w:sz w:val="24"/>
        </w:rPr>
        <w:t>. Pasif ve çoğalan hücrelerde metabolik aktiviteye genel bakış</w:t>
      </w:r>
      <w:r w:rsidRPr="00D52B35">
        <w:rPr>
          <w:webHidden/>
        </w:rPr>
        <w:tab/>
      </w:r>
      <w:r w:rsidRPr="006E285C">
        <w:rPr>
          <w:b w:val="0"/>
          <w:webHidden/>
        </w:rPr>
        <w:t>16</w:t>
      </w:r>
    </w:p>
    <w:p w:rsidR="00254A76" w:rsidRPr="00D52B35" w:rsidRDefault="00254A76" w:rsidP="006E285C">
      <w:pPr>
        <w:pStyle w:val="T1"/>
        <w:rPr>
          <w:rFonts w:eastAsiaTheme="minorEastAsia"/>
          <w:lang w:eastAsia="tr-TR"/>
        </w:rPr>
      </w:pPr>
      <w:r w:rsidRPr="00F06FC4">
        <w:rPr>
          <w:sz w:val="24"/>
        </w:rPr>
        <w:t>Şekil 5</w:t>
      </w:r>
      <w:r w:rsidRPr="00F06FC4">
        <w:rPr>
          <w:b w:val="0"/>
          <w:sz w:val="24"/>
        </w:rPr>
        <w:t>. Anaerobik glikolizis, aerobik glikolizis ve oksidatif fosforilasyon arasındaki farklılıklar</w:t>
      </w:r>
      <w:r w:rsidRPr="00D52B35">
        <w:rPr>
          <w:webHidden/>
        </w:rPr>
        <w:tab/>
      </w:r>
      <w:r w:rsidRPr="006E285C">
        <w:rPr>
          <w:b w:val="0"/>
          <w:webHidden/>
        </w:rPr>
        <w:t>18</w:t>
      </w:r>
    </w:p>
    <w:p w:rsidR="00254A76" w:rsidRPr="00D52B35" w:rsidRDefault="00254A76" w:rsidP="006E285C">
      <w:pPr>
        <w:pStyle w:val="T1"/>
        <w:rPr>
          <w:rFonts w:eastAsiaTheme="minorEastAsia"/>
          <w:lang w:eastAsia="tr-TR"/>
        </w:rPr>
      </w:pPr>
      <w:r w:rsidRPr="00F06FC4">
        <w:rPr>
          <w:sz w:val="24"/>
        </w:rPr>
        <w:t>Şekil 6</w:t>
      </w:r>
      <w:r w:rsidRPr="00F06FC4">
        <w:rPr>
          <w:b w:val="0"/>
          <w:sz w:val="24"/>
        </w:rPr>
        <w:t>. Warburg etkisi ve hücrede yarattığı sonuçlar</w:t>
      </w:r>
      <w:r w:rsidRPr="00D52B35">
        <w:rPr>
          <w:webHidden/>
        </w:rPr>
        <w:tab/>
      </w:r>
      <w:r w:rsidRPr="006E285C">
        <w:rPr>
          <w:b w:val="0"/>
          <w:webHidden/>
        </w:rPr>
        <w:t>22</w:t>
      </w:r>
    </w:p>
    <w:p w:rsidR="00254A76" w:rsidRPr="00D52B35" w:rsidRDefault="00254A76" w:rsidP="006E285C">
      <w:pPr>
        <w:pStyle w:val="T1"/>
        <w:rPr>
          <w:rFonts w:eastAsiaTheme="minorEastAsia"/>
          <w:lang w:eastAsia="tr-TR"/>
        </w:rPr>
      </w:pPr>
      <w:r w:rsidRPr="00F06FC4">
        <w:rPr>
          <w:sz w:val="24"/>
        </w:rPr>
        <w:t>Şekil 7</w:t>
      </w:r>
      <w:r w:rsidRPr="00F06FC4">
        <w:rPr>
          <w:b w:val="0"/>
          <w:sz w:val="24"/>
        </w:rPr>
        <w:t>. Hipoksi ve HIF’ler tarafından regüle edilen kanser belirteçleri</w:t>
      </w:r>
      <w:r w:rsidRPr="00D52B35">
        <w:rPr>
          <w:webHidden/>
        </w:rPr>
        <w:tab/>
      </w:r>
      <w:r w:rsidRPr="006E285C">
        <w:rPr>
          <w:b w:val="0"/>
          <w:webHidden/>
        </w:rPr>
        <w:t>25</w:t>
      </w:r>
    </w:p>
    <w:p w:rsidR="00254A76" w:rsidRPr="00D52B35" w:rsidRDefault="00254A76" w:rsidP="006E285C">
      <w:pPr>
        <w:pStyle w:val="T1"/>
        <w:rPr>
          <w:rFonts w:eastAsiaTheme="minorEastAsia"/>
          <w:lang w:eastAsia="tr-TR"/>
        </w:rPr>
      </w:pPr>
      <w:r w:rsidRPr="00F06FC4">
        <w:rPr>
          <w:sz w:val="24"/>
        </w:rPr>
        <w:t>Şekil 8</w:t>
      </w:r>
      <w:r w:rsidRPr="00F06FC4">
        <w:rPr>
          <w:b w:val="0"/>
          <w:sz w:val="24"/>
        </w:rPr>
        <w:t>.  Normoksik ve hipoksik koşullarda HIF-1α regülasyonu ve doğrudan HIF-1α tarafından regüle edilen biyolojik fonksiyonlarına göre gruplandırılmış genler</w:t>
      </w:r>
      <w:r w:rsidRPr="00D52B35">
        <w:rPr>
          <w:webHidden/>
        </w:rPr>
        <w:tab/>
      </w:r>
      <w:r w:rsidRPr="006E285C">
        <w:rPr>
          <w:b w:val="0"/>
          <w:webHidden/>
        </w:rPr>
        <w:t>28</w:t>
      </w:r>
    </w:p>
    <w:p w:rsidR="00254A76" w:rsidRPr="00D52B35" w:rsidRDefault="00254A76" w:rsidP="006E285C">
      <w:pPr>
        <w:pStyle w:val="T1"/>
        <w:rPr>
          <w:rFonts w:eastAsiaTheme="minorEastAsia"/>
          <w:lang w:eastAsia="tr-TR"/>
        </w:rPr>
      </w:pPr>
      <w:r w:rsidRPr="00F06FC4">
        <w:rPr>
          <w:sz w:val="24"/>
        </w:rPr>
        <w:t>Şekil 9</w:t>
      </w:r>
      <w:r w:rsidRPr="00F06FC4">
        <w:rPr>
          <w:b w:val="0"/>
          <w:sz w:val="24"/>
        </w:rPr>
        <w:t>. Onkogenik ve tümör baskılayıcı yolakların Warburg Etkisi’ne katkısı</w:t>
      </w:r>
      <w:r w:rsidRPr="00D52B35">
        <w:rPr>
          <w:webHidden/>
        </w:rPr>
        <w:tab/>
      </w:r>
      <w:r w:rsidRPr="006E285C">
        <w:rPr>
          <w:b w:val="0"/>
          <w:webHidden/>
        </w:rPr>
        <w:t>33</w:t>
      </w:r>
    </w:p>
    <w:p w:rsidR="00254A76" w:rsidRPr="00D52B35" w:rsidRDefault="00254A76" w:rsidP="006E285C">
      <w:pPr>
        <w:pStyle w:val="T1"/>
        <w:rPr>
          <w:rFonts w:eastAsiaTheme="minorEastAsia"/>
          <w:lang w:eastAsia="tr-TR"/>
        </w:rPr>
      </w:pPr>
      <w:r w:rsidRPr="00F06FC4">
        <w:rPr>
          <w:sz w:val="24"/>
        </w:rPr>
        <w:t>Şekil  10</w:t>
      </w:r>
      <w:r w:rsidRPr="00F06FC4">
        <w:rPr>
          <w:b w:val="0"/>
          <w:sz w:val="24"/>
        </w:rPr>
        <w:t>. Farklı sınıf  (I, II ve III)  GLUT’ların iki boyutlu modelleri</w:t>
      </w:r>
      <w:r w:rsidRPr="00D52B35">
        <w:rPr>
          <w:webHidden/>
        </w:rPr>
        <w:tab/>
      </w:r>
      <w:r w:rsidRPr="006E285C">
        <w:rPr>
          <w:b w:val="0"/>
          <w:webHidden/>
        </w:rPr>
        <w:t>35</w:t>
      </w:r>
    </w:p>
    <w:p w:rsidR="00254A76" w:rsidRPr="00D52B35" w:rsidRDefault="00254A76" w:rsidP="006E285C">
      <w:pPr>
        <w:pStyle w:val="T1"/>
        <w:rPr>
          <w:rFonts w:eastAsiaTheme="minorEastAsia"/>
          <w:lang w:eastAsia="tr-TR"/>
        </w:rPr>
      </w:pPr>
      <w:r w:rsidRPr="00F06FC4">
        <w:rPr>
          <w:sz w:val="24"/>
        </w:rPr>
        <w:t>Şekil 11.</w:t>
      </w:r>
      <w:r w:rsidRPr="00F06FC4">
        <w:rPr>
          <w:b w:val="0"/>
          <w:sz w:val="24"/>
        </w:rPr>
        <w:t xml:space="preserve"> Glikolitik akışın yüksek olduğu tümör hücresi içinde glukozun metabolik olarak izlediği yol</w:t>
      </w:r>
      <w:r w:rsidRPr="00D52B35">
        <w:rPr>
          <w:webHidden/>
        </w:rPr>
        <w:tab/>
      </w:r>
      <w:r w:rsidRPr="006E285C">
        <w:rPr>
          <w:b w:val="0"/>
          <w:webHidden/>
        </w:rPr>
        <w:t>39</w:t>
      </w:r>
    </w:p>
    <w:p w:rsidR="00254A76" w:rsidRPr="00D52B35" w:rsidRDefault="00254A76" w:rsidP="006E285C">
      <w:pPr>
        <w:pStyle w:val="T1"/>
        <w:rPr>
          <w:rFonts w:eastAsiaTheme="minorEastAsia"/>
          <w:lang w:eastAsia="tr-TR"/>
        </w:rPr>
      </w:pPr>
      <w:r w:rsidRPr="00F06FC4">
        <w:rPr>
          <w:sz w:val="24"/>
        </w:rPr>
        <w:t>Şekil 12.</w:t>
      </w:r>
      <w:r w:rsidRPr="00F06FC4">
        <w:rPr>
          <w:b w:val="0"/>
          <w:sz w:val="24"/>
        </w:rPr>
        <w:t xml:space="preserve"> Hipoksik ve normoksik koşullarda GAPDH aracılı glikolitik akı</w:t>
      </w:r>
      <w:r w:rsidRPr="00D52B35">
        <w:rPr>
          <w:webHidden/>
        </w:rPr>
        <w:tab/>
      </w:r>
      <w:r w:rsidRPr="006E285C">
        <w:rPr>
          <w:b w:val="0"/>
          <w:webHidden/>
        </w:rPr>
        <w:t>43</w:t>
      </w:r>
    </w:p>
    <w:p w:rsidR="00254A76" w:rsidRPr="00D52B35" w:rsidRDefault="00254A76" w:rsidP="006E285C">
      <w:pPr>
        <w:pStyle w:val="T1"/>
        <w:rPr>
          <w:rFonts w:eastAsiaTheme="minorEastAsia"/>
          <w:lang w:eastAsia="tr-TR"/>
        </w:rPr>
      </w:pPr>
      <w:r w:rsidRPr="00F06FC4">
        <w:rPr>
          <w:sz w:val="24"/>
        </w:rPr>
        <w:t>Şekil 13.</w:t>
      </w:r>
      <w:r w:rsidRPr="00F06FC4">
        <w:rPr>
          <w:b w:val="0"/>
          <w:sz w:val="24"/>
        </w:rPr>
        <w:t xml:space="preserve"> PPP ve glikolizin şematik gösterimi</w:t>
      </w:r>
      <w:r w:rsidRPr="00D52B35">
        <w:rPr>
          <w:webHidden/>
        </w:rPr>
        <w:tab/>
      </w:r>
      <w:r w:rsidRPr="006E285C">
        <w:rPr>
          <w:b w:val="0"/>
          <w:webHidden/>
        </w:rPr>
        <w:t>46</w:t>
      </w:r>
    </w:p>
    <w:p w:rsidR="00254A76" w:rsidRPr="00D52B35" w:rsidRDefault="00254A76" w:rsidP="006E285C">
      <w:pPr>
        <w:pStyle w:val="T1"/>
        <w:rPr>
          <w:rFonts w:eastAsiaTheme="minorEastAsia"/>
          <w:lang w:eastAsia="tr-TR"/>
        </w:rPr>
      </w:pPr>
      <w:r w:rsidRPr="00F06FC4">
        <w:rPr>
          <w:sz w:val="24"/>
        </w:rPr>
        <w:t>Şekil 14.</w:t>
      </w:r>
      <w:r w:rsidRPr="00F06FC4">
        <w:rPr>
          <w:b w:val="0"/>
          <w:sz w:val="24"/>
        </w:rPr>
        <w:t xml:space="preserve"> Piruvat kinaz (PKM2) aktivitesinin M2 izoformundaki değişikliklerin hücresel metabolik sonuçları</w:t>
      </w:r>
      <w:r w:rsidRPr="00D52B35">
        <w:rPr>
          <w:webHidden/>
        </w:rPr>
        <w:tab/>
      </w:r>
      <w:r w:rsidRPr="006E285C">
        <w:rPr>
          <w:b w:val="0"/>
          <w:webHidden/>
        </w:rPr>
        <w:t>49</w:t>
      </w:r>
    </w:p>
    <w:p w:rsidR="00254A76" w:rsidRPr="00D52B35" w:rsidRDefault="00254A76" w:rsidP="006E285C">
      <w:pPr>
        <w:pStyle w:val="T1"/>
        <w:rPr>
          <w:rFonts w:eastAsiaTheme="minorEastAsia"/>
          <w:lang w:eastAsia="tr-TR"/>
        </w:rPr>
      </w:pPr>
      <w:r w:rsidRPr="00F06FC4">
        <w:rPr>
          <w:sz w:val="24"/>
        </w:rPr>
        <w:t>Şekil 15.</w:t>
      </w:r>
      <w:r w:rsidRPr="00F06FC4">
        <w:rPr>
          <w:b w:val="0"/>
          <w:sz w:val="24"/>
        </w:rPr>
        <w:t xml:space="preserve"> PKM2'nin glikolitik olmayan nükleer fonksiyonlarının prolin hidroksilasyonu ile regülasyonu</w:t>
      </w:r>
      <w:r w:rsidRPr="00D52B35">
        <w:rPr>
          <w:webHidden/>
        </w:rPr>
        <w:tab/>
      </w:r>
      <w:r w:rsidRPr="006E285C">
        <w:rPr>
          <w:b w:val="0"/>
          <w:webHidden/>
        </w:rPr>
        <w:t>50</w:t>
      </w:r>
    </w:p>
    <w:p w:rsidR="00254A76" w:rsidRPr="00D52B35" w:rsidRDefault="00254A76" w:rsidP="006E285C">
      <w:pPr>
        <w:pStyle w:val="T1"/>
        <w:rPr>
          <w:rFonts w:eastAsiaTheme="minorEastAsia"/>
          <w:lang w:eastAsia="tr-TR"/>
        </w:rPr>
      </w:pPr>
      <w:r w:rsidRPr="00F06FC4">
        <w:rPr>
          <w:sz w:val="24"/>
        </w:rPr>
        <w:t>Şekil 16.</w:t>
      </w:r>
      <w:r w:rsidR="00095114" w:rsidRPr="00F06FC4">
        <w:rPr>
          <w:b w:val="0"/>
          <w:sz w:val="24"/>
        </w:rPr>
        <w:t xml:space="preserve"> Laktat dehidrog</w:t>
      </w:r>
      <w:r w:rsidRPr="00F06FC4">
        <w:rPr>
          <w:b w:val="0"/>
          <w:sz w:val="24"/>
        </w:rPr>
        <w:t>enaz fonksiyonlarının ve gen ekspresyonunun gösterimi</w:t>
      </w:r>
      <w:r w:rsidRPr="00D52B35">
        <w:rPr>
          <w:webHidden/>
        </w:rPr>
        <w:tab/>
      </w:r>
      <w:r w:rsidRPr="006E285C">
        <w:rPr>
          <w:b w:val="0"/>
          <w:webHidden/>
        </w:rPr>
        <w:t>52</w:t>
      </w:r>
    </w:p>
    <w:p w:rsidR="00254A76" w:rsidRPr="00D52B35" w:rsidRDefault="00254A76" w:rsidP="006E285C">
      <w:pPr>
        <w:pStyle w:val="T1"/>
        <w:rPr>
          <w:rFonts w:eastAsiaTheme="minorEastAsia"/>
          <w:lang w:eastAsia="tr-TR"/>
        </w:rPr>
      </w:pPr>
      <w:r w:rsidRPr="00F06FC4">
        <w:rPr>
          <w:sz w:val="24"/>
        </w:rPr>
        <w:t>Şekil 17.</w:t>
      </w:r>
      <w:r w:rsidRPr="00F06FC4">
        <w:rPr>
          <w:b w:val="0"/>
          <w:sz w:val="24"/>
        </w:rPr>
        <w:t xml:space="preserve"> Tümör hücreleri ve normal hücreler arasındaki laktat mekiği</w:t>
      </w:r>
      <w:r w:rsidRPr="00D52B35">
        <w:rPr>
          <w:webHidden/>
        </w:rPr>
        <w:tab/>
      </w:r>
      <w:r w:rsidRPr="006E285C">
        <w:rPr>
          <w:b w:val="0"/>
          <w:webHidden/>
        </w:rPr>
        <w:t>53</w:t>
      </w:r>
    </w:p>
    <w:p w:rsidR="00254A76" w:rsidRPr="00D52B35" w:rsidRDefault="00254A76" w:rsidP="006E285C">
      <w:pPr>
        <w:pStyle w:val="T1"/>
        <w:rPr>
          <w:rFonts w:eastAsiaTheme="minorEastAsia"/>
          <w:lang w:eastAsia="tr-TR"/>
        </w:rPr>
      </w:pPr>
      <w:r w:rsidRPr="00F06FC4">
        <w:rPr>
          <w:sz w:val="24"/>
        </w:rPr>
        <w:t>Şekil  18.</w:t>
      </w:r>
      <w:r w:rsidRPr="00F06FC4">
        <w:rPr>
          <w:b w:val="0"/>
          <w:sz w:val="24"/>
        </w:rPr>
        <w:t xml:space="preserve"> Ekstrasellüler faktörler ve hipoksi aracılı LDHA gen regülasyonu ile LDH-5 aktivasyon yollarının şematik gösterimi</w:t>
      </w:r>
      <w:r w:rsidRPr="00D52B35">
        <w:rPr>
          <w:webHidden/>
        </w:rPr>
        <w:tab/>
      </w:r>
      <w:r w:rsidRPr="006E285C">
        <w:rPr>
          <w:b w:val="0"/>
          <w:webHidden/>
        </w:rPr>
        <w:t>55</w:t>
      </w:r>
    </w:p>
    <w:p w:rsidR="00254A76" w:rsidRPr="00D52B35" w:rsidRDefault="00254A76" w:rsidP="006E285C">
      <w:pPr>
        <w:pStyle w:val="T1"/>
        <w:rPr>
          <w:rFonts w:eastAsiaTheme="minorEastAsia"/>
          <w:lang w:eastAsia="tr-TR"/>
        </w:rPr>
      </w:pPr>
      <w:r w:rsidRPr="00F06FC4">
        <w:rPr>
          <w:sz w:val="24"/>
        </w:rPr>
        <w:t>Şekil 19.</w:t>
      </w:r>
      <w:r w:rsidRPr="00F06FC4">
        <w:rPr>
          <w:b w:val="0"/>
          <w:sz w:val="24"/>
        </w:rPr>
        <w:t xml:space="preserve"> Tümörlerde laktat metabolizması: Laktatın kanser hücrelerinde izlediği yol ve anjiyogenezi yönlendirmede bir sinyal molekülü olarak potansiyel rolü</w:t>
      </w:r>
      <w:r w:rsidRPr="00D52B35">
        <w:rPr>
          <w:webHidden/>
        </w:rPr>
        <w:tab/>
      </w:r>
      <w:r w:rsidRPr="006E285C">
        <w:rPr>
          <w:b w:val="0"/>
          <w:webHidden/>
        </w:rPr>
        <w:t>57</w:t>
      </w:r>
    </w:p>
    <w:p w:rsidR="00254A76" w:rsidRPr="00D52B35" w:rsidRDefault="00254A76" w:rsidP="006E285C">
      <w:pPr>
        <w:pStyle w:val="T1"/>
        <w:rPr>
          <w:rFonts w:eastAsiaTheme="minorEastAsia"/>
          <w:lang w:eastAsia="tr-TR"/>
        </w:rPr>
      </w:pPr>
      <w:r w:rsidRPr="00F06FC4">
        <w:rPr>
          <w:rFonts w:eastAsia="Times New Roman"/>
          <w:sz w:val="24"/>
          <w:lang w:eastAsia="tr-TR"/>
        </w:rPr>
        <w:t>Şekil 20.</w:t>
      </w:r>
      <w:r w:rsidR="00D34578">
        <w:rPr>
          <w:rFonts w:eastAsia="Times New Roman"/>
          <w:b w:val="0"/>
          <w:sz w:val="24"/>
          <w:lang w:eastAsia="tr-TR"/>
        </w:rPr>
        <w:t xml:space="preserve"> WST-1 redüksiyonunun şematik m</w:t>
      </w:r>
      <w:r w:rsidRPr="00F06FC4">
        <w:rPr>
          <w:rFonts w:eastAsia="Times New Roman"/>
          <w:b w:val="0"/>
          <w:sz w:val="24"/>
          <w:lang w:eastAsia="tr-TR"/>
        </w:rPr>
        <w:t>ekanizması</w:t>
      </w:r>
      <w:r w:rsidRPr="00D52B35">
        <w:rPr>
          <w:webHidden/>
        </w:rPr>
        <w:tab/>
      </w:r>
      <w:r w:rsidRPr="006E285C">
        <w:rPr>
          <w:b w:val="0"/>
          <w:webHidden/>
        </w:rPr>
        <w:t>66</w:t>
      </w:r>
    </w:p>
    <w:p w:rsidR="00254A76" w:rsidRPr="00D52B35" w:rsidRDefault="00254A76" w:rsidP="006E285C">
      <w:pPr>
        <w:pStyle w:val="T1"/>
        <w:rPr>
          <w:rFonts w:eastAsiaTheme="minorEastAsia"/>
          <w:lang w:eastAsia="tr-TR"/>
        </w:rPr>
      </w:pPr>
      <w:r w:rsidRPr="00F06FC4">
        <w:rPr>
          <w:rFonts w:eastAsia="Times New Roman"/>
          <w:sz w:val="24"/>
          <w:lang w:eastAsia="tr-TR"/>
        </w:rPr>
        <w:t>Şekil 21.</w:t>
      </w:r>
      <w:r w:rsidR="00D34578">
        <w:rPr>
          <w:rFonts w:eastAsia="Times New Roman"/>
          <w:b w:val="0"/>
          <w:sz w:val="24"/>
          <w:lang w:eastAsia="tr-TR"/>
        </w:rPr>
        <w:t xml:space="preserve"> Glukoz standard g</w:t>
      </w:r>
      <w:r w:rsidRPr="00F06FC4">
        <w:rPr>
          <w:rFonts w:eastAsia="Times New Roman"/>
          <w:b w:val="0"/>
          <w:sz w:val="24"/>
          <w:lang w:eastAsia="tr-TR"/>
        </w:rPr>
        <w:t>rafiği</w:t>
      </w:r>
      <w:r w:rsidRPr="00D52B35">
        <w:rPr>
          <w:webHidden/>
        </w:rPr>
        <w:tab/>
      </w:r>
      <w:r w:rsidRPr="006E285C">
        <w:rPr>
          <w:b w:val="0"/>
          <w:webHidden/>
        </w:rPr>
        <w:t>71</w:t>
      </w:r>
    </w:p>
    <w:p w:rsidR="00254A76" w:rsidRPr="00D52B35" w:rsidRDefault="00254A76" w:rsidP="006E285C">
      <w:pPr>
        <w:pStyle w:val="T1"/>
        <w:rPr>
          <w:rFonts w:eastAsiaTheme="minorEastAsia"/>
          <w:lang w:eastAsia="tr-TR"/>
        </w:rPr>
      </w:pPr>
      <w:r w:rsidRPr="00F06FC4">
        <w:rPr>
          <w:sz w:val="24"/>
        </w:rPr>
        <w:lastRenderedPageBreak/>
        <w:t>Şekil 22.</w:t>
      </w:r>
      <w:r w:rsidRPr="00F06FC4">
        <w:rPr>
          <w:b w:val="0"/>
          <w:sz w:val="24"/>
        </w:rPr>
        <w:t xml:space="preserve"> MCF-7 kanser hücrelerinin (5x10</w:t>
      </w:r>
      <w:r w:rsidRPr="00F06FC4">
        <w:rPr>
          <w:b w:val="0"/>
          <w:sz w:val="24"/>
          <w:vertAlign w:val="superscript"/>
        </w:rPr>
        <w:t>3</w:t>
      </w:r>
      <w:r w:rsidRPr="00F06FC4">
        <w:rPr>
          <w:b w:val="0"/>
          <w:sz w:val="24"/>
        </w:rPr>
        <w:t xml:space="preserve"> hücre/kuyu)  normoksi altında glukozun farklı konsantrasyonlu uygulama gruplarında 3, 6, 12, 24 ve 48 saat inkübasyonu sonucu elde edilen % canlılık oranları.</w:t>
      </w:r>
      <w:r w:rsidRPr="00D52B35">
        <w:rPr>
          <w:webHidden/>
        </w:rPr>
        <w:tab/>
      </w:r>
      <w:r w:rsidRPr="006E285C">
        <w:rPr>
          <w:b w:val="0"/>
          <w:webHidden/>
        </w:rPr>
        <w:t>77</w:t>
      </w:r>
    </w:p>
    <w:p w:rsidR="00254A76" w:rsidRPr="00D52B35" w:rsidRDefault="00254A76" w:rsidP="006E285C">
      <w:pPr>
        <w:pStyle w:val="T1"/>
        <w:rPr>
          <w:rFonts w:eastAsiaTheme="minorEastAsia"/>
          <w:lang w:eastAsia="tr-TR"/>
        </w:rPr>
      </w:pPr>
      <w:r w:rsidRPr="00F06FC4">
        <w:rPr>
          <w:sz w:val="24"/>
        </w:rPr>
        <w:t>Şekil 23.</w:t>
      </w:r>
      <w:r w:rsidRPr="00F06FC4">
        <w:rPr>
          <w:b w:val="0"/>
          <w:sz w:val="24"/>
        </w:rPr>
        <w:t xml:space="preserve"> MCF-7 kanser hücrelerinin (5x10</w:t>
      </w:r>
      <w:r w:rsidRPr="00F06FC4">
        <w:rPr>
          <w:b w:val="0"/>
          <w:sz w:val="24"/>
          <w:vertAlign w:val="superscript"/>
        </w:rPr>
        <w:t>3</w:t>
      </w:r>
      <w:r w:rsidRPr="00F06FC4">
        <w:rPr>
          <w:b w:val="0"/>
          <w:sz w:val="24"/>
        </w:rPr>
        <w:t xml:space="preserve"> hücre/kuyu)  hipoksi altında glukozun farklı konsantrasyonlu uygulama gruplarında 3, 6, 12, 24 ve 48 saat inkübasyonu sonucu elde edilen % canlılık oranları.</w:t>
      </w:r>
      <w:r w:rsidRPr="00D52B35">
        <w:rPr>
          <w:webHidden/>
        </w:rPr>
        <w:tab/>
      </w:r>
      <w:r w:rsidRPr="006E285C">
        <w:rPr>
          <w:b w:val="0"/>
          <w:webHidden/>
        </w:rPr>
        <w:t>78</w:t>
      </w:r>
    </w:p>
    <w:p w:rsidR="00254A76" w:rsidRPr="00D52B35" w:rsidRDefault="00254A76" w:rsidP="006E285C">
      <w:pPr>
        <w:pStyle w:val="T1"/>
        <w:rPr>
          <w:rFonts w:eastAsiaTheme="minorEastAsia"/>
          <w:lang w:eastAsia="tr-TR"/>
        </w:rPr>
      </w:pPr>
      <w:r w:rsidRPr="00F06FC4">
        <w:rPr>
          <w:sz w:val="24"/>
        </w:rPr>
        <w:t>Şekil 24.</w:t>
      </w:r>
      <w:r w:rsidRPr="00F06FC4">
        <w:rPr>
          <w:b w:val="0"/>
          <w:sz w:val="24"/>
        </w:rPr>
        <w:t xml:space="preserve"> MCF-7 kanser hücrelerinin (5x10</w:t>
      </w:r>
      <w:r w:rsidRPr="00F06FC4">
        <w:rPr>
          <w:b w:val="0"/>
          <w:sz w:val="24"/>
          <w:vertAlign w:val="superscript"/>
        </w:rPr>
        <w:t>3</w:t>
      </w:r>
      <w:r w:rsidRPr="00F06FC4">
        <w:rPr>
          <w:b w:val="0"/>
          <w:sz w:val="24"/>
        </w:rPr>
        <w:t xml:space="preserve"> hücre/kuyu) normoksi altında glukozun farklı konsantrasyonlu uygulama gruplarında 3, 6, 12, 24 ve 48 saat inkübasyonu sonucu elde edilen % canlılık oranları.</w:t>
      </w:r>
      <w:r w:rsidRPr="00D52B35">
        <w:rPr>
          <w:webHidden/>
        </w:rPr>
        <w:tab/>
      </w:r>
      <w:r w:rsidRPr="006E285C">
        <w:rPr>
          <w:b w:val="0"/>
          <w:webHidden/>
        </w:rPr>
        <w:t>79</w:t>
      </w:r>
    </w:p>
    <w:p w:rsidR="00254A76" w:rsidRPr="00D52B35" w:rsidRDefault="00254A76" w:rsidP="006E285C">
      <w:pPr>
        <w:pStyle w:val="T1"/>
        <w:rPr>
          <w:rFonts w:eastAsiaTheme="minorEastAsia"/>
          <w:lang w:eastAsia="tr-TR"/>
        </w:rPr>
      </w:pPr>
      <w:r w:rsidRPr="00F06FC4">
        <w:rPr>
          <w:sz w:val="24"/>
        </w:rPr>
        <w:t>Şekil 25.</w:t>
      </w:r>
      <w:r w:rsidRPr="00F06FC4">
        <w:rPr>
          <w:b w:val="0"/>
          <w:sz w:val="24"/>
        </w:rPr>
        <w:t xml:space="preserve"> MCF-7 kanser hücrelerinin (5x10</w:t>
      </w:r>
      <w:r w:rsidRPr="00F06FC4">
        <w:rPr>
          <w:b w:val="0"/>
          <w:sz w:val="24"/>
          <w:vertAlign w:val="superscript"/>
        </w:rPr>
        <w:t>3</w:t>
      </w:r>
      <w:r w:rsidRPr="00F06FC4">
        <w:rPr>
          <w:b w:val="0"/>
          <w:sz w:val="24"/>
        </w:rPr>
        <w:t xml:space="preserve"> hücre/kuyu) hipoksi altında glukozun farklı konsantrasyonlu uygulama gruplarında 3, 6, 12, 24 ve 48 saat inkübasyonu sonucu elde edilen % canlılık oranları.</w:t>
      </w:r>
      <w:r w:rsidRPr="00D52B35">
        <w:rPr>
          <w:webHidden/>
        </w:rPr>
        <w:tab/>
      </w:r>
      <w:r w:rsidRPr="006E285C">
        <w:rPr>
          <w:b w:val="0"/>
          <w:webHidden/>
        </w:rPr>
        <w:t>80</w:t>
      </w:r>
    </w:p>
    <w:p w:rsidR="00254A76" w:rsidRPr="00D52B35" w:rsidRDefault="00254A76" w:rsidP="006E285C">
      <w:pPr>
        <w:pStyle w:val="T1"/>
        <w:rPr>
          <w:rFonts w:eastAsiaTheme="minorEastAsia"/>
          <w:lang w:eastAsia="tr-TR"/>
        </w:rPr>
      </w:pPr>
      <w:r w:rsidRPr="00F06FC4">
        <w:rPr>
          <w:sz w:val="24"/>
        </w:rPr>
        <w:t>Şekil 26.</w:t>
      </w:r>
      <w:r w:rsidRPr="00F06FC4">
        <w:rPr>
          <w:b w:val="0"/>
          <w:sz w:val="24"/>
        </w:rPr>
        <w:t xml:space="preserve"> MCF-7 kanser hücrelerinin normoksi ortamında glukozun farklı konsantrasyonlu uygulama gruplarında 6, 12, 24 ve 48 saat inkübasyonu sonucu elde edilen PKM2 enzim miktarı düzeyleri.</w:t>
      </w:r>
      <w:r w:rsidRPr="00D52B35">
        <w:rPr>
          <w:webHidden/>
        </w:rPr>
        <w:tab/>
      </w:r>
      <w:r w:rsidRPr="006E285C">
        <w:rPr>
          <w:b w:val="0"/>
          <w:webHidden/>
        </w:rPr>
        <w:t>82</w:t>
      </w:r>
    </w:p>
    <w:p w:rsidR="00254A76" w:rsidRPr="00D52B35" w:rsidRDefault="00254A76" w:rsidP="006E285C">
      <w:pPr>
        <w:pStyle w:val="T1"/>
        <w:rPr>
          <w:rFonts w:eastAsiaTheme="minorEastAsia"/>
          <w:lang w:eastAsia="tr-TR"/>
        </w:rPr>
      </w:pPr>
      <w:r w:rsidRPr="00F06FC4">
        <w:rPr>
          <w:sz w:val="24"/>
        </w:rPr>
        <w:t>Şekil 27.</w:t>
      </w:r>
      <w:r w:rsidRPr="00F06FC4">
        <w:rPr>
          <w:b w:val="0"/>
          <w:sz w:val="24"/>
        </w:rPr>
        <w:t xml:space="preserve">  MCF-7 kanser hücrelerinin hipoksi ortamında glukozun farklı konsantrasyonlu uygulama gruplarında 6, 12, 24 ve 48 saat inkübasyonu sonucu elde edilen PKM2 enzim miktarı düzeyleri.</w:t>
      </w:r>
      <w:r w:rsidRPr="00D52B35">
        <w:rPr>
          <w:webHidden/>
        </w:rPr>
        <w:tab/>
      </w:r>
      <w:r w:rsidRPr="006E285C">
        <w:rPr>
          <w:b w:val="0"/>
          <w:webHidden/>
        </w:rPr>
        <w:t>83</w:t>
      </w:r>
    </w:p>
    <w:p w:rsidR="00254A76" w:rsidRPr="00D52B35" w:rsidRDefault="00254A76" w:rsidP="006E285C">
      <w:pPr>
        <w:pStyle w:val="T1"/>
        <w:rPr>
          <w:rFonts w:eastAsiaTheme="minorEastAsia"/>
          <w:lang w:eastAsia="tr-TR"/>
        </w:rPr>
      </w:pPr>
      <w:r w:rsidRPr="00F06FC4">
        <w:rPr>
          <w:sz w:val="24"/>
        </w:rPr>
        <w:t>Şekil 28.</w:t>
      </w:r>
      <w:r w:rsidRPr="00F06FC4">
        <w:rPr>
          <w:b w:val="0"/>
          <w:sz w:val="24"/>
        </w:rPr>
        <w:t xml:space="preserve"> MCF-7 kanser hücrelerinin normoksi ortamında 6, 12, 24 ve 48 saat inkübasyon süreleri için glukozun farklı konsantrasyonlu uygulama gruplarında PKM2 miktarlarının karşılaştırılması.</w:t>
      </w:r>
      <w:r w:rsidRPr="00D52B35">
        <w:rPr>
          <w:webHidden/>
        </w:rPr>
        <w:tab/>
      </w:r>
      <w:r w:rsidRPr="006E285C">
        <w:rPr>
          <w:b w:val="0"/>
          <w:webHidden/>
        </w:rPr>
        <w:t>84</w:t>
      </w:r>
    </w:p>
    <w:p w:rsidR="00254A76" w:rsidRPr="00D52B35" w:rsidRDefault="00254A76" w:rsidP="006E285C">
      <w:pPr>
        <w:pStyle w:val="T1"/>
        <w:rPr>
          <w:rFonts w:eastAsiaTheme="minorEastAsia"/>
          <w:lang w:eastAsia="tr-TR"/>
        </w:rPr>
      </w:pPr>
      <w:r w:rsidRPr="00F06FC4">
        <w:rPr>
          <w:sz w:val="24"/>
        </w:rPr>
        <w:t>Şekil 29.</w:t>
      </w:r>
      <w:r w:rsidRPr="00F06FC4">
        <w:rPr>
          <w:b w:val="0"/>
          <w:sz w:val="24"/>
        </w:rPr>
        <w:t xml:space="preserve"> MCF-7 kanser hücrelerinin hipoksi ortamında 6, 12, 24 ve 48 saat inkübasyon süreleri için glukozun farklı konsantrasyonlu uygulama gruplarında PKM2 miktarlarının karşılaştırılması.</w:t>
      </w:r>
      <w:r w:rsidRPr="00D52B35">
        <w:rPr>
          <w:webHidden/>
        </w:rPr>
        <w:tab/>
      </w:r>
      <w:r w:rsidRPr="006E285C">
        <w:rPr>
          <w:b w:val="0"/>
          <w:webHidden/>
        </w:rPr>
        <w:t>84</w:t>
      </w:r>
    </w:p>
    <w:p w:rsidR="00254A76" w:rsidRPr="00D52B35" w:rsidRDefault="00254A76" w:rsidP="006E285C">
      <w:pPr>
        <w:pStyle w:val="T1"/>
        <w:rPr>
          <w:rFonts w:eastAsiaTheme="minorEastAsia"/>
          <w:lang w:eastAsia="tr-TR"/>
        </w:rPr>
      </w:pPr>
      <w:r w:rsidRPr="00F06FC4">
        <w:rPr>
          <w:sz w:val="24"/>
        </w:rPr>
        <w:t>Şekil 30.</w:t>
      </w:r>
      <w:r w:rsidRPr="00F06FC4">
        <w:rPr>
          <w:b w:val="0"/>
          <w:sz w:val="24"/>
        </w:rPr>
        <w:t xml:space="preserve"> MCF-7 kanser hücrelerinin normoksik ve hipoksik ortamdaki farklı inkübasyon süreli O mM glukoz uygulama gruplarında PKM2 enzim düzeyleri</w:t>
      </w:r>
      <w:r w:rsidR="000240DA" w:rsidRPr="00F06FC4">
        <w:rPr>
          <w:b w:val="0"/>
          <w:sz w:val="24"/>
        </w:rPr>
        <w:t>nin karşılaştırılması</w:t>
      </w:r>
      <w:r w:rsidRPr="00EA545F">
        <w:rPr>
          <w:webHidden/>
        </w:rPr>
        <w:tab/>
      </w:r>
      <w:r w:rsidRPr="00EA545F">
        <w:rPr>
          <w:b w:val="0"/>
          <w:webHidden/>
        </w:rPr>
        <w:t>85</w:t>
      </w:r>
    </w:p>
    <w:p w:rsidR="00254A76" w:rsidRPr="00D52B35" w:rsidRDefault="00254A76" w:rsidP="006E285C">
      <w:pPr>
        <w:pStyle w:val="T1"/>
        <w:rPr>
          <w:rFonts w:eastAsiaTheme="minorEastAsia"/>
          <w:lang w:eastAsia="tr-TR"/>
        </w:rPr>
      </w:pPr>
      <w:r w:rsidRPr="00F06FC4">
        <w:rPr>
          <w:sz w:val="24"/>
        </w:rPr>
        <w:t>Şekil 31.</w:t>
      </w:r>
      <w:r w:rsidRPr="00F06FC4">
        <w:rPr>
          <w:b w:val="0"/>
          <w:sz w:val="24"/>
        </w:rPr>
        <w:t xml:space="preserve"> MCF-7 kanser hücrelerinin normoksik ve hipoksik ortamdaki farklı inkübasyon süreli 5,5 mM glukoz uygulama gruplarında PKM2 enzim düzeyleri</w:t>
      </w:r>
      <w:r w:rsidR="000240DA" w:rsidRPr="00F06FC4">
        <w:rPr>
          <w:b w:val="0"/>
          <w:sz w:val="24"/>
        </w:rPr>
        <w:t>nin karşılaştırılması</w:t>
      </w:r>
      <w:r w:rsidRPr="00D52B35">
        <w:rPr>
          <w:webHidden/>
        </w:rPr>
        <w:tab/>
      </w:r>
      <w:r w:rsidRPr="00EA545F">
        <w:rPr>
          <w:b w:val="0"/>
          <w:webHidden/>
        </w:rPr>
        <w:t>8</w:t>
      </w:r>
      <w:r w:rsidR="005E4754">
        <w:rPr>
          <w:b w:val="0"/>
          <w:webHidden/>
        </w:rPr>
        <w:t>6</w:t>
      </w:r>
    </w:p>
    <w:p w:rsidR="00254A76" w:rsidRPr="00D52B35" w:rsidRDefault="00254A76" w:rsidP="006E285C">
      <w:pPr>
        <w:pStyle w:val="T1"/>
        <w:rPr>
          <w:rFonts w:eastAsiaTheme="minorEastAsia"/>
          <w:lang w:eastAsia="tr-TR"/>
        </w:rPr>
      </w:pPr>
      <w:r w:rsidRPr="00F06FC4">
        <w:rPr>
          <w:sz w:val="24"/>
        </w:rPr>
        <w:t>Şekil 32.</w:t>
      </w:r>
      <w:r w:rsidRPr="00F06FC4">
        <w:rPr>
          <w:b w:val="0"/>
          <w:sz w:val="24"/>
        </w:rPr>
        <w:t xml:space="preserve"> MCF-7 kanser hücrelerinin normoksik ve hipoksik ortamdaki farklı inkübasyon süreli 15 mM glukoz uygulama gruplarında PKM2 enzim</w:t>
      </w:r>
      <w:r w:rsidR="000240DA" w:rsidRPr="00F06FC4">
        <w:rPr>
          <w:b w:val="0"/>
          <w:sz w:val="24"/>
        </w:rPr>
        <w:t xml:space="preserve"> düzeylerinin karşılaştırılması</w:t>
      </w:r>
      <w:r w:rsidRPr="00EA545F">
        <w:rPr>
          <w:webHidden/>
        </w:rPr>
        <w:tab/>
      </w:r>
      <w:r w:rsidRPr="00EA545F">
        <w:rPr>
          <w:b w:val="0"/>
          <w:webHidden/>
        </w:rPr>
        <w:t>86</w:t>
      </w:r>
    </w:p>
    <w:p w:rsidR="00254A76" w:rsidRPr="00D52B35" w:rsidRDefault="00254A76" w:rsidP="006E285C">
      <w:pPr>
        <w:pStyle w:val="T1"/>
        <w:rPr>
          <w:rFonts w:eastAsiaTheme="minorEastAsia"/>
          <w:lang w:eastAsia="tr-TR"/>
        </w:rPr>
      </w:pPr>
      <w:r w:rsidRPr="00F06FC4">
        <w:rPr>
          <w:sz w:val="24"/>
        </w:rPr>
        <w:t>Şekil 33.</w:t>
      </w:r>
      <w:r w:rsidRPr="00F06FC4">
        <w:rPr>
          <w:b w:val="0"/>
          <w:sz w:val="24"/>
        </w:rPr>
        <w:t xml:space="preserve"> MCF-7 kanser hücrelerinin normoksik ve hipoksik ortamdaki farklı inkübasyon süreli 55 mM glukoz uygulama gruplarında PKM2 enzim düzeyleri</w:t>
      </w:r>
      <w:r w:rsidR="000240DA" w:rsidRPr="00F06FC4">
        <w:rPr>
          <w:b w:val="0"/>
          <w:sz w:val="24"/>
        </w:rPr>
        <w:t>nin karşılaştırılması.</w:t>
      </w:r>
      <w:r w:rsidRPr="00D52B35">
        <w:rPr>
          <w:webHidden/>
        </w:rPr>
        <w:tab/>
      </w:r>
      <w:r w:rsidRPr="00EA545F">
        <w:rPr>
          <w:b w:val="0"/>
          <w:webHidden/>
        </w:rPr>
        <w:t>8</w:t>
      </w:r>
      <w:r w:rsidR="005E4754">
        <w:rPr>
          <w:b w:val="0"/>
          <w:webHidden/>
        </w:rPr>
        <w:t>7</w:t>
      </w:r>
    </w:p>
    <w:p w:rsidR="00254A76" w:rsidRPr="00D52B35" w:rsidRDefault="00254A76" w:rsidP="006E285C">
      <w:pPr>
        <w:pStyle w:val="T1"/>
        <w:rPr>
          <w:rFonts w:eastAsiaTheme="minorEastAsia"/>
          <w:lang w:eastAsia="tr-TR"/>
        </w:rPr>
      </w:pPr>
      <w:r w:rsidRPr="00F06FC4">
        <w:rPr>
          <w:sz w:val="24"/>
        </w:rPr>
        <w:lastRenderedPageBreak/>
        <w:t>Şekil 34.</w:t>
      </w:r>
      <w:r w:rsidRPr="00F06FC4">
        <w:rPr>
          <w:b w:val="0"/>
          <w:sz w:val="24"/>
        </w:rPr>
        <w:t xml:space="preserve">  MCF-7 kanser hücrelerinin normoksi ortamında glukozun farklı konsantrasyonlu uygulama gruplarında 6, 12, 24 ve 48 saat inkübasyonu sonucu elde edilen LDHA enzim miktarı düzeyleri.</w:t>
      </w:r>
      <w:r w:rsidRPr="00D52B35">
        <w:rPr>
          <w:webHidden/>
        </w:rPr>
        <w:tab/>
      </w:r>
      <w:r w:rsidRPr="006E285C">
        <w:rPr>
          <w:b w:val="0"/>
          <w:webHidden/>
        </w:rPr>
        <w:t>8</w:t>
      </w:r>
      <w:r w:rsidR="005E4754">
        <w:rPr>
          <w:b w:val="0"/>
          <w:webHidden/>
        </w:rPr>
        <w:t>9</w:t>
      </w:r>
    </w:p>
    <w:p w:rsidR="00254A76" w:rsidRPr="00D52B35" w:rsidRDefault="00254A76" w:rsidP="006E285C">
      <w:pPr>
        <w:pStyle w:val="T1"/>
        <w:rPr>
          <w:rFonts w:eastAsiaTheme="minorEastAsia"/>
          <w:lang w:eastAsia="tr-TR"/>
        </w:rPr>
      </w:pPr>
      <w:r w:rsidRPr="00F06FC4">
        <w:rPr>
          <w:sz w:val="24"/>
        </w:rPr>
        <w:t>Şekil 35.</w:t>
      </w:r>
      <w:r w:rsidRPr="00F06FC4">
        <w:rPr>
          <w:b w:val="0"/>
          <w:sz w:val="24"/>
        </w:rPr>
        <w:t xml:space="preserve">  MCF-7 kanser hücrelerinin hipoksi ortamında glukozun farklı konsantrasyonlu uygulama gruplarında 6, 12, 24 ve 48 saat inkübasyonu sonucu elde edilen LDHA enzim miktarı düzeyleri.</w:t>
      </w:r>
      <w:r w:rsidRPr="00D52B35">
        <w:rPr>
          <w:webHidden/>
        </w:rPr>
        <w:tab/>
      </w:r>
      <w:r w:rsidRPr="006E285C">
        <w:rPr>
          <w:b w:val="0"/>
          <w:webHidden/>
        </w:rPr>
        <w:t>8</w:t>
      </w:r>
      <w:r w:rsidR="005E4754">
        <w:rPr>
          <w:b w:val="0"/>
          <w:webHidden/>
        </w:rPr>
        <w:t>9</w:t>
      </w:r>
    </w:p>
    <w:p w:rsidR="00254A76" w:rsidRPr="00D52B35" w:rsidRDefault="00254A76" w:rsidP="006E285C">
      <w:pPr>
        <w:pStyle w:val="T1"/>
        <w:rPr>
          <w:rFonts w:eastAsiaTheme="minorEastAsia"/>
          <w:lang w:eastAsia="tr-TR"/>
        </w:rPr>
      </w:pPr>
      <w:r w:rsidRPr="00F06FC4">
        <w:rPr>
          <w:sz w:val="24"/>
        </w:rPr>
        <w:t>Şekil 36</w:t>
      </w:r>
      <w:r w:rsidRPr="00F06FC4">
        <w:rPr>
          <w:b w:val="0"/>
          <w:sz w:val="24"/>
        </w:rPr>
        <w:t>. MCF-7 kanser hücrelerinin normoksi ortamında 6, 12, 24 ve 48 saat inkübasyon süreleri için glukozun farklı konsantrasyonlu uygulama gruplarında LDHA miktarlarının karşılaştırılması.</w:t>
      </w:r>
      <w:r w:rsidRPr="00D52B35">
        <w:rPr>
          <w:webHidden/>
        </w:rPr>
        <w:tab/>
      </w:r>
      <w:r w:rsidR="005E4754">
        <w:rPr>
          <w:b w:val="0"/>
          <w:webHidden/>
        </w:rPr>
        <w:t>90</w:t>
      </w:r>
    </w:p>
    <w:p w:rsidR="00254A76" w:rsidRPr="00D52B35" w:rsidRDefault="00254A76" w:rsidP="006E285C">
      <w:pPr>
        <w:pStyle w:val="T1"/>
        <w:rPr>
          <w:rFonts w:eastAsiaTheme="minorEastAsia"/>
          <w:lang w:eastAsia="tr-TR"/>
        </w:rPr>
      </w:pPr>
      <w:r w:rsidRPr="00F06FC4">
        <w:rPr>
          <w:sz w:val="24"/>
        </w:rPr>
        <w:t>Şekil 37.</w:t>
      </w:r>
      <w:r w:rsidRPr="00F06FC4">
        <w:rPr>
          <w:b w:val="0"/>
          <w:sz w:val="24"/>
        </w:rPr>
        <w:t xml:space="preserve"> MCF-7 kanser hücrelerinin hipoksi ortamında 6, 12, 24 ve 48 saat inkübasyon süreleri için glukozun farklı konsantrasyonlu uygulama gruplarında LDHA miktarlarının karşılaştırılması.</w:t>
      </w:r>
      <w:r w:rsidRPr="00D52B35">
        <w:rPr>
          <w:webHidden/>
        </w:rPr>
        <w:tab/>
      </w:r>
      <w:r w:rsidRPr="006E285C">
        <w:rPr>
          <w:b w:val="0"/>
          <w:webHidden/>
        </w:rPr>
        <w:t>9</w:t>
      </w:r>
      <w:r w:rsidR="005E4754">
        <w:rPr>
          <w:b w:val="0"/>
          <w:webHidden/>
        </w:rPr>
        <w:t>1</w:t>
      </w:r>
    </w:p>
    <w:p w:rsidR="00254A76" w:rsidRPr="00EA545F" w:rsidRDefault="00254A76" w:rsidP="006E285C">
      <w:pPr>
        <w:pStyle w:val="T1"/>
        <w:rPr>
          <w:rFonts w:eastAsiaTheme="minorEastAsia"/>
          <w:lang w:eastAsia="tr-TR"/>
        </w:rPr>
      </w:pPr>
      <w:r w:rsidRPr="00F06FC4">
        <w:rPr>
          <w:sz w:val="24"/>
        </w:rPr>
        <w:t>Şekil 38.</w:t>
      </w:r>
      <w:r w:rsidRPr="00F06FC4">
        <w:rPr>
          <w:b w:val="0"/>
          <w:sz w:val="24"/>
        </w:rPr>
        <w:t xml:space="preserve"> MCF-7 kanser hücrelerinin normoksik ve hipoksik ortamdaki farklı inkübasyon süreli 0 mM glukoz uygulama gruplarında LDHA enzim düzeyleri</w:t>
      </w:r>
      <w:r w:rsidR="000240DA" w:rsidRPr="00F06FC4">
        <w:rPr>
          <w:b w:val="0"/>
          <w:sz w:val="24"/>
        </w:rPr>
        <w:t>nin karşılaştırılması.</w:t>
      </w:r>
      <w:r w:rsidRPr="00EA545F">
        <w:rPr>
          <w:webHidden/>
        </w:rPr>
        <w:tab/>
      </w:r>
      <w:r w:rsidRPr="00EA545F">
        <w:rPr>
          <w:b w:val="0"/>
          <w:webHidden/>
        </w:rPr>
        <w:t>9</w:t>
      </w:r>
      <w:r w:rsidR="005E4754">
        <w:rPr>
          <w:b w:val="0"/>
          <w:webHidden/>
        </w:rPr>
        <w:t>2</w:t>
      </w:r>
    </w:p>
    <w:p w:rsidR="00254A76" w:rsidRPr="00EA545F" w:rsidRDefault="00254A76" w:rsidP="006E285C">
      <w:pPr>
        <w:pStyle w:val="T1"/>
        <w:rPr>
          <w:rFonts w:eastAsiaTheme="minorEastAsia"/>
          <w:lang w:eastAsia="tr-TR"/>
        </w:rPr>
      </w:pPr>
      <w:r w:rsidRPr="00F06FC4">
        <w:rPr>
          <w:sz w:val="24"/>
        </w:rPr>
        <w:t>Şekil 39.</w:t>
      </w:r>
      <w:r w:rsidRPr="00F06FC4">
        <w:rPr>
          <w:b w:val="0"/>
          <w:sz w:val="24"/>
        </w:rPr>
        <w:t xml:space="preserve"> MCF-7 kanser hücrelerinin normoksik ve hipoksik ortamdaki farklı inkübasyon süreli 5,5 mM glukoz uygulama gruplarında LDHA enzim düzeyleri</w:t>
      </w:r>
      <w:r w:rsidR="000240DA" w:rsidRPr="00F06FC4">
        <w:rPr>
          <w:b w:val="0"/>
          <w:sz w:val="24"/>
        </w:rPr>
        <w:t>nin karşılaştırılması.</w:t>
      </w:r>
      <w:r w:rsidRPr="00EA545F">
        <w:rPr>
          <w:webHidden/>
        </w:rPr>
        <w:tab/>
      </w:r>
      <w:r w:rsidRPr="00EA545F">
        <w:rPr>
          <w:b w:val="0"/>
          <w:webHidden/>
        </w:rPr>
        <w:t>9</w:t>
      </w:r>
      <w:r w:rsidR="005E4754">
        <w:rPr>
          <w:b w:val="0"/>
          <w:webHidden/>
        </w:rPr>
        <w:t>2</w:t>
      </w:r>
    </w:p>
    <w:p w:rsidR="00254A76" w:rsidRPr="00EA545F" w:rsidRDefault="00254A76" w:rsidP="006E285C">
      <w:pPr>
        <w:pStyle w:val="T1"/>
        <w:rPr>
          <w:rFonts w:eastAsiaTheme="minorEastAsia"/>
          <w:lang w:eastAsia="tr-TR"/>
        </w:rPr>
      </w:pPr>
      <w:r w:rsidRPr="00F06FC4">
        <w:rPr>
          <w:sz w:val="24"/>
        </w:rPr>
        <w:t>Şekil 40.</w:t>
      </w:r>
      <w:r w:rsidRPr="00F06FC4">
        <w:rPr>
          <w:b w:val="0"/>
          <w:sz w:val="24"/>
        </w:rPr>
        <w:t xml:space="preserve"> MCF-7 kanser hücrelerinin normoksik ve hipoksik ortamdaki farklı inkübasyon süreli 15 mM glukoz uygulama gruplarında LDHA enzim düzeyleri</w:t>
      </w:r>
      <w:r w:rsidR="000240DA" w:rsidRPr="00F06FC4">
        <w:rPr>
          <w:b w:val="0"/>
          <w:sz w:val="24"/>
        </w:rPr>
        <w:t>nin karşılaştırılması.</w:t>
      </w:r>
      <w:r w:rsidRPr="00EA545F">
        <w:rPr>
          <w:webHidden/>
        </w:rPr>
        <w:tab/>
      </w:r>
      <w:r w:rsidRPr="00EA545F">
        <w:rPr>
          <w:b w:val="0"/>
          <w:webHidden/>
        </w:rPr>
        <w:t>9</w:t>
      </w:r>
      <w:r w:rsidR="005E4754">
        <w:rPr>
          <w:b w:val="0"/>
        </w:rPr>
        <w:t>3</w:t>
      </w:r>
    </w:p>
    <w:p w:rsidR="00254A76" w:rsidRPr="00D52B35" w:rsidRDefault="00254A76" w:rsidP="006E285C">
      <w:pPr>
        <w:pStyle w:val="T1"/>
        <w:rPr>
          <w:rFonts w:eastAsiaTheme="minorEastAsia"/>
          <w:lang w:eastAsia="tr-TR"/>
        </w:rPr>
      </w:pPr>
      <w:r w:rsidRPr="00F06FC4">
        <w:rPr>
          <w:sz w:val="24"/>
        </w:rPr>
        <w:t>Şekil 41.</w:t>
      </w:r>
      <w:r w:rsidRPr="00F06FC4">
        <w:rPr>
          <w:b w:val="0"/>
          <w:sz w:val="24"/>
        </w:rPr>
        <w:t xml:space="preserve"> MCF-7 kanser hücrelerinin normoksik ve hipoksik ortamdaki farklı inkübasyon süreli 55 mM glukoz uygulama gruplarında LDHA enzim düzeylerinin kar</w:t>
      </w:r>
      <w:r w:rsidR="000240DA" w:rsidRPr="00F06FC4">
        <w:rPr>
          <w:b w:val="0"/>
          <w:sz w:val="24"/>
        </w:rPr>
        <w:t>şılaştırılması.</w:t>
      </w:r>
      <w:r w:rsidRPr="00EA545F">
        <w:rPr>
          <w:webHidden/>
        </w:rPr>
        <w:tab/>
      </w:r>
      <w:r w:rsidRPr="00EA545F">
        <w:rPr>
          <w:b w:val="0"/>
          <w:webHidden/>
        </w:rPr>
        <w:t>9</w:t>
      </w:r>
      <w:r w:rsidR="005E4754">
        <w:rPr>
          <w:b w:val="0"/>
          <w:webHidden/>
        </w:rPr>
        <w:t>3</w:t>
      </w:r>
    </w:p>
    <w:p w:rsidR="00254A76" w:rsidRPr="00D52B35" w:rsidRDefault="00254A76" w:rsidP="006E285C">
      <w:pPr>
        <w:pStyle w:val="T1"/>
        <w:rPr>
          <w:rFonts w:eastAsiaTheme="minorEastAsia"/>
          <w:lang w:eastAsia="tr-TR"/>
        </w:rPr>
      </w:pPr>
      <w:r w:rsidRPr="00F06FC4">
        <w:rPr>
          <w:sz w:val="24"/>
        </w:rPr>
        <w:t>Şekil 42.</w:t>
      </w:r>
      <w:r w:rsidRPr="00F06FC4">
        <w:rPr>
          <w:b w:val="0"/>
          <w:sz w:val="24"/>
        </w:rPr>
        <w:t xml:space="preserve">  MCF-7 kanser hücrelerinin normoksi altında glukozun farklı konsantrasyonlu uygulama gruplarında 6, 12, 24 ve 48 saat inkübasyonu sonucu elde edilen G6PD enzim miktarı düzeyleri.</w:t>
      </w:r>
      <w:r w:rsidRPr="00D52B35">
        <w:rPr>
          <w:webHidden/>
        </w:rPr>
        <w:tab/>
      </w:r>
      <w:r w:rsidRPr="006E285C">
        <w:rPr>
          <w:b w:val="0"/>
          <w:webHidden/>
        </w:rPr>
        <w:t>9</w:t>
      </w:r>
      <w:r w:rsidR="005E4754">
        <w:rPr>
          <w:b w:val="0"/>
          <w:webHidden/>
        </w:rPr>
        <w:t>5</w:t>
      </w:r>
    </w:p>
    <w:p w:rsidR="00254A76" w:rsidRPr="00D52B35" w:rsidRDefault="00254A76" w:rsidP="006E285C">
      <w:pPr>
        <w:pStyle w:val="T1"/>
        <w:rPr>
          <w:rFonts w:eastAsiaTheme="minorEastAsia"/>
          <w:lang w:eastAsia="tr-TR"/>
        </w:rPr>
      </w:pPr>
      <w:r w:rsidRPr="00F06FC4">
        <w:rPr>
          <w:sz w:val="24"/>
        </w:rPr>
        <w:t>Şekil 43.</w:t>
      </w:r>
      <w:r w:rsidRPr="00F06FC4">
        <w:rPr>
          <w:b w:val="0"/>
          <w:sz w:val="24"/>
        </w:rPr>
        <w:t xml:space="preserve">  MCF-7 kanser hücrelerinin hipoksi altında glukozun farklı konsantrasyonlu uygulama gruplarında 6, 12, 24 ve 48 saat inkübasyonu sonucu elde edilen G6PD enzim miktarı düzeyleri.</w:t>
      </w:r>
      <w:r w:rsidRPr="00D52B35">
        <w:rPr>
          <w:webHidden/>
        </w:rPr>
        <w:tab/>
      </w:r>
      <w:r w:rsidRPr="006E285C">
        <w:rPr>
          <w:b w:val="0"/>
          <w:webHidden/>
        </w:rPr>
        <w:t>9</w:t>
      </w:r>
      <w:r w:rsidR="005E4754">
        <w:rPr>
          <w:b w:val="0"/>
          <w:webHidden/>
        </w:rPr>
        <w:t>5</w:t>
      </w:r>
    </w:p>
    <w:p w:rsidR="00254A76" w:rsidRPr="00D52B35" w:rsidRDefault="00254A76" w:rsidP="006E285C">
      <w:pPr>
        <w:pStyle w:val="T1"/>
        <w:rPr>
          <w:rFonts w:eastAsiaTheme="minorEastAsia"/>
          <w:lang w:eastAsia="tr-TR"/>
        </w:rPr>
      </w:pPr>
      <w:r w:rsidRPr="00F06FC4">
        <w:rPr>
          <w:sz w:val="24"/>
        </w:rPr>
        <w:t>Şekil 44.</w:t>
      </w:r>
      <w:r w:rsidRPr="00F06FC4">
        <w:rPr>
          <w:b w:val="0"/>
          <w:sz w:val="24"/>
        </w:rPr>
        <w:t xml:space="preserve"> MCF-7 kanser hücrelerinin normoksi ortamında 6, 12, 24 ve 48 saat inkübasyon süreleri için glukozun farklı konsantrasyonlu uygulama gruplarında G6PD miktarlarının karşılaştırılması.</w:t>
      </w:r>
      <w:r w:rsidRPr="00D52B35">
        <w:rPr>
          <w:webHidden/>
        </w:rPr>
        <w:tab/>
      </w:r>
      <w:r w:rsidRPr="006E285C">
        <w:rPr>
          <w:b w:val="0"/>
          <w:webHidden/>
        </w:rPr>
        <w:t>9</w:t>
      </w:r>
      <w:r w:rsidR="005E4754">
        <w:rPr>
          <w:b w:val="0"/>
          <w:webHidden/>
        </w:rPr>
        <w:t>6</w:t>
      </w:r>
    </w:p>
    <w:p w:rsidR="00254A76" w:rsidRPr="00D52B35" w:rsidRDefault="00254A76" w:rsidP="006E285C">
      <w:pPr>
        <w:pStyle w:val="T1"/>
        <w:rPr>
          <w:rFonts w:eastAsiaTheme="minorEastAsia"/>
          <w:lang w:eastAsia="tr-TR"/>
        </w:rPr>
      </w:pPr>
      <w:r w:rsidRPr="00F06FC4">
        <w:rPr>
          <w:sz w:val="24"/>
        </w:rPr>
        <w:t>Şekil 45.</w:t>
      </w:r>
      <w:r w:rsidRPr="00F06FC4">
        <w:rPr>
          <w:b w:val="0"/>
          <w:sz w:val="24"/>
        </w:rPr>
        <w:t xml:space="preserve"> MCF-7 kanser hücrelerinin hipoksi ortamında 6, 12, 24 ve 48 saat inkübasyon süreleri için glukozun farklı konsantrasyonlu uygulama gruplarında G6PD miktarlarının karşılaştırılması.</w:t>
      </w:r>
      <w:r w:rsidRPr="00D52B35">
        <w:rPr>
          <w:webHidden/>
        </w:rPr>
        <w:tab/>
      </w:r>
      <w:r w:rsidRPr="006E285C">
        <w:rPr>
          <w:b w:val="0"/>
          <w:webHidden/>
        </w:rPr>
        <w:t>9</w:t>
      </w:r>
      <w:r w:rsidR="005E4754">
        <w:rPr>
          <w:b w:val="0"/>
          <w:webHidden/>
        </w:rPr>
        <w:t>7</w:t>
      </w:r>
    </w:p>
    <w:p w:rsidR="00254A76" w:rsidRPr="00D52B35" w:rsidRDefault="00254A76" w:rsidP="006E285C">
      <w:pPr>
        <w:pStyle w:val="T1"/>
        <w:rPr>
          <w:rFonts w:eastAsiaTheme="minorEastAsia"/>
          <w:lang w:eastAsia="tr-TR"/>
        </w:rPr>
      </w:pPr>
      <w:r w:rsidRPr="00F06FC4">
        <w:rPr>
          <w:sz w:val="24"/>
        </w:rPr>
        <w:t>Şekil 46.</w:t>
      </w:r>
      <w:r w:rsidRPr="00F06FC4">
        <w:rPr>
          <w:b w:val="0"/>
          <w:sz w:val="24"/>
        </w:rPr>
        <w:t xml:space="preserve"> MCF-7 kanser hücrelerinin normoksik ve hipoksik ortamdaki farklı inkübasyon süreli 0 mM glukoz uygulama gruplarında G6PD enzim düzey</w:t>
      </w:r>
      <w:r w:rsidR="000240DA" w:rsidRPr="00F06FC4">
        <w:rPr>
          <w:b w:val="0"/>
          <w:sz w:val="24"/>
        </w:rPr>
        <w:t>lerinin karşılaştırılması.</w:t>
      </w:r>
      <w:r w:rsidRPr="00EA545F">
        <w:rPr>
          <w:webHidden/>
        </w:rPr>
        <w:tab/>
      </w:r>
      <w:r w:rsidRPr="00EA545F">
        <w:rPr>
          <w:b w:val="0"/>
          <w:webHidden/>
        </w:rPr>
        <w:t>9</w:t>
      </w:r>
      <w:r w:rsidR="005E4754">
        <w:rPr>
          <w:b w:val="0"/>
          <w:webHidden/>
        </w:rPr>
        <w:t>8</w:t>
      </w:r>
    </w:p>
    <w:p w:rsidR="00254A76" w:rsidRPr="00EA545F" w:rsidRDefault="00254A76" w:rsidP="006E285C">
      <w:pPr>
        <w:pStyle w:val="T1"/>
        <w:rPr>
          <w:rFonts w:eastAsiaTheme="minorEastAsia"/>
          <w:lang w:eastAsia="tr-TR"/>
        </w:rPr>
      </w:pPr>
      <w:r w:rsidRPr="00F06FC4">
        <w:rPr>
          <w:sz w:val="24"/>
        </w:rPr>
        <w:lastRenderedPageBreak/>
        <w:t>Şekil 47.</w:t>
      </w:r>
      <w:r w:rsidRPr="00F06FC4">
        <w:rPr>
          <w:b w:val="0"/>
          <w:sz w:val="24"/>
        </w:rPr>
        <w:t xml:space="preserve"> MCF-7 kanser hücrelerinin normoksik ve hipoksik ortamdaki farklı inkübasyon süreli 5,5 mM glukoz uygulama gruplarında G6PD enzim düzeyleri</w:t>
      </w:r>
      <w:r w:rsidR="000240DA" w:rsidRPr="00F06FC4">
        <w:rPr>
          <w:b w:val="0"/>
          <w:sz w:val="24"/>
        </w:rPr>
        <w:t>nin karşılaştırılması</w:t>
      </w:r>
      <w:r w:rsidRPr="00EA545F">
        <w:rPr>
          <w:webHidden/>
        </w:rPr>
        <w:tab/>
      </w:r>
      <w:r w:rsidRPr="00EA545F">
        <w:rPr>
          <w:b w:val="0"/>
          <w:webHidden/>
        </w:rPr>
        <w:t>9</w:t>
      </w:r>
      <w:r w:rsidR="005E4754">
        <w:rPr>
          <w:b w:val="0"/>
          <w:webHidden/>
        </w:rPr>
        <w:t>8</w:t>
      </w:r>
    </w:p>
    <w:p w:rsidR="00254A76" w:rsidRPr="00EA545F" w:rsidRDefault="00254A76" w:rsidP="006E285C">
      <w:pPr>
        <w:pStyle w:val="T1"/>
        <w:rPr>
          <w:rFonts w:eastAsiaTheme="minorEastAsia"/>
          <w:lang w:eastAsia="tr-TR"/>
        </w:rPr>
      </w:pPr>
      <w:r w:rsidRPr="00F06FC4">
        <w:rPr>
          <w:sz w:val="24"/>
        </w:rPr>
        <w:t>Şekil 48.</w:t>
      </w:r>
      <w:r w:rsidRPr="00F06FC4">
        <w:rPr>
          <w:b w:val="0"/>
          <w:sz w:val="24"/>
        </w:rPr>
        <w:t xml:space="preserve"> MCF-7 kanser hücrelerinin normoksik ve hipoksik ortamdaki farklı inkübasyon süreli 15 mM glukoz uygulama gruplarında G6PD enzim düzeyleri</w:t>
      </w:r>
      <w:r w:rsidR="000240DA" w:rsidRPr="00F06FC4">
        <w:rPr>
          <w:b w:val="0"/>
          <w:sz w:val="24"/>
        </w:rPr>
        <w:t>nin karşılaştırılması.</w:t>
      </w:r>
      <w:r w:rsidRPr="00EA545F">
        <w:rPr>
          <w:webHidden/>
        </w:rPr>
        <w:tab/>
      </w:r>
      <w:r w:rsidRPr="00EA545F">
        <w:rPr>
          <w:b w:val="0"/>
          <w:webHidden/>
        </w:rPr>
        <w:t>9</w:t>
      </w:r>
      <w:r w:rsidR="005E4754">
        <w:rPr>
          <w:b w:val="0"/>
          <w:webHidden/>
        </w:rPr>
        <w:t>9</w:t>
      </w:r>
    </w:p>
    <w:p w:rsidR="00254A76" w:rsidRPr="00EA545F" w:rsidRDefault="00254A76" w:rsidP="006E285C">
      <w:pPr>
        <w:pStyle w:val="T1"/>
        <w:rPr>
          <w:rFonts w:eastAsiaTheme="minorEastAsia"/>
          <w:lang w:eastAsia="tr-TR"/>
        </w:rPr>
      </w:pPr>
      <w:r w:rsidRPr="00F06FC4">
        <w:rPr>
          <w:sz w:val="24"/>
        </w:rPr>
        <w:t>Şekil 49.</w:t>
      </w:r>
      <w:r w:rsidRPr="00F06FC4">
        <w:rPr>
          <w:b w:val="0"/>
          <w:sz w:val="24"/>
        </w:rPr>
        <w:t xml:space="preserve"> MCF-7 kanser hücrelerinin normoksik ve hipoksik ortamdaki farklı inkübasyon süreli 55 mM glukoz uygulama gruplarında G6PD enzim düzeyleri</w:t>
      </w:r>
      <w:r w:rsidR="000240DA" w:rsidRPr="00F06FC4">
        <w:rPr>
          <w:b w:val="0"/>
          <w:sz w:val="24"/>
        </w:rPr>
        <w:t>nin karşılaştırılması.</w:t>
      </w:r>
      <w:r w:rsidRPr="00EA545F">
        <w:rPr>
          <w:webHidden/>
        </w:rPr>
        <w:tab/>
      </w:r>
      <w:r w:rsidRPr="00EA545F">
        <w:rPr>
          <w:b w:val="0"/>
          <w:webHidden/>
        </w:rPr>
        <w:t>9</w:t>
      </w:r>
      <w:r w:rsidR="005E4754">
        <w:rPr>
          <w:b w:val="0"/>
          <w:webHidden/>
        </w:rPr>
        <w:t>9</w:t>
      </w:r>
    </w:p>
    <w:p w:rsidR="00254A76" w:rsidRPr="00EA545F" w:rsidRDefault="00254A76" w:rsidP="006E285C">
      <w:pPr>
        <w:pStyle w:val="T1"/>
        <w:rPr>
          <w:rFonts w:eastAsiaTheme="minorEastAsia"/>
          <w:lang w:eastAsia="tr-TR"/>
        </w:rPr>
      </w:pPr>
      <w:r w:rsidRPr="00F06FC4">
        <w:rPr>
          <w:sz w:val="24"/>
        </w:rPr>
        <w:t>Şekil 50.</w:t>
      </w:r>
      <w:r w:rsidRPr="00F06FC4">
        <w:rPr>
          <w:b w:val="0"/>
          <w:sz w:val="24"/>
        </w:rPr>
        <w:t xml:space="preserve">  MCF-7 kanser hücrelerinin normoksi altında glukozun farklı konsantrasyonlu uygulama gruplarında 6, 12, 24 ve 48 saat inkübasyonu sonucu elde edilen HK2 enzim miktarı düzeyleri.</w:t>
      </w:r>
      <w:r w:rsidRPr="00EA545F">
        <w:rPr>
          <w:webHidden/>
        </w:rPr>
        <w:tab/>
      </w:r>
      <w:r w:rsidRPr="00EA545F">
        <w:rPr>
          <w:b w:val="0"/>
          <w:webHidden/>
        </w:rPr>
        <w:t>10</w:t>
      </w:r>
      <w:r w:rsidR="005E4754">
        <w:rPr>
          <w:b w:val="0"/>
          <w:webHidden/>
        </w:rPr>
        <w:t>1</w:t>
      </w:r>
    </w:p>
    <w:p w:rsidR="00254A76" w:rsidRPr="00EA545F" w:rsidRDefault="00254A76" w:rsidP="006E285C">
      <w:pPr>
        <w:pStyle w:val="T1"/>
        <w:rPr>
          <w:rFonts w:eastAsiaTheme="minorEastAsia"/>
          <w:lang w:eastAsia="tr-TR"/>
        </w:rPr>
      </w:pPr>
      <w:r w:rsidRPr="00F06FC4">
        <w:rPr>
          <w:sz w:val="24"/>
        </w:rPr>
        <w:t>Şekil 51.</w:t>
      </w:r>
      <w:r w:rsidRPr="00F06FC4">
        <w:rPr>
          <w:b w:val="0"/>
          <w:sz w:val="24"/>
        </w:rPr>
        <w:t xml:space="preserve"> MCF-7 kanser hücrelerinin hipoksi altında glukozun farklı konsantrasyonlu uygulama gruplarında 6, 12, 24 ve 48 saat inkübasyonu sonucu elde edilen HK2 enzim miktarı düzeyleri.</w:t>
      </w:r>
      <w:r w:rsidRPr="00EA545F">
        <w:rPr>
          <w:webHidden/>
        </w:rPr>
        <w:tab/>
      </w:r>
      <w:r w:rsidRPr="00EA545F">
        <w:rPr>
          <w:b w:val="0"/>
          <w:webHidden/>
        </w:rPr>
        <w:t>10</w:t>
      </w:r>
      <w:r w:rsidR="005E4754">
        <w:rPr>
          <w:b w:val="0"/>
          <w:webHidden/>
        </w:rPr>
        <w:t>1</w:t>
      </w:r>
    </w:p>
    <w:p w:rsidR="00254A76" w:rsidRPr="00EA545F" w:rsidRDefault="00254A76" w:rsidP="006E285C">
      <w:pPr>
        <w:pStyle w:val="T1"/>
        <w:rPr>
          <w:rFonts w:eastAsiaTheme="minorEastAsia"/>
          <w:lang w:eastAsia="tr-TR"/>
        </w:rPr>
      </w:pPr>
      <w:r w:rsidRPr="00F06FC4">
        <w:rPr>
          <w:sz w:val="24"/>
        </w:rPr>
        <w:t>Şekil 52.</w:t>
      </w:r>
      <w:r w:rsidRPr="00F06FC4">
        <w:rPr>
          <w:b w:val="0"/>
          <w:sz w:val="24"/>
        </w:rPr>
        <w:t xml:space="preserve"> MCF-7 kanser hücrelerinin normoksi ortamında 6, 12, 24 ve 48 saat inkübasyon süreleri için glukozun farklı konsantrasyonlu uygulama gruplarında HK2 miktarlarının karşılaştırılması.</w:t>
      </w:r>
      <w:r w:rsidRPr="00EA545F">
        <w:rPr>
          <w:webHidden/>
        </w:rPr>
        <w:tab/>
      </w:r>
      <w:r w:rsidRPr="00EA545F">
        <w:rPr>
          <w:b w:val="0"/>
          <w:webHidden/>
        </w:rPr>
        <w:t>10</w:t>
      </w:r>
      <w:r w:rsidR="005E4754">
        <w:rPr>
          <w:b w:val="0"/>
          <w:webHidden/>
        </w:rPr>
        <w:t>2</w:t>
      </w:r>
    </w:p>
    <w:p w:rsidR="00254A76" w:rsidRPr="00EA545F" w:rsidRDefault="00254A76" w:rsidP="006E285C">
      <w:pPr>
        <w:pStyle w:val="T1"/>
        <w:rPr>
          <w:rFonts w:eastAsiaTheme="minorEastAsia"/>
          <w:lang w:eastAsia="tr-TR"/>
        </w:rPr>
      </w:pPr>
      <w:r w:rsidRPr="00F06FC4">
        <w:rPr>
          <w:sz w:val="24"/>
        </w:rPr>
        <w:t>Şekil 53.</w:t>
      </w:r>
      <w:r w:rsidRPr="00F06FC4">
        <w:rPr>
          <w:b w:val="0"/>
          <w:sz w:val="24"/>
        </w:rPr>
        <w:t xml:space="preserve"> MCF-7 kanser hücrelerinin hipoksi ortamında 6, 12, 24 ve 48 saat inkübasyon süreleri için glukozun farklı konsantrasyonlu uygulama gruplarında HK2 miktarlarının karşılaştırılması.</w:t>
      </w:r>
      <w:r w:rsidRPr="00EA545F">
        <w:rPr>
          <w:webHidden/>
        </w:rPr>
        <w:tab/>
      </w:r>
      <w:r w:rsidRPr="00EA545F">
        <w:rPr>
          <w:b w:val="0"/>
          <w:webHidden/>
        </w:rPr>
        <w:t>10</w:t>
      </w:r>
      <w:r w:rsidR="005E4754">
        <w:rPr>
          <w:b w:val="0"/>
          <w:webHidden/>
        </w:rPr>
        <w:t>3</w:t>
      </w:r>
    </w:p>
    <w:p w:rsidR="00254A76" w:rsidRPr="00EA545F" w:rsidRDefault="00254A76" w:rsidP="006E285C">
      <w:pPr>
        <w:pStyle w:val="T1"/>
        <w:rPr>
          <w:rFonts w:eastAsiaTheme="minorEastAsia"/>
          <w:lang w:eastAsia="tr-TR"/>
        </w:rPr>
      </w:pPr>
      <w:r w:rsidRPr="00F06FC4">
        <w:rPr>
          <w:sz w:val="24"/>
        </w:rPr>
        <w:t>Şekil 54.</w:t>
      </w:r>
      <w:r w:rsidRPr="00F06FC4">
        <w:rPr>
          <w:b w:val="0"/>
          <w:sz w:val="24"/>
        </w:rPr>
        <w:t xml:space="preserve"> MCF-7 kanser hücrelerinin normoksik ve hipoksik ortamdaki farklı inkübasyon süreli 0 mM glukoz uygulama gruplarında HK2 enzim düzeyleri</w:t>
      </w:r>
      <w:r w:rsidR="000240DA" w:rsidRPr="00F06FC4">
        <w:rPr>
          <w:b w:val="0"/>
          <w:sz w:val="24"/>
        </w:rPr>
        <w:t>nin karşılaştırılması.</w:t>
      </w:r>
      <w:r w:rsidRPr="00EA545F">
        <w:rPr>
          <w:webHidden/>
        </w:rPr>
        <w:tab/>
      </w:r>
      <w:r w:rsidRPr="00EA545F">
        <w:rPr>
          <w:b w:val="0"/>
          <w:webHidden/>
        </w:rPr>
        <w:t>10</w:t>
      </w:r>
      <w:r w:rsidR="005E4754">
        <w:rPr>
          <w:b w:val="0"/>
          <w:webHidden/>
        </w:rPr>
        <w:t>4</w:t>
      </w:r>
    </w:p>
    <w:p w:rsidR="00254A76" w:rsidRPr="00EA545F" w:rsidRDefault="00254A76" w:rsidP="006E285C">
      <w:pPr>
        <w:pStyle w:val="T1"/>
        <w:rPr>
          <w:rFonts w:eastAsiaTheme="minorEastAsia"/>
          <w:lang w:eastAsia="tr-TR"/>
        </w:rPr>
      </w:pPr>
      <w:r w:rsidRPr="00F06FC4">
        <w:rPr>
          <w:sz w:val="24"/>
        </w:rPr>
        <w:t>Şekil 55.</w:t>
      </w:r>
      <w:r w:rsidRPr="00F06FC4">
        <w:rPr>
          <w:b w:val="0"/>
          <w:sz w:val="24"/>
        </w:rPr>
        <w:t xml:space="preserve"> MCF-7 kanser hücrelerinin normoksik ve hipoksik ortamdaki farklı inkübasyon süreli 5,5 mM glukoz uygulama gruplarında HK2 enzim düzeyleri</w:t>
      </w:r>
      <w:r w:rsidR="000240DA" w:rsidRPr="00F06FC4">
        <w:rPr>
          <w:b w:val="0"/>
          <w:sz w:val="24"/>
        </w:rPr>
        <w:t>nin karşılaştırılması.</w:t>
      </w:r>
      <w:r w:rsidRPr="00EA545F">
        <w:rPr>
          <w:webHidden/>
        </w:rPr>
        <w:tab/>
      </w:r>
      <w:r w:rsidRPr="00EA545F">
        <w:rPr>
          <w:b w:val="0"/>
          <w:webHidden/>
        </w:rPr>
        <w:t>10</w:t>
      </w:r>
      <w:r w:rsidR="005E4754">
        <w:rPr>
          <w:b w:val="0"/>
          <w:webHidden/>
        </w:rPr>
        <w:t>4</w:t>
      </w:r>
    </w:p>
    <w:p w:rsidR="00254A76" w:rsidRPr="00EA545F" w:rsidRDefault="00254A76" w:rsidP="006E285C">
      <w:pPr>
        <w:pStyle w:val="T1"/>
        <w:rPr>
          <w:rFonts w:eastAsiaTheme="minorEastAsia"/>
          <w:lang w:eastAsia="tr-TR"/>
        </w:rPr>
      </w:pPr>
      <w:r w:rsidRPr="00F06FC4">
        <w:rPr>
          <w:sz w:val="24"/>
        </w:rPr>
        <w:t>Şekil 56.</w:t>
      </w:r>
      <w:r w:rsidRPr="00F06FC4">
        <w:rPr>
          <w:b w:val="0"/>
          <w:sz w:val="24"/>
        </w:rPr>
        <w:t xml:space="preserve"> MCF-7 kanser hücrelerinin normoksik ve hipoksik ortamdaki farklı inkübasyon süreli 15 mM glukoz uygulama gruplarında HK2 enzim düzeyleri</w:t>
      </w:r>
      <w:r w:rsidR="000240DA" w:rsidRPr="00F06FC4">
        <w:rPr>
          <w:b w:val="0"/>
          <w:sz w:val="24"/>
        </w:rPr>
        <w:t>nin karşılaştırılması</w:t>
      </w:r>
      <w:r w:rsidRPr="00EA545F">
        <w:rPr>
          <w:webHidden/>
        </w:rPr>
        <w:tab/>
      </w:r>
      <w:r w:rsidRPr="00EA545F">
        <w:rPr>
          <w:b w:val="0"/>
          <w:webHidden/>
        </w:rPr>
        <w:t>10</w:t>
      </w:r>
      <w:r w:rsidR="005E4754">
        <w:rPr>
          <w:b w:val="0"/>
          <w:webHidden/>
        </w:rPr>
        <w:t>5</w:t>
      </w:r>
    </w:p>
    <w:p w:rsidR="00254A76" w:rsidRPr="00EA545F" w:rsidRDefault="00254A76" w:rsidP="006E285C">
      <w:pPr>
        <w:pStyle w:val="T1"/>
        <w:rPr>
          <w:rFonts w:eastAsiaTheme="minorEastAsia"/>
          <w:lang w:eastAsia="tr-TR"/>
        </w:rPr>
      </w:pPr>
      <w:r w:rsidRPr="00F06FC4">
        <w:rPr>
          <w:sz w:val="24"/>
        </w:rPr>
        <w:t>Şekil 57.</w:t>
      </w:r>
      <w:r w:rsidRPr="00F06FC4">
        <w:rPr>
          <w:b w:val="0"/>
          <w:sz w:val="24"/>
        </w:rPr>
        <w:t xml:space="preserve"> MCF-7 kanser hücrelerinin normoksik ve hipoksik ortamdaki farklı inkübasyon süreli 55 mM glukoz uygulama gruplarında HK2 enzim düzeyleri</w:t>
      </w:r>
      <w:r w:rsidR="000240DA" w:rsidRPr="00F06FC4">
        <w:rPr>
          <w:b w:val="0"/>
          <w:sz w:val="24"/>
        </w:rPr>
        <w:t>nin karşılaştırılması</w:t>
      </w:r>
      <w:r w:rsidRPr="00EA545F">
        <w:rPr>
          <w:webHidden/>
        </w:rPr>
        <w:tab/>
      </w:r>
      <w:r w:rsidRPr="00EA545F">
        <w:rPr>
          <w:b w:val="0"/>
          <w:webHidden/>
        </w:rPr>
        <w:t>10</w:t>
      </w:r>
      <w:r w:rsidR="005E4754">
        <w:rPr>
          <w:b w:val="0"/>
          <w:webHidden/>
        </w:rPr>
        <w:t>5</w:t>
      </w:r>
    </w:p>
    <w:p w:rsidR="00254A76" w:rsidRPr="00EA545F" w:rsidRDefault="00254A76" w:rsidP="006E285C">
      <w:pPr>
        <w:pStyle w:val="T1"/>
        <w:rPr>
          <w:rFonts w:eastAsiaTheme="minorEastAsia"/>
          <w:lang w:eastAsia="tr-TR"/>
        </w:rPr>
      </w:pPr>
      <w:r w:rsidRPr="00F06FC4">
        <w:rPr>
          <w:sz w:val="24"/>
        </w:rPr>
        <w:t>Şekil 58.</w:t>
      </w:r>
      <w:r w:rsidRPr="00F06FC4">
        <w:rPr>
          <w:b w:val="0"/>
          <w:sz w:val="24"/>
        </w:rPr>
        <w:t xml:space="preserve">  MCF-7 kanser hücrelerinin normoksi altında glukozun farklı konsantrasyonlu uygulama gruplarında 6, 12, 24 ve 48 saat inkübasyonu sonucu elde edilen PFKP enzim miktarı düzeyleri.</w:t>
      </w:r>
      <w:r w:rsidRPr="00EA545F">
        <w:rPr>
          <w:webHidden/>
        </w:rPr>
        <w:tab/>
      </w:r>
      <w:r w:rsidRPr="00EA545F">
        <w:rPr>
          <w:b w:val="0"/>
          <w:webHidden/>
        </w:rPr>
        <w:t>10</w:t>
      </w:r>
      <w:r w:rsidR="005E4754">
        <w:rPr>
          <w:b w:val="0"/>
          <w:webHidden/>
        </w:rPr>
        <w:t>7</w:t>
      </w:r>
    </w:p>
    <w:p w:rsidR="00254A76" w:rsidRPr="00EA545F" w:rsidRDefault="00254A76" w:rsidP="006E285C">
      <w:pPr>
        <w:pStyle w:val="T1"/>
        <w:rPr>
          <w:rFonts w:eastAsiaTheme="minorEastAsia"/>
          <w:lang w:eastAsia="tr-TR"/>
        </w:rPr>
      </w:pPr>
      <w:r w:rsidRPr="00F06FC4">
        <w:rPr>
          <w:sz w:val="24"/>
        </w:rPr>
        <w:t>Şekil 59.</w:t>
      </w:r>
      <w:r w:rsidRPr="00F06FC4">
        <w:rPr>
          <w:b w:val="0"/>
          <w:sz w:val="24"/>
        </w:rPr>
        <w:t xml:space="preserve">  MCF-7 kanser hücrelerinin hipoksi altında glukozun farklı konsantrasyonlu uygulama gruplarında 6, 12, 24 ve 48 saat inkübasyonu sonucu elde edilen PFKP enzim miktarı düzeyleri.</w:t>
      </w:r>
      <w:r w:rsidRPr="00EA545F">
        <w:rPr>
          <w:webHidden/>
        </w:rPr>
        <w:tab/>
      </w:r>
      <w:r w:rsidRPr="00EA545F">
        <w:rPr>
          <w:b w:val="0"/>
          <w:webHidden/>
        </w:rPr>
        <w:t>10</w:t>
      </w:r>
      <w:r w:rsidR="005E4754">
        <w:rPr>
          <w:b w:val="0"/>
        </w:rPr>
        <w:t>8</w:t>
      </w:r>
    </w:p>
    <w:p w:rsidR="00254A76" w:rsidRPr="00EA545F" w:rsidRDefault="00254A76" w:rsidP="006E285C">
      <w:pPr>
        <w:pStyle w:val="T1"/>
        <w:rPr>
          <w:rFonts w:eastAsiaTheme="minorEastAsia"/>
          <w:lang w:eastAsia="tr-TR"/>
        </w:rPr>
      </w:pPr>
      <w:r w:rsidRPr="00F06FC4">
        <w:rPr>
          <w:sz w:val="24"/>
        </w:rPr>
        <w:lastRenderedPageBreak/>
        <w:t>Şekil 60.</w:t>
      </w:r>
      <w:r w:rsidRPr="00F06FC4">
        <w:rPr>
          <w:b w:val="0"/>
          <w:sz w:val="24"/>
        </w:rPr>
        <w:t xml:space="preserve"> MCF-7 kanser hücrelerinin normoksi ortamında 6, 12, 24 ve 48 saat inkübasyon süreleri için glukozun farklı konsantrasyonlu uygulama gruplarında PFKP miktarlarının karşılaştırılması.</w:t>
      </w:r>
      <w:r w:rsidRPr="00EA545F">
        <w:rPr>
          <w:webHidden/>
        </w:rPr>
        <w:tab/>
      </w:r>
      <w:r w:rsidRPr="00EA545F">
        <w:rPr>
          <w:b w:val="0"/>
          <w:webHidden/>
        </w:rPr>
        <w:t>10</w:t>
      </w:r>
      <w:r w:rsidR="005E4754">
        <w:rPr>
          <w:b w:val="0"/>
          <w:webHidden/>
        </w:rPr>
        <w:t>9</w:t>
      </w:r>
    </w:p>
    <w:p w:rsidR="00254A76" w:rsidRPr="00EA545F" w:rsidRDefault="00254A76" w:rsidP="006E285C">
      <w:pPr>
        <w:pStyle w:val="T1"/>
        <w:rPr>
          <w:rFonts w:eastAsiaTheme="minorEastAsia"/>
          <w:lang w:eastAsia="tr-TR"/>
        </w:rPr>
      </w:pPr>
      <w:r w:rsidRPr="00F06FC4">
        <w:rPr>
          <w:sz w:val="24"/>
        </w:rPr>
        <w:t>Şekil 61.</w:t>
      </w:r>
      <w:r w:rsidRPr="00F06FC4">
        <w:rPr>
          <w:b w:val="0"/>
          <w:sz w:val="24"/>
        </w:rPr>
        <w:t xml:space="preserve"> MCF-7 kanser hücrelerinin hipoksi ortamında 6, 12, 24 ve 48 saat inkübasyon süreleri için glukozun farklı konsantrasyonlu uygulama gruplarında PFKP miktarlarının karşılaştırılması.</w:t>
      </w:r>
      <w:r w:rsidRPr="00EA545F">
        <w:rPr>
          <w:webHidden/>
        </w:rPr>
        <w:tab/>
      </w:r>
      <w:r w:rsidRPr="00EA545F">
        <w:rPr>
          <w:b w:val="0"/>
          <w:webHidden/>
        </w:rPr>
        <w:t>10</w:t>
      </w:r>
      <w:r w:rsidR="005E4754">
        <w:rPr>
          <w:b w:val="0"/>
          <w:webHidden/>
        </w:rPr>
        <w:t>9</w:t>
      </w:r>
    </w:p>
    <w:p w:rsidR="00254A76" w:rsidRPr="00EA545F" w:rsidRDefault="00254A76" w:rsidP="006E285C">
      <w:pPr>
        <w:pStyle w:val="T1"/>
        <w:rPr>
          <w:rFonts w:eastAsiaTheme="minorEastAsia"/>
          <w:lang w:eastAsia="tr-TR"/>
        </w:rPr>
      </w:pPr>
      <w:r w:rsidRPr="00F06FC4">
        <w:rPr>
          <w:sz w:val="24"/>
        </w:rPr>
        <w:t>Şekil 62.</w:t>
      </w:r>
      <w:r w:rsidRPr="00F06FC4">
        <w:rPr>
          <w:b w:val="0"/>
          <w:sz w:val="24"/>
        </w:rPr>
        <w:t xml:space="preserve"> MCF-7 kanser hücrelerinin normoksik ve hipoksik ortamdaki farklı inkübasyon süreli 0 mM glukoz uygulama gruplarında PFKP enzim düzeyleri</w:t>
      </w:r>
      <w:r w:rsidR="000240DA" w:rsidRPr="00F06FC4">
        <w:rPr>
          <w:b w:val="0"/>
          <w:sz w:val="24"/>
        </w:rPr>
        <w:t>nin karşılaştırılması</w:t>
      </w:r>
      <w:r w:rsidRPr="00EA545F">
        <w:rPr>
          <w:webHidden/>
        </w:rPr>
        <w:tab/>
      </w:r>
      <w:r w:rsidRPr="00EA545F">
        <w:rPr>
          <w:b w:val="0"/>
          <w:webHidden/>
        </w:rPr>
        <w:t>1</w:t>
      </w:r>
      <w:r w:rsidR="005E4754">
        <w:rPr>
          <w:b w:val="0"/>
          <w:webHidden/>
        </w:rPr>
        <w:t>10</w:t>
      </w:r>
    </w:p>
    <w:p w:rsidR="00254A76" w:rsidRPr="00EA545F" w:rsidRDefault="00254A76" w:rsidP="006E285C">
      <w:pPr>
        <w:pStyle w:val="T1"/>
        <w:rPr>
          <w:rFonts w:eastAsiaTheme="minorEastAsia"/>
          <w:lang w:eastAsia="tr-TR"/>
        </w:rPr>
      </w:pPr>
      <w:r w:rsidRPr="00F06FC4">
        <w:rPr>
          <w:sz w:val="24"/>
        </w:rPr>
        <w:t>Şekil 63.</w:t>
      </w:r>
      <w:r w:rsidRPr="00F06FC4">
        <w:rPr>
          <w:b w:val="0"/>
          <w:sz w:val="24"/>
        </w:rPr>
        <w:t xml:space="preserve"> MCF-7 kanser hücrelerinin normoksik ve hipoksik ortamdaki farklı inkübasyon süreli 5.5 mM glukoz uygulama gruplarında PFKP enzim düzeyleri</w:t>
      </w:r>
      <w:r w:rsidR="000240DA" w:rsidRPr="00F06FC4">
        <w:rPr>
          <w:b w:val="0"/>
          <w:sz w:val="24"/>
        </w:rPr>
        <w:t>nin karşılaştırılması</w:t>
      </w:r>
      <w:r w:rsidRPr="00EA545F">
        <w:rPr>
          <w:webHidden/>
        </w:rPr>
        <w:tab/>
      </w:r>
      <w:r w:rsidRPr="00EA545F">
        <w:rPr>
          <w:b w:val="0"/>
          <w:webHidden/>
        </w:rPr>
        <w:t>1</w:t>
      </w:r>
      <w:r w:rsidR="005E4754">
        <w:rPr>
          <w:b w:val="0"/>
          <w:webHidden/>
        </w:rPr>
        <w:t>11</w:t>
      </w:r>
    </w:p>
    <w:p w:rsidR="00254A76" w:rsidRPr="00EA545F" w:rsidRDefault="00254A76" w:rsidP="006E285C">
      <w:pPr>
        <w:pStyle w:val="T1"/>
        <w:rPr>
          <w:rFonts w:eastAsiaTheme="minorEastAsia"/>
          <w:lang w:eastAsia="tr-TR"/>
        </w:rPr>
      </w:pPr>
      <w:r w:rsidRPr="00F06FC4">
        <w:rPr>
          <w:sz w:val="24"/>
        </w:rPr>
        <w:t>Şekil 64.</w:t>
      </w:r>
      <w:r w:rsidRPr="00F06FC4">
        <w:rPr>
          <w:b w:val="0"/>
          <w:sz w:val="24"/>
        </w:rPr>
        <w:t xml:space="preserve"> MCF-7 kanser hücrelerinin normoksik ve hipoksik ortamdaki farklı inkübasyon süreli 15 mM glukoz uygulama gruplarında PFKP enzim düzeyleri</w:t>
      </w:r>
      <w:r w:rsidR="000240DA" w:rsidRPr="00F06FC4">
        <w:rPr>
          <w:b w:val="0"/>
          <w:sz w:val="24"/>
        </w:rPr>
        <w:t>nin karşılaştırılması</w:t>
      </w:r>
      <w:r w:rsidRPr="00EA545F">
        <w:rPr>
          <w:webHidden/>
        </w:rPr>
        <w:tab/>
      </w:r>
      <w:r w:rsidRPr="00EA545F">
        <w:rPr>
          <w:b w:val="0"/>
          <w:webHidden/>
        </w:rPr>
        <w:t>11</w:t>
      </w:r>
      <w:r w:rsidR="005E4754">
        <w:rPr>
          <w:b w:val="0"/>
          <w:webHidden/>
        </w:rPr>
        <w:t>1</w:t>
      </w:r>
    </w:p>
    <w:p w:rsidR="00254A76" w:rsidRPr="00EA545F" w:rsidRDefault="00254A76" w:rsidP="006E285C">
      <w:pPr>
        <w:pStyle w:val="T1"/>
        <w:rPr>
          <w:rFonts w:eastAsiaTheme="minorEastAsia"/>
          <w:lang w:eastAsia="tr-TR"/>
        </w:rPr>
      </w:pPr>
      <w:r w:rsidRPr="00F06FC4">
        <w:rPr>
          <w:sz w:val="24"/>
        </w:rPr>
        <w:t>Şekil 65.</w:t>
      </w:r>
      <w:r w:rsidRPr="00F06FC4">
        <w:rPr>
          <w:b w:val="0"/>
          <w:sz w:val="24"/>
        </w:rPr>
        <w:t xml:space="preserve"> MCF-7 kanser hücrelerinin normoksik ve hipoksik ortamdaki farklı inkübasyon süreli 55 mM glukoz uygulama gruplarında PFKP enzim düzeyleri</w:t>
      </w:r>
      <w:r w:rsidR="000240DA" w:rsidRPr="00F06FC4">
        <w:rPr>
          <w:b w:val="0"/>
          <w:sz w:val="24"/>
        </w:rPr>
        <w:t>nin karşılaştırılması</w:t>
      </w:r>
      <w:r w:rsidRPr="00EA545F">
        <w:rPr>
          <w:webHidden/>
        </w:rPr>
        <w:tab/>
      </w:r>
      <w:r w:rsidRPr="00EA545F">
        <w:rPr>
          <w:b w:val="0"/>
          <w:webHidden/>
        </w:rPr>
        <w:t>11</w:t>
      </w:r>
      <w:r w:rsidR="005E4754">
        <w:rPr>
          <w:b w:val="0"/>
          <w:webHidden/>
        </w:rPr>
        <w:t>2</w:t>
      </w:r>
    </w:p>
    <w:p w:rsidR="00254A76" w:rsidRPr="00EA545F" w:rsidRDefault="00254A76" w:rsidP="006E285C">
      <w:pPr>
        <w:pStyle w:val="T1"/>
        <w:rPr>
          <w:rFonts w:eastAsiaTheme="minorEastAsia"/>
          <w:lang w:eastAsia="tr-TR"/>
        </w:rPr>
      </w:pPr>
      <w:r w:rsidRPr="00F06FC4">
        <w:rPr>
          <w:sz w:val="24"/>
        </w:rPr>
        <w:t>Şekil 66.</w:t>
      </w:r>
      <w:r w:rsidRPr="00F06FC4">
        <w:rPr>
          <w:b w:val="0"/>
          <w:sz w:val="24"/>
        </w:rPr>
        <w:t xml:space="preserve"> MCF-7 kanser hücrelerinin normoksi altında glukozun farklı konsantrasyonlu uygulama gruplarında 3,6,12,24 ve 48 saat inkübasyonu sonucu elde edilen laktat üretim miktarları.</w:t>
      </w:r>
      <w:r w:rsidRPr="00EA545F">
        <w:rPr>
          <w:webHidden/>
        </w:rPr>
        <w:tab/>
      </w:r>
      <w:r w:rsidRPr="00EA545F">
        <w:rPr>
          <w:b w:val="0"/>
          <w:webHidden/>
        </w:rPr>
        <w:t>11</w:t>
      </w:r>
      <w:r w:rsidR="005E4754">
        <w:rPr>
          <w:b w:val="0"/>
          <w:webHidden/>
        </w:rPr>
        <w:t>4</w:t>
      </w:r>
    </w:p>
    <w:p w:rsidR="00254A76" w:rsidRPr="00EA545F" w:rsidRDefault="00254A76" w:rsidP="006E285C">
      <w:pPr>
        <w:pStyle w:val="T1"/>
        <w:rPr>
          <w:rFonts w:eastAsiaTheme="minorEastAsia"/>
          <w:lang w:eastAsia="tr-TR"/>
        </w:rPr>
      </w:pPr>
      <w:r w:rsidRPr="00F06FC4">
        <w:rPr>
          <w:sz w:val="24"/>
        </w:rPr>
        <w:t>Şekil 67.</w:t>
      </w:r>
      <w:r w:rsidRPr="00F06FC4">
        <w:rPr>
          <w:b w:val="0"/>
          <w:sz w:val="24"/>
        </w:rPr>
        <w:t xml:space="preserve"> MCF-7 kanser hücrelerinin hipoksi altında glukozun farklı konsantrasyonlu uygulama gruplarında 3,6, 12, 24 ve 48 saat inkübasyonu sonucu elde edilen laktat üretim miktarları.</w:t>
      </w:r>
      <w:r w:rsidRPr="00EA545F">
        <w:rPr>
          <w:webHidden/>
        </w:rPr>
        <w:tab/>
      </w:r>
      <w:r w:rsidRPr="00EA545F">
        <w:rPr>
          <w:b w:val="0"/>
          <w:webHidden/>
        </w:rPr>
        <w:t>11</w:t>
      </w:r>
      <w:r w:rsidR="005E4754">
        <w:rPr>
          <w:b w:val="0"/>
          <w:webHidden/>
        </w:rPr>
        <w:t>4</w:t>
      </w:r>
    </w:p>
    <w:p w:rsidR="00254A76" w:rsidRPr="00EA545F" w:rsidRDefault="00254A76" w:rsidP="006E285C">
      <w:pPr>
        <w:pStyle w:val="T1"/>
        <w:rPr>
          <w:rFonts w:eastAsiaTheme="minorEastAsia"/>
          <w:lang w:eastAsia="tr-TR"/>
        </w:rPr>
      </w:pPr>
      <w:r w:rsidRPr="00F06FC4">
        <w:rPr>
          <w:sz w:val="24"/>
        </w:rPr>
        <w:t>Şekil 68.</w:t>
      </w:r>
      <w:r w:rsidRPr="00F06FC4">
        <w:rPr>
          <w:b w:val="0"/>
          <w:sz w:val="24"/>
        </w:rPr>
        <w:t xml:space="preserve"> MCF-7 kanser hücrelerinin normoksi altında glukozun farklı konsantrasyonlu uygulama gruplarında 3,6, 12, 24 ve 48 saat inkübasyonu sonucu elde edilen laktat üretim miktarları.</w:t>
      </w:r>
      <w:r w:rsidRPr="00EA545F">
        <w:rPr>
          <w:webHidden/>
        </w:rPr>
        <w:tab/>
      </w:r>
      <w:r w:rsidRPr="00EA545F">
        <w:rPr>
          <w:b w:val="0"/>
          <w:webHidden/>
        </w:rPr>
        <w:t>11</w:t>
      </w:r>
      <w:r w:rsidR="005E4754">
        <w:rPr>
          <w:b w:val="0"/>
          <w:webHidden/>
        </w:rPr>
        <w:t>5</w:t>
      </w:r>
    </w:p>
    <w:p w:rsidR="00254A76" w:rsidRPr="00EA545F" w:rsidRDefault="00254A76" w:rsidP="006E285C">
      <w:pPr>
        <w:pStyle w:val="T1"/>
        <w:rPr>
          <w:rFonts w:eastAsiaTheme="minorEastAsia"/>
          <w:lang w:eastAsia="tr-TR"/>
        </w:rPr>
      </w:pPr>
      <w:r w:rsidRPr="00F06FC4">
        <w:rPr>
          <w:sz w:val="24"/>
        </w:rPr>
        <w:t>Şekil 69.</w:t>
      </w:r>
      <w:r w:rsidRPr="00F06FC4">
        <w:rPr>
          <w:b w:val="0"/>
          <w:sz w:val="24"/>
        </w:rPr>
        <w:t xml:space="preserve"> MCF-7 kanser hücrelerinin hipoksi altında glukozun farklı konsantrasyonlu uygulama gruplarında 3,6, 12, 24 ve 48 saat inkübasyonu sonucu elde edilen laktat üretim miktarları.</w:t>
      </w:r>
      <w:r w:rsidRPr="00EA545F">
        <w:rPr>
          <w:webHidden/>
        </w:rPr>
        <w:tab/>
      </w:r>
      <w:r w:rsidRPr="00EA545F">
        <w:rPr>
          <w:b w:val="0"/>
          <w:webHidden/>
        </w:rPr>
        <w:t>11</w:t>
      </w:r>
      <w:r w:rsidR="005E4754">
        <w:rPr>
          <w:b w:val="0"/>
          <w:webHidden/>
        </w:rPr>
        <w:t>6</w:t>
      </w:r>
    </w:p>
    <w:p w:rsidR="00254A76" w:rsidRPr="00EA545F" w:rsidRDefault="00254A76" w:rsidP="006E285C">
      <w:pPr>
        <w:pStyle w:val="T1"/>
        <w:rPr>
          <w:rFonts w:eastAsiaTheme="minorEastAsia"/>
          <w:lang w:eastAsia="tr-TR"/>
        </w:rPr>
      </w:pPr>
      <w:r w:rsidRPr="00F06FC4">
        <w:rPr>
          <w:sz w:val="24"/>
        </w:rPr>
        <w:t>Şekil 70.</w:t>
      </w:r>
      <w:r w:rsidRPr="00F06FC4">
        <w:rPr>
          <w:b w:val="0"/>
          <w:sz w:val="24"/>
        </w:rPr>
        <w:t xml:space="preserve"> 0 mM glukoz uygulama gruplarında normoksik ve hipoksik koşulların ekstrasellüler laktat salınımı düzeylerinin karşılaştırılması.</w:t>
      </w:r>
      <w:r w:rsidRPr="00EA545F">
        <w:rPr>
          <w:webHidden/>
        </w:rPr>
        <w:tab/>
      </w:r>
      <w:r w:rsidRPr="00EA545F">
        <w:rPr>
          <w:b w:val="0"/>
          <w:webHidden/>
        </w:rPr>
        <w:t>11</w:t>
      </w:r>
      <w:r w:rsidR="005E4754">
        <w:rPr>
          <w:b w:val="0"/>
          <w:webHidden/>
        </w:rPr>
        <w:t>7</w:t>
      </w:r>
    </w:p>
    <w:p w:rsidR="00254A76" w:rsidRPr="00EA545F" w:rsidRDefault="00254A76" w:rsidP="006E285C">
      <w:pPr>
        <w:pStyle w:val="T1"/>
        <w:rPr>
          <w:rFonts w:eastAsiaTheme="minorEastAsia"/>
          <w:lang w:eastAsia="tr-TR"/>
        </w:rPr>
      </w:pPr>
      <w:r w:rsidRPr="00F06FC4">
        <w:rPr>
          <w:sz w:val="24"/>
        </w:rPr>
        <w:t>Şekil 71.</w:t>
      </w:r>
      <w:r w:rsidRPr="00F06FC4">
        <w:rPr>
          <w:b w:val="0"/>
          <w:sz w:val="24"/>
        </w:rPr>
        <w:t xml:space="preserve"> 5.5 mM glukoz uygulama gruplarında normoksik ve hipoksik koşulların ekstrasellüler laktat salınımı düzeylerinin karşılaştırılması.</w:t>
      </w:r>
      <w:r w:rsidRPr="00EA545F">
        <w:rPr>
          <w:webHidden/>
        </w:rPr>
        <w:tab/>
      </w:r>
      <w:r w:rsidRPr="00EA545F">
        <w:rPr>
          <w:b w:val="0"/>
          <w:webHidden/>
        </w:rPr>
        <w:t>11</w:t>
      </w:r>
      <w:r w:rsidR="005E4754">
        <w:rPr>
          <w:b w:val="0"/>
          <w:webHidden/>
        </w:rPr>
        <w:t>7</w:t>
      </w:r>
    </w:p>
    <w:p w:rsidR="00254A76" w:rsidRPr="00EA545F" w:rsidRDefault="00254A76" w:rsidP="006E285C">
      <w:pPr>
        <w:pStyle w:val="T1"/>
        <w:rPr>
          <w:rFonts w:eastAsiaTheme="minorEastAsia"/>
          <w:lang w:eastAsia="tr-TR"/>
        </w:rPr>
      </w:pPr>
      <w:r w:rsidRPr="00F06FC4">
        <w:rPr>
          <w:sz w:val="24"/>
        </w:rPr>
        <w:t>Şekil 72.</w:t>
      </w:r>
      <w:r w:rsidRPr="00F06FC4">
        <w:rPr>
          <w:b w:val="0"/>
          <w:sz w:val="24"/>
        </w:rPr>
        <w:t xml:space="preserve"> 15 mM glukoz uygulama gruplarında normoksik ve hipoksik koşulların ekstrasellüler laktat salınımı düzeylerinin karşılaştırılması.</w:t>
      </w:r>
      <w:r w:rsidRPr="00EA545F">
        <w:rPr>
          <w:webHidden/>
        </w:rPr>
        <w:tab/>
      </w:r>
      <w:r w:rsidRPr="00EA545F">
        <w:rPr>
          <w:b w:val="0"/>
          <w:webHidden/>
        </w:rPr>
        <w:t>11</w:t>
      </w:r>
      <w:r w:rsidR="005E4754">
        <w:rPr>
          <w:b w:val="0"/>
          <w:webHidden/>
        </w:rPr>
        <w:t>8</w:t>
      </w:r>
    </w:p>
    <w:p w:rsidR="00254A76" w:rsidRPr="00D52B35" w:rsidRDefault="00254A76" w:rsidP="006E285C">
      <w:pPr>
        <w:pStyle w:val="T1"/>
        <w:rPr>
          <w:rFonts w:eastAsiaTheme="minorEastAsia"/>
          <w:lang w:eastAsia="tr-TR"/>
        </w:rPr>
      </w:pPr>
      <w:r w:rsidRPr="00F06FC4">
        <w:rPr>
          <w:sz w:val="24"/>
        </w:rPr>
        <w:t>Şekil 73.</w:t>
      </w:r>
      <w:r w:rsidRPr="00F06FC4">
        <w:rPr>
          <w:b w:val="0"/>
          <w:sz w:val="24"/>
        </w:rPr>
        <w:t xml:space="preserve"> 55 mM glukoz uygulama gruplarında normoksik ve hipoksik koşulların ekstrasellüler laktat salınımı düzeylerinin karşılaştırılması.</w:t>
      </w:r>
      <w:r w:rsidRPr="00EA545F">
        <w:rPr>
          <w:webHidden/>
        </w:rPr>
        <w:tab/>
      </w:r>
      <w:r w:rsidRPr="00EA545F">
        <w:rPr>
          <w:b w:val="0"/>
          <w:webHidden/>
        </w:rPr>
        <w:t>11</w:t>
      </w:r>
      <w:r w:rsidR="005E4754">
        <w:rPr>
          <w:b w:val="0"/>
          <w:webHidden/>
        </w:rPr>
        <w:t>8</w:t>
      </w:r>
    </w:p>
    <w:p w:rsidR="00254A76" w:rsidRPr="00EA545F" w:rsidRDefault="00254A76" w:rsidP="006E285C">
      <w:pPr>
        <w:pStyle w:val="T1"/>
        <w:rPr>
          <w:rFonts w:eastAsiaTheme="minorEastAsia"/>
          <w:lang w:eastAsia="tr-TR"/>
        </w:rPr>
      </w:pPr>
      <w:r w:rsidRPr="00F06FC4">
        <w:rPr>
          <w:sz w:val="24"/>
        </w:rPr>
        <w:lastRenderedPageBreak/>
        <w:t>Şekil 74.</w:t>
      </w:r>
      <w:r w:rsidRPr="00F06FC4">
        <w:rPr>
          <w:b w:val="0"/>
          <w:sz w:val="24"/>
        </w:rPr>
        <w:t xml:space="preserve"> MCF-7 kanser hücrelerinin normoksi altında glukozun farklı konsantrasyonlu uygulama gruplarında 3,6,12, 24 ve 48 saat inkübasyonu sonucu elde edilen glukoz tüketim miktarları.</w:t>
      </w:r>
      <w:r w:rsidRPr="00EA545F">
        <w:rPr>
          <w:webHidden/>
        </w:rPr>
        <w:tab/>
      </w:r>
      <w:r w:rsidRPr="00EA545F">
        <w:rPr>
          <w:b w:val="0"/>
          <w:webHidden/>
        </w:rPr>
        <w:t>1</w:t>
      </w:r>
      <w:r w:rsidR="005E4754">
        <w:rPr>
          <w:b w:val="0"/>
          <w:webHidden/>
        </w:rPr>
        <w:t>20</w:t>
      </w:r>
    </w:p>
    <w:p w:rsidR="00254A76" w:rsidRPr="00EA545F" w:rsidRDefault="00254A76" w:rsidP="006E285C">
      <w:pPr>
        <w:pStyle w:val="T1"/>
        <w:rPr>
          <w:rFonts w:eastAsiaTheme="minorEastAsia"/>
          <w:lang w:eastAsia="tr-TR"/>
        </w:rPr>
      </w:pPr>
      <w:r w:rsidRPr="00F06FC4">
        <w:rPr>
          <w:sz w:val="24"/>
        </w:rPr>
        <w:t>Şekil 75.</w:t>
      </w:r>
      <w:r w:rsidRPr="00F06FC4">
        <w:rPr>
          <w:b w:val="0"/>
          <w:sz w:val="24"/>
        </w:rPr>
        <w:t xml:space="preserve"> MCF-7 kanser hücrelerinin hipoksi altında glukozun farklı konsantrasyonlu uygulama gruplarında 3,6,12, 24 ve 48 saat inkübasyonu sonucu elde edilen glukoz tüketim miktarları.</w:t>
      </w:r>
      <w:r w:rsidRPr="00EA545F">
        <w:rPr>
          <w:webHidden/>
        </w:rPr>
        <w:tab/>
      </w:r>
      <w:r w:rsidRPr="00EA545F">
        <w:rPr>
          <w:b w:val="0"/>
          <w:webHidden/>
        </w:rPr>
        <w:t>1</w:t>
      </w:r>
      <w:r w:rsidR="005E4754">
        <w:rPr>
          <w:b w:val="0"/>
          <w:webHidden/>
        </w:rPr>
        <w:t>21</w:t>
      </w:r>
    </w:p>
    <w:p w:rsidR="00254A76" w:rsidRPr="00EA545F" w:rsidRDefault="00254A76" w:rsidP="006E285C">
      <w:pPr>
        <w:pStyle w:val="T1"/>
        <w:rPr>
          <w:rFonts w:eastAsiaTheme="minorEastAsia"/>
          <w:lang w:eastAsia="tr-TR"/>
        </w:rPr>
      </w:pPr>
      <w:r w:rsidRPr="00F06FC4">
        <w:rPr>
          <w:sz w:val="24"/>
        </w:rPr>
        <w:t>Şekil 76.</w:t>
      </w:r>
      <w:r w:rsidRPr="00F06FC4">
        <w:rPr>
          <w:b w:val="0"/>
          <w:sz w:val="24"/>
        </w:rPr>
        <w:t xml:space="preserve"> MCF-7 kanser hücrelerinin normoksik ve hipoksik ortamdaki farklı inkübasyon süreli 5.5 mM glukoz uygulama gruplarında glukoz tüketim miktarları</w:t>
      </w:r>
      <w:r w:rsidR="000240DA" w:rsidRPr="00F06FC4">
        <w:rPr>
          <w:b w:val="0"/>
          <w:sz w:val="24"/>
        </w:rPr>
        <w:t>nın karşılaştırılması.</w:t>
      </w:r>
      <w:r w:rsidRPr="00EA545F">
        <w:rPr>
          <w:webHidden/>
        </w:rPr>
        <w:tab/>
      </w:r>
      <w:r w:rsidRPr="00EA545F">
        <w:rPr>
          <w:b w:val="0"/>
          <w:webHidden/>
        </w:rPr>
        <w:t>12</w:t>
      </w:r>
      <w:r w:rsidR="005E4754">
        <w:rPr>
          <w:b w:val="0"/>
          <w:webHidden/>
        </w:rPr>
        <w:t>2</w:t>
      </w:r>
    </w:p>
    <w:p w:rsidR="00254A76" w:rsidRPr="00EA545F" w:rsidRDefault="00254A76" w:rsidP="006E285C">
      <w:pPr>
        <w:pStyle w:val="T1"/>
        <w:rPr>
          <w:rFonts w:eastAsiaTheme="minorEastAsia"/>
          <w:lang w:eastAsia="tr-TR"/>
        </w:rPr>
      </w:pPr>
      <w:r w:rsidRPr="00F06FC4">
        <w:rPr>
          <w:sz w:val="24"/>
        </w:rPr>
        <w:t>Şekil 77.</w:t>
      </w:r>
      <w:r w:rsidRPr="00F06FC4">
        <w:rPr>
          <w:b w:val="0"/>
          <w:sz w:val="24"/>
        </w:rPr>
        <w:t xml:space="preserve"> MCF-7 kanser hücrelerinin normoksik ve hipoksik ortamdaki farklı inkübasyon süreli 15 mM glukoz uygulama gruplarında glukoz tüketim miktarları</w:t>
      </w:r>
      <w:r w:rsidR="000240DA" w:rsidRPr="00F06FC4">
        <w:rPr>
          <w:b w:val="0"/>
          <w:sz w:val="24"/>
        </w:rPr>
        <w:t>nın karşılaştırılması.</w:t>
      </w:r>
      <w:r w:rsidRPr="00EA545F">
        <w:rPr>
          <w:webHidden/>
        </w:rPr>
        <w:tab/>
      </w:r>
      <w:r w:rsidRPr="00EA545F">
        <w:rPr>
          <w:b w:val="0"/>
          <w:webHidden/>
        </w:rPr>
        <w:t>12</w:t>
      </w:r>
      <w:r w:rsidR="005E4754">
        <w:rPr>
          <w:b w:val="0"/>
          <w:webHidden/>
        </w:rPr>
        <w:t>2</w:t>
      </w:r>
    </w:p>
    <w:p w:rsidR="00254A76" w:rsidRPr="00EA545F" w:rsidRDefault="00254A76" w:rsidP="006E285C">
      <w:pPr>
        <w:pStyle w:val="T1"/>
        <w:rPr>
          <w:rFonts w:eastAsiaTheme="minorEastAsia"/>
          <w:lang w:eastAsia="tr-TR"/>
        </w:rPr>
      </w:pPr>
      <w:r w:rsidRPr="00F06FC4">
        <w:rPr>
          <w:sz w:val="24"/>
        </w:rPr>
        <w:t>Şekil 78.</w:t>
      </w:r>
      <w:r w:rsidRPr="00F06FC4">
        <w:rPr>
          <w:b w:val="0"/>
          <w:sz w:val="24"/>
        </w:rPr>
        <w:t xml:space="preserve"> MCF-7 kanser hücrelerinin normoksik ve hipoksik ortamdaki farklı inkübasyon süreli 55 mM glukoz uygulama gruplarında glukoz tüketim miktarları</w:t>
      </w:r>
      <w:r w:rsidR="000240DA" w:rsidRPr="00F06FC4">
        <w:rPr>
          <w:b w:val="0"/>
          <w:sz w:val="24"/>
        </w:rPr>
        <w:t>nın karşılaştırılması.</w:t>
      </w:r>
      <w:r w:rsidRPr="00EA545F">
        <w:rPr>
          <w:webHidden/>
        </w:rPr>
        <w:tab/>
      </w:r>
      <w:r w:rsidRPr="00EA545F">
        <w:rPr>
          <w:b w:val="0"/>
          <w:webHidden/>
        </w:rPr>
        <w:t>12</w:t>
      </w:r>
      <w:r w:rsidR="005E4754">
        <w:rPr>
          <w:b w:val="0"/>
          <w:webHidden/>
        </w:rPr>
        <w:t>3</w:t>
      </w:r>
    </w:p>
    <w:p w:rsidR="00254A76" w:rsidRPr="00EA545F" w:rsidRDefault="00254A76" w:rsidP="006E285C">
      <w:pPr>
        <w:pStyle w:val="T1"/>
        <w:rPr>
          <w:rFonts w:eastAsiaTheme="minorEastAsia"/>
          <w:lang w:eastAsia="tr-TR"/>
        </w:rPr>
      </w:pPr>
      <w:r w:rsidRPr="00F06FC4">
        <w:rPr>
          <w:sz w:val="24"/>
        </w:rPr>
        <w:t>Şekil 79.</w:t>
      </w:r>
      <w:r w:rsidRPr="00F06FC4">
        <w:rPr>
          <w:b w:val="0"/>
          <w:sz w:val="24"/>
        </w:rPr>
        <w:t xml:space="preserve"> </w:t>
      </w:r>
      <w:r w:rsidRPr="00F06FC4">
        <w:rPr>
          <w:rFonts w:eastAsia="Calibri"/>
          <w:b w:val="0"/>
          <w:sz w:val="24"/>
        </w:rPr>
        <w:t>Normoksik ortamdaki MCF7 hücrelerinin 0., 6., 12., 24 ve 48 saat süreyle farklı konsantrasyonlarda (0, 5.5, 15 ve 55 mM) glukoz muameleleri sonucu oluşan yara açıklığı yüzdeleri.</w:t>
      </w:r>
      <w:r w:rsidRPr="00EA545F">
        <w:rPr>
          <w:webHidden/>
        </w:rPr>
        <w:tab/>
      </w:r>
      <w:r w:rsidRPr="00EA545F">
        <w:rPr>
          <w:b w:val="0"/>
          <w:webHidden/>
        </w:rPr>
        <w:t>12</w:t>
      </w:r>
      <w:r w:rsidR="005E4754">
        <w:rPr>
          <w:b w:val="0"/>
          <w:webHidden/>
        </w:rPr>
        <w:t>4</w:t>
      </w:r>
    </w:p>
    <w:p w:rsidR="00254A76" w:rsidRPr="00D52B35" w:rsidRDefault="00254A76" w:rsidP="006E285C">
      <w:pPr>
        <w:pStyle w:val="T1"/>
        <w:rPr>
          <w:rFonts w:eastAsiaTheme="minorEastAsia"/>
          <w:szCs w:val="22"/>
          <w:lang w:eastAsia="tr-TR"/>
        </w:rPr>
      </w:pPr>
      <w:r w:rsidRPr="00F06FC4">
        <w:rPr>
          <w:rFonts w:eastAsia="Calibri"/>
          <w:sz w:val="24"/>
        </w:rPr>
        <w:t>Şekil 80.</w:t>
      </w:r>
      <w:r w:rsidRPr="00F06FC4">
        <w:rPr>
          <w:rFonts w:eastAsia="Calibri"/>
          <w:b w:val="0"/>
          <w:sz w:val="24"/>
        </w:rPr>
        <w:t xml:space="preserve"> Hipoksik ortamdaki MCF7 hücrelerinin 0., 6., 12., 24 ve 48 saat süreyle farklı konsantrasyonlarda (0, 5.5, 15 ve 55 mM) glukoz muameleleri sonucu oluşan yara açıklığı yüzdeleri.</w:t>
      </w:r>
      <w:r w:rsidRPr="00EA545F">
        <w:rPr>
          <w:webHidden/>
        </w:rPr>
        <w:tab/>
      </w:r>
      <w:r w:rsidRPr="00EA545F">
        <w:rPr>
          <w:b w:val="0"/>
          <w:webHidden/>
        </w:rPr>
        <w:t>12</w:t>
      </w:r>
      <w:r w:rsidR="005E4754">
        <w:rPr>
          <w:b w:val="0"/>
          <w:webHidden/>
        </w:rPr>
        <w:t>5</w:t>
      </w:r>
    </w:p>
    <w:p w:rsidR="002D7525" w:rsidRDefault="002D7525" w:rsidP="00254A76"/>
    <w:p w:rsidR="00254A76" w:rsidRDefault="00254A76" w:rsidP="00540E08"/>
    <w:p w:rsidR="00254A76" w:rsidRDefault="00254A76" w:rsidP="00540E08"/>
    <w:p w:rsidR="00254A76" w:rsidRDefault="00254A76" w:rsidP="00540E08"/>
    <w:p w:rsidR="00254A76" w:rsidRDefault="00254A76" w:rsidP="00540E08"/>
    <w:p w:rsidR="00254A76" w:rsidRDefault="00254A76" w:rsidP="00540E08"/>
    <w:p w:rsidR="002D7525" w:rsidRDefault="002D7525" w:rsidP="00540E08"/>
    <w:p w:rsidR="002D7525" w:rsidRDefault="002D7525" w:rsidP="00540E08"/>
    <w:p w:rsidR="002D7525" w:rsidRDefault="002D7525" w:rsidP="00540E08"/>
    <w:p w:rsidR="00540E08" w:rsidRDefault="00540E08" w:rsidP="00540E08"/>
    <w:p w:rsidR="008C1525" w:rsidRDefault="008C1525">
      <w:pPr>
        <w:spacing w:after="200" w:line="276" w:lineRule="auto"/>
        <w:ind w:firstLine="0"/>
        <w:jc w:val="left"/>
        <w:rPr>
          <w:rFonts w:eastAsiaTheme="majorEastAsia" w:cstheme="majorBidi"/>
          <w:b/>
          <w:bCs/>
          <w:sz w:val="28"/>
          <w:szCs w:val="28"/>
        </w:rPr>
      </w:pPr>
    </w:p>
    <w:p w:rsidR="00250038" w:rsidRDefault="00250038" w:rsidP="00250038">
      <w:bookmarkStart w:id="19" w:name="_Toc488176617"/>
    </w:p>
    <w:p w:rsidR="007441D4" w:rsidRDefault="007441D4" w:rsidP="00250038"/>
    <w:p w:rsidR="007441D4" w:rsidRDefault="007441D4" w:rsidP="00250038"/>
    <w:p w:rsidR="00C51628" w:rsidRDefault="00C51628" w:rsidP="00250038"/>
    <w:p w:rsidR="007441D4" w:rsidRDefault="007441D4" w:rsidP="007441D4">
      <w:pPr>
        <w:jc w:val="center"/>
        <w:rPr>
          <w:b/>
          <w:sz w:val="28"/>
        </w:rPr>
      </w:pPr>
      <w:r w:rsidRPr="007441D4">
        <w:rPr>
          <w:b/>
          <w:sz w:val="28"/>
        </w:rPr>
        <w:lastRenderedPageBreak/>
        <w:t>RESİMLER DİZİNİ</w:t>
      </w:r>
    </w:p>
    <w:p w:rsidR="007441D4" w:rsidRPr="00C51628" w:rsidRDefault="007441D4" w:rsidP="007441D4">
      <w:pPr>
        <w:jc w:val="center"/>
      </w:pPr>
    </w:p>
    <w:p w:rsidR="007441D4" w:rsidRPr="007441D4" w:rsidRDefault="007441D4" w:rsidP="007441D4">
      <w:pPr>
        <w:jc w:val="center"/>
        <w:rPr>
          <w:b/>
        </w:rPr>
      </w:pPr>
    </w:p>
    <w:p w:rsidR="00254A76" w:rsidRPr="006E285C" w:rsidRDefault="00254A76" w:rsidP="006E285C">
      <w:pPr>
        <w:pStyle w:val="T1"/>
        <w:rPr>
          <w:b w:val="0"/>
          <w:sz w:val="24"/>
        </w:rPr>
      </w:pPr>
      <w:r w:rsidRPr="00CB24B6">
        <w:rPr>
          <w:sz w:val="24"/>
        </w:rPr>
        <w:t>Resim 1.</w:t>
      </w:r>
      <w:r w:rsidRPr="006E285C">
        <w:rPr>
          <w:b w:val="0"/>
          <w:sz w:val="24"/>
        </w:rPr>
        <w:t xml:space="preserve"> MCF-7 hücrelerinin görüntüsü (4x büyütme)</w:t>
      </w:r>
      <w:r w:rsidRPr="006E285C">
        <w:rPr>
          <w:b w:val="0"/>
          <w:webHidden/>
          <w:sz w:val="24"/>
        </w:rPr>
        <w:tab/>
        <w:t>62</w:t>
      </w:r>
    </w:p>
    <w:p w:rsidR="00254A76" w:rsidRPr="006E285C" w:rsidRDefault="00254A76" w:rsidP="006E285C">
      <w:pPr>
        <w:pStyle w:val="T1"/>
        <w:rPr>
          <w:b w:val="0"/>
          <w:sz w:val="24"/>
        </w:rPr>
      </w:pPr>
      <w:r w:rsidRPr="00CB24B6">
        <w:rPr>
          <w:sz w:val="24"/>
        </w:rPr>
        <w:t>Resim 2.</w:t>
      </w:r>
      <w:r w:rsidRPr="006E285C">
        <w:rPr>
          <w:b w:val="0"/>
          <w:sz w:val="24"/>
        </w:rPr>
        <w:t xml:space="preserve"> 75 cm</w:t>
      </w:r>
      <w:r w:rsidRPr="000240DA">
        <w:rPr>
          <w:b w:val="0"/>
          <w:sz w:val="24"/>
          <w:vertAlign w:val="superscript"/>
        </w:rPr>
        <w:t>2</w:t>
      </w:r>
      <w:r w:rsidRPr="006E285C">
        <w:rPr>
          <w:b w:val="0"/>
          <w:sz w:val="24"/>
        </w:rPr>
        <w:t>’lik flasklara ekilen MCF-7 hücreleri ve invert mikroskopta incelenmesi</w:t>
      </w:r>
      <w:r w:rsidRPr="006E285C">
        <w:rPr>
          <w:b w:val="0"/>
          <w:webHidden/>
          <w:sz w:val="24"/>
        </w:rPr>
        <w:tab/>
        <w:t>63</w:t>
      </w:r>
    </w:p>
    <w:p w:rsidR="00254A76" w:rsidRPr="006E285C" w:rsidRDefault="00254A76" w:rsidP="006E285C">
      <w:pPr>
        <w:pStyle w:val="T1"/>
        <w:rPr>
          <w:b w:val="0"/>
          <w:sz w:val="24"/>
        </w:rPr>
      </w:pPr>
      <w:r w:rsidRPr="00CB24B6">
        <w:rPr>
          <w:sz w:val="24"/>
        </w:rPr>
        <w:t>Resim 3.</w:t>
      </w:r>
      <w:r w:rsidRPr="006E285C">
        <w:rPr>
          <w:b w:val="0"/>
          <w:sz w:val="24"/>
        </w:rPr>
        <w:t xml:space="preserve"> Hemositometre</w:t>
      </w:r>
      <w:r w:rsidRPr="006E285C">
        <w:rPr>
          <w:b w:val="0"/>
          <w:webHidden/>
          <w:sz w:val="24"/>
        </w:rPr>
        <w:tab/>
        <w:t>64</w:t>
      </w:r>
    </w:p>
    <w:p w:rsidR="00254A76" w:rsidRPr="006E285C" w:rsidRDefault="00254A76" w:rsidP="006E285C">
      <w:pPr>
        <w:pStyle w:val="T1"/>
        <w:rPr>
          <w:b w:val="0"/>
          <w:sz w:val="24"/>
        </w:rPr>
      </w:pPr>
      <w:r w:rsidRPr="00CB24B6">
        <w:rPr>
          <w:sz w:val="24"/>
        </w:rPr>
        <w:t>Resim 4.</w:t>
      </w:r>
      <w:r w:rsidRPr="006E285C">
        <w:rPr>
          <w:b w:val="0"/>
          <w:sz w:val="24"/>
        </w:rPr>
        <w:t xml:space="preserve"> Modüler inkübatör chamber</w:t>
      </w:r>
      <w:r w:rsidRPr="006E285C">
        <w:rPr>
          <w:b w:val="0"/>
          <w:webHidden/>
          <w:sz w:val="24"/>
        </w:rPr>
        <w:tab/>
        <w:t>6</w:t>
      </w:r>
      <w:r w:rsidR="005E4754">
        <w:rPr>
          <w:b w:val="0"/>
          <w:webHidden/>
          <w:sz w:val="24"/>
        </w:rPr>
        <w:t>5</w:t>
      </w:r>
    </w:p>
    <w:p w:rsidR="00254A76" w:rsidRPr="006E285C" w:rsidRDefault="00254A76" w:rsidP="006E285C">
      <w:pPr>
        <w:pStyle w:val="T1"/>
        <w:rPr>
          <w:b w:val="0"/>
          <w:sz w:val="24"/>
        </w:rPr>
      </w:pPr>
      <w:r w:rsidRPr="00CB24B6">
        <w:rPr>
          <w:sz w:val="24"/>
        </w:rPr>
        <w:t>Resim 5.</w:t>
      </w:r>
      <w:r w:rsidRPr="006E285C">
        <w:rPr>
          <w:b w:val="0"/>
          <w:sz w:val="24"/>
        </w:rPr>
        <w:t xml:space="preserve"> Sandviç ELISA Yöntemi.</w:t>
      </w:r>
      <w:r w:rsidRPr="006E285C">
        <w:rPr>
          <w:b w:val="0"/>
          <w:webHidden/>
          <w:sz w:val="24"/>
        </w:rPr>
        <w:tab/>
        <w:t>67</w:t>
      </w:r>
    </w:p>
    <w:p w:rsidR="00254A76" w:rsidRPr="006E285C" w:rsidRDefault="00254A76" w:rsidP="006E285C">
      <w:pPr>
        <w:pStyle w:val="T1"/>
        <w:rPr>
          <w:b w:val="0"/>
          <w:sz w:val="24"/>
        </w:rPr>
      </w:pPr>
      <w:r w:rsidRPr="00CB24B6">
        <w:rPr>
          <w:sz w:val="24"/>
        </w:rPr>
        <w:t>Resim 6.</w:t>
      </w:r>
      <w:r w:rsidRPr="006E285C">
        <w:rPr>
          <w:b w:val="0"/>
          <w:sz w:val="24"/>
        </w:rPr>
        <w:t xml:space="preserve"> Stok solüsyonunun dilüsyonu</w:t>
      </w:r>
      <w:r w:rsidRPr="006E285C">
        <w:rPr>
          <w:b w:val="0"/>
          <w:webHidden/>
          <w:sz w:val="24"/>
        </w:rPr>
        <w:tab/>
        <w:t>69</w:t>
      </w:r>
    </w:p>
    <w:p w:rsidR="00254A76" w:rsidRPr="006E285C" w:rsidRDefault="00254A76" w:rsidP="006E285C">
      <w:pPr>
        <w:pStyle w:val="T1"/>
        <w:rPr>
          <w:b w:val="0"/>
          <w:sz w:val="24"/>
        </w:rPr>
      </w:pPr>
      <w:r w:rsidRPr="00CB24B6">
        <w:rPr>
          <w:sz w:val="24"/>
        </w:rPr>
        <w:t>Resim 7.</w:t>
      </w:r>
      <w:r w:rsidRPr="006E285C">
        <w:rPr>
          <w:b w:val="0"/>
          <w:sz w:val="24"/>
        </w:rPr>
        <w:t xml:space="preserve"> Wound healing testi için hipoksi ortamına alınacak 6’lı plakaların modüler inkübatör chamber içine yerleştirilmesi</w:t>
      </w:r>
      <w:r w:rsidRPr="006E285C">
        <w:rPr>
          <w:b w:val="0"/>
          <w:webHidden/>
          <w:sz w:val="24"/>
        </w:rPr>
        <w:tab/>
        <w:t>7</w:t>
      </w:r>
      <w:r w:rsidR="005E4754">
        <w:rPr>
          <w:b w:val="0"/>
          <w:webHidden/>
          <w:sz w:val="24"/>
        </w:rPr>
        <w:t>2</w:t>
      </w:r>
    </w:p>
    <w:p w:rsidR="00254A76" w:rsidRPr="006E285C" w:rsidRDefault="00254A76" w:rsidP="006E285C">
      <w:pPr>
        <w:pStyle w:val="T1"/>
        <w:rPr>
          <w:b w:val="0"/>
          <w:sz w:val="24"/>
        </w:rPr>
      </w:pPr>
      <w:r w:rsidRPr="00CB24B6">
        <w:rPr>
          <w:sz w:val="24"/>
        </w:rPr>
        <w:t>Resim 8.</w:t>
      </w:r>
      <w:r w:rsidRPr="006E285C">
        <w:rPr>
          <w:b w:val="0"/>
          <w:sz w:val="24"/>
        </w:rPr>
        <w:t xml:space="preserve"> MCF7 hücrelerinin normoksik (sol) ve hipoksik ortamda (sağ) 0 mM (a), 5.5 mM (b), 15 mM (c) ve 55 mM (d) glukoz uygulanan gruplarda 48 saatlik inkübasyon sonundaki morfolojik görüntüleri</w:t>
      </w:r>
      <w:r w:rsidRPr="006E285C">
        <w:rPr>
          <w:b w:val="0"/>
          <w:webHidden/>
          <w:sz w:val="24"/>
        </w:rPr>
        <w:tab/>
        <w:t>75</w:t>
      </w:r>
    </w:p>
    <w:p w:rsidR="00254A76" w:rsidRPr="006E285C" w:rsidRDefault="00254A76" w:rsidP="006E285C">
      <w:pPr>
        <w:pStyle w:val="T1"/>
        <w:rPr>
          <w:b w:val="0"/>
          <w:sz w:val="24"/>
        </w:rPr>
      </w:pPr>
      <w:r w:rsidRPr="00CB24B6">
        <w:rPr>
          <w:sz w:val="24"/>
        </w:rPr>
        <w:t>Resim 9.</w:t>
      </w:r>
      <w:r w:rsidRPr="006E285C">
        <w:rPr>
          <w:b w:val="0"/>
          <w:sz w:val="24"/>
        </w:rPr>
        <w:t xml:space="preserve"> Normoksik ortamda farklı konsantrasyonlarda (0, 5.5, 15 ve 55 mM) glukoz uygulanan MCF7 hücrelerinde 0., 6., 12., 24 ve 48 saat süreler sonunda görülen yara iyileşmesi test fotoğrafları.</w:t>
      </w:r>
      <w:r w:rsidRPr="006E285C">
        <w:rPr>
          <w:b w:val="0"/>
          <w:webHidden/>
          <w:sz w:val="24"/>
        </w:rPr>
        <w:tab/>
        <w:t>12</w:t>
      </w:r>
      <w:r w:rsidR="005E4754">
        <w:rPr>
          <w:b w:val="0"/>
          <w:webHidden/>
          <w:sz w:val="24"/>
        </w:rPr>
        <w:t>6</w:t>
      </w:r>
    </w:p>
    <w:p w:rsidR="00254A76" w:rsidRPr="006E285C" w:rsidRDefault="00254A76" w:rsidP="006E285C">
      <w:pPr>
        <w:pStyle w:val="T1"/>
        <w:rPr>
          <w:b w:val="0"/>
          <w:sz w:val="24"/>
        </w:rPr>
      </w:pPr>
      <w:r w:rsidRPr="00CB24B6">
        <w:rPr>
          <w:sz w:val="24"/>
        </w:rPr>
        <w:t>Resim 10.</w:t>
      </w:r>
      <w:r w:rsidRPr="006E285C">
        <w:rPr>
          <w:b w:val="0"/>
          <w:sz w:val="24"/>
        </w:rPr>
        <w:t xml:space="preserve"> Hipoksik ortamda farklı konsantrasyonlarda (0, 5.5, 15 ve 55 mM) glukoz uygulanan MCF7 hücrelerinde 0., 6., 12., 24 ve 48 saat süreler sonunda görülen yara iyileşmesi test fotoğrafları.</w:t>
      </w:r>
      <w:r w:rsidRPr="006E285C">
        <w:rPr>
          <w:b w:val="0"/>
          <w:webHidden/>
          <w:sz w:val="24"/>
        </w:rPr>
        <w:tab/>
        <w:t>12</w:t>
      </w:r>
      <w:r w:rsidR="005E4754">
        <w:rPr>
          <w:b w:val="0"/>
          <w:webHidden/>
          <w:sz w:val="24"/>
        </w:rPr>
        <w:t>7</w:t>
      </w:r>
    </w:p>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4E4F81" w:rsidRDefault="004E4F81" w:rsidP="00B962B0"/>
    <w:p w:rsidR="00B962B0" w:rsidRDefault="00B962B0" w:rsidP="00B962B0"/>
    <w:p w:rsidR="00C51628" w:rsidRDefault="00C51628" w:rsidP="00B962B0"/>
    <w:p w:rsidR="00B962B0" w:rsidRPr="0071787F" w:rsidRDefault="0071787F" w:rsidP="0071787F">
      <w:pPr>
        <w:jc w:val="center"/>
        <w:rPr>
          <w:b/>
          <w:sz w:val="28"/>
        </w:rPr>
      </w:pPr>
      <w:r w:rsidRPr="0071787F">
        <w:rPr>
          <w:b/>
          <w:sz w:val="28"/>
        </w:rPr>
        <w:lastRenderedPageBreak/>
        <w:t>TABLOLAR DİZİNİ</w:t>
      </w:r>
    </w:p>
    <w:p w:rsidR="0070492E" w:rsidRDefault="0070492E" w:rsidP="006E285C">
      <w:pPr>
        <w:pStyle w:val="T1"/>
      </w:pPr>
    </w:p>
    <w:p w:rsidR="006E285C" w:rsidRPr="006E285C" w:rsidRDefault="006E285C" w:rsidP="006E285C"/>
    <w:p w:rsidR="006E285C" w:rsidRPr="006E285C" w:rsidRDefault="006E285C" w:rsidP="006E285C">
      <w:pPr>
        <w:pStyle w:val="T1"/>
        <w:rPr>
          <w:b w:val="0"/>
          <w:sz w:val="24"/>
        </w:rPr>
      </w:pPr>
      <w:r w:rsidRPr="00CB24B6">
        <w:rPr>
          <w:sz w:val="24"/>
        </w:rPr>
        <w:t>Tablo 1.</w:t>
      </w:r>
      <w:r w:rsidRPr="006E285C">
        <w:rPr>
          <w:b w:val="0"/>
          <w:sz w:val="24"/>
        </w:rPr>
        <w:t xml:space="preserve"> Kullanılan </w:t>
      </w:r>
      <w:r w:rsidR="0000311D">
        <w:rPr>
          <w:b w:val="0"/>
          <w:sz w:val="24"/>
        </w:rPr>
        <w:t>k</w:t>
      </w:r>
      <w:r w:rsidRPr="006E285C">
        <w:rPr>
          <w:b w:val="0"/>
          <w:sz w:val="24"/>
        </w:rPr>
        <w:t xml:space="preserve">imyasal </w:t>
      </w:r>
      <w:r w:rsidR="0000311D">
        <w:rPr>
          <w:b w:val="0"/>
          <w:sz w:val="24"/>
        </w:rPr>
        <w:t>m</w:t>
      </w:r>
      <w:r w:rsidRPr="006E285C">
        <w:rPr>
          <w:b w:val="0"/>
          <w:sz w:val="24"/>
        </w:rPr>
        <w:t>addeler</w:t>
      </w:r>
      <w:r w:rsidRPr="006E285C">
        <w:rPr>
          <w:b w:val="0"/>
          <w:webHidden/>
          <w:sz w:val="24"/>
        </w:rPr>
        <w:tab/>
        <w:t>61</w:t>
      </w:r>
    </w:p>
    <w:p w:rsidR="006E285C" w:rsidRPr="006E285C" w:rsidRDefault="006E285C" w:rsidP="006E285C">
      <w:pPr>
        <w:pStyle w:val="T1"/>
        <w:rPr>
          <w:b w:val="0"/>
          <w:sz w:val="24"/>
        </w:rPr>
      </w:pPr>
      <w:r w:rsidRPr="00CB24B6">
        <w:rPr>
          <w:sz w:val="24"/>
        </w:rPr>
        <w:t>Tablo 2.</w:t>
      </w:r>
      <w:r w:rsidRPr="006E285C">
        <w:rPr>
          <w:b w:val="0"/>
          <w:sz w:val="24"/>
        </w:rPr>
        <w:t xml:space="preserve"> Laktat </w:t>
      </w:r>
      <w:r w:rsidR="0000311D">
        <w:rPr>
          <w:b w:val="0"/>
          <w:sz w:val="24"/>
        </w:rPr>
        <w:t>ö</w:t>
      </w:r>
      <w:r w:rsidRPr="006E285C">
        <w:rPr>
          <w:b w:val="0"/>
          <w:sz w:val="24"/>
        </w:rPr>
        <w:t xml:space="preserve">lçümü </w:t>
      </w:r>
      <w:r w:rsidR="0000311D">
        <w:rPr>
          <w:b w:val="0"/>
          <w:sz w:val="24"/>
        </w:rPr>
        <w:t>i</w:t>
      </w:r>
      <w:r w:rsidRPr="006E285C">
        <w:rPr>
          <w:b w:val="0"/>
          <w:sz w:val="24"/>
        </w:rPr>
        <w:t xml:space="preserve">şlem </w:t>
      </w:r>
      <w:r w:rsidR="0000311D">
        <w:rPr>
          <w:b w:val="0"/>
          <w:sz w:val="24"/>
        </w:rPr>
        <w:t>a</w:t>
      </w:r>
      <w:r w:rsidRPr="006E285C">
        <w:rPr>
          <w:b w:val="0"/>
          <w:sz w:val="24"/>
        </w:rPr>
        <w:t>dımları</w:t>
      </w:r>
      <w:r w:rsidRPr="006E285C">
        <w:rPr>
          <w:b w:val="0"/>
          <w:webHidden/>
          <w:sz w:val="24"/>
        </w:rPr>
        <w:tab/>
        <w:t>70</w:t>
      </w:r>
    </w:p>
    <w:p w:rsidR="006E285C" w:rsidRPr="006E285C" w:rsidRDefault="006E285C" w:rsidP="006E285C">
      <w:pPr>
        <w:pStyle w:val="T1"/>
        <w:rPr>
          <w:b w:val="0"/>
          <w:sz w:val="24"/>
        </w:rPr>
      </w:pPr>
      <w:r w:rsidRPr="00CB24B6">
        <w:rPr>
          <w:sz w:val="24"/>
        </w:rPr>
        <w:t>Tablo 3.</w:t>
      </w:r>
      <w:r w:rsidRPr="006E285C">
        <w:rPr>
          <w:b w:val="0"/>
          <w:sz w:val="24"/>
        </w:rPr>
        <w:t xml:space="preserve"> Glukoz </w:t>
      </w:r>
      <w:r w:rsidR="0000311D">
        <w:rPr>
          <w:b w:val="0"/>
          <w:sz w:val="24"/>
        </w:rPr>
        <w:t>s</w:t>
      </w:r>
      <w:r w:rsidRPr="006E285C">
        <w:rPr>
          <w:b w:val="0"/>
          <w:sz w:val="24"/>
        </w:rPr>
        <w:t xml:space="preserve">tandartlarının </w:t>
      </w:r>
      <w:r w:rsidR="0000311D">
        <w:rPr>
          <w:b w:val="0"/>
          <w:sz w:val="24"/>
        </w:rPr>
        <w:t>h</w:t>
      </w:r>
      <w:r w:rsidRPr="006E285C">
        <w:rPr>
          <w:b w:val="0"/>
          <w:sz w:val="24"/>
        </w:rPr>
        <w:t>azırlanması</w:t>
      </w:r>
      <w:r w:rsidRPr="006E285C">
        <w:rPr>
          <w:b w:val="0"/>
          <w:webHidden/>
          <w:sz w:val="24"/>
        </w:rPr>
        <w:tab/>
        <w:t>71</w:t>
      </w:r>
    </w:p>
    <w:p w:rsidR="006E285C" w:rsidRPr="006E285C" w:rsidRDefault="006E285C" w:rsidP="006E285C">
      <w:pPr>
        <w:pStyle w:val="T1"/>
        <w:rPr>
          <w:b w:val="0"/>
          <w:sz w:val="24"/>
        </w:rPr>
      </w:pPr>
      <w:r w:rsidRPr="00CB24B6">
        <w:rPr>
          <w:sz w:val="24"/>
        </w:rPr>
        <w:t>Tablo 4.</w:t>
      </w:r>
      <w:r w:rsidRPr="006E285C">
        <w:rPr>
          <w:b w:val="0"/>
          <w:sz w:val="24"/>
        </w:rPr>
        <w:t xml:space="preserve"> Normoksik ortamda farklı konsantrasyonlarda glukoz uygulamasının 3.saat kontrol grubuna göre % canlılık oranları ve istatiksel değerleri</w:t>
      </w:r>
      <w:r w:rsidRPr="006E285C">
        <w:rPr>
          <w:b w:val="0"/>
          <w:webHidden/>
          <w:sz w:val="24"/>
        </w:rPr>
        <w:tab/>
        <w:t>76</w:t>
      </w:r>
    </w:p>
    <w:p w:rsidR="006E285C" w:rsidRPr="006E285C" w:rsidRDefault="006E285C" w:rsidP="006E285C">
      <w:pPr>
        <w:pStyle w:val="T1"/>
        <w:rPr>
          <w:b w:val="0"/>
          <w:sz w:val="24"/>
        </w:rPr>
      </w:pPr>
      <w:r w:rsidRPr="00CB24B6">
        <w:rPr>
          <w:sz w:val="24"/>
        </w:rPr>
        <w:t>Tablo 5.</w:t>
      </w:r>
      <w:r w:rsidRPr="006E285C">
        <w:rPr>
          <w:b w:val="0"/>
          <w:sz w:val="24"/>
        </w:rPr>
        <w:t xml:space="preserve"> Hipoksik ortamda farklı konsantrasyonlarda glukoz uygulamasının 3.saat kontrol grubuna göre % canlılık oranları ve istatiksel değerleri</w:t>
      </w:r>
      <w:r w:rsidRPr="006E285C">
        <w:rPr>
          <w:b w:val="0"/>
          <w:webHidden/>
          <w:sz w:val="24"/>
        </w:rPr>
        <w:tab/>
        <w:t>77</w:t>
      </w:r>
    </w:p>
    <w:p w:rsidR="006E285C" w:rsidRPr="006E285C" w:rsidRDefault="006E285C" w:rsidP="006E285C">
      <w:pPr>
        <w:pStyle w:val="T1"/>
        <w:rPr>
          <w:b w:val="0"/>
          <w:sz w:val="24"/>
        </w:rPr>
      </w:pPr>
      <w:r w:rsidRPr="00CB24B6">
        <w:rPr>
          <w:sz w:val="24"/>
        </w:rPr>
        <w:t>Tablo 6.</w:t>
      </w:r>
      <w:r w:rsidRPr="006E285C">
        <w:rPr>
          <w:b w:val="0"/>
          <w:sz w:val="24"/>
        </w:rPr>
        <w:t xml:space="preserve"> Normoksik ortamda farklı i</w:t>
      </w:r>
      <w:r w:rsidR="000240DA">
        <w:rPr>
          <w:b w:val="0"/>
          <w:sz w:val="24"/>
        </w:rPr>
        <w:t xml:space="preserve">nkübasyon sürelerindeki (3,6, </w:t>
      </w:r>
      <w:r w:rsidRPr="006E285C">
        <w:rPr>
          <w:b w:val="0"/>
          <w:sz w:val="24"/>
        </w:rPr>
        <w:t>12, 24 ve 48.saat) glukoz uygulamasının O mM  kontrol grubuna göre % canlılık oranları ve istatiksel değerleri</w:t>
      </w:r>
      <w:r w:rsidRPr="006E285C">
        <w:rPr>
          <w:b w:val="0"/>
          <w:webHidden/>
          <w:sz w:val="24"/>
        </w:rPr>
        <w:tab/>
        <w:t>79</w:t>
      </w:r>
    </w:p>
    <w:p w:rsidR="006E285C" w:rsidRPr="006E285C" w:rsidRDefault="006E285C" w:rsidP="006E285C">
      <w:pPr>
        <w:pStyle w:val="T1"/>
        <w:rPr>
          <w:b w:val="0"/>
          <w:sz w:val="24"/>
        </w:rPr>
      </w:pPr>
      <w:r w:rsidRPr="00CB24B6">
        <w:rPr>
          <w:sz w:val="24"/>
        </w:rPr>
        <w:t>Tablo 7</w:t>
      </w:r>
      <w:r w:rsidRPr="006E285C">
        <w:rPr>
          <w:b w:val="0"/>
          <w:sz w:val="24"/>
        </w:rPr>
        <w:t>. Hipoksik ortamda farklı inkübasyon sürelerindeki (3, 6, 12, 24 ve 48 saat) glukoz uygulamasının O mM kontrol grubuna göre % canlılık oranları ve istatiksel değerleri.</w:t>
      </w:r>
      <w:r w:rsidRPr="006E285C">
        <w:rPr>
          <w:b w:val="0"/>
          <w:webHidden/>
          <w:sz w:val="24"/>
        </w:rPr>
        <w:tab/>
        <w:t>80</w:t>
      </w:r>
    </w:p>
    <w:p w:rsidR="006E285C" w:rsidRPr="006E285C" w:rsidRDefault="006E285C" w:rsidP="006E285C">
      <w:pPr>
        <w:pStyle w:val="T1"/>
        <w:rPr>
          <w:b w:val="0"/>
          <w:sz w:val="24"/>
        </w:rPr>
      </w:pPr>
      <w:r w:rsidRPr="00CB24B6">
        <w:rPr>
          <w:sz w:val="24"/>
        </w:rPr>
        <w:t>Tablo 8.</w:t>
      </w:r>
      <w:r w:rsidRPr="006E285C">
        <w:rPr>
          <w:b w:val="0"/>
          <w:sz w:val="24"/>
        </w:rPr>
        <w:t xml:space="preserve"> Normoksik ve hipoksik ortamda glukozun farklı konsantrasyonlu uygulama gruplarında  6, 12, 24 ve 48 saat inkübasyonu sonucu elde edilen PKM2 enzim miktarları ve standart hata değerleri.</w:t>
      </w:r>
      <w:r w:rsidRPr="006E285C">
        <w:rPr>
          <w:b w:val="0"/>
          <w:webHidden/>
          <w:sz w:val="24"/>
        </w:rPr>
        <w:tab/>
        <w:t>81</w:t>
      </w:r>
    </w:p>
    <w:p w:rsidR="006E285C" w:rsidRPr="006E285C" w:rsidRDefault="006E285C" w:rsidP="006E285C">
      <w:pPr>
        <w:pStyle w:val="T1"/>
        <w:rPr>
          <w:b w:val="0"/>
          <w:sz w:val="24"/>
        </w:rPr>
      </w:pPr>
      <w:r w:rsidRPr="00CB24B6">
        <w:rPr>
          <w:sz w:val="24"/>
        </w:rPr>
        <w:t>Tablo 9.</w:t>
      </w:r>
      <w:r w:rsidRPr="006E285C">
        <w:rPr>
          <w:b w:val="0"/>
          <w:sz w:val="24"/>
        </w:rPr>
        <w:t xml:space="preserve"> Normoksik ve hipoksik ortamda MCF-7 hücrelerinin glukozun farklı konsantrasyonlu uygulama gruplarında  6, 12, 24 ve 48 saat inkübasyonu sonucu elde edilen LDHA enzim miktarları ve standart hata değerleri.</w:t>
      </w:r>
      <w:r w:rsidRPr="006E285C">
        <w:rPr>
          <w:b w:val="0"/>
          <w:webHidden/>
          <w:sz w:val="24"/>
        </w:rPr>
        <w:tab/>
        <w:t>88</w:t>
      </w:r>
    </w:p>
    <w:p w:rsidR="006E285C" w:rsidRPr="006E285C" w:rsidRDefault="006E285C" w:rsidP="006E285C">
      <w:pPr>
        <w:pStyle w:val="T1"/>
        <w:rPr>
          <w:b w:val="0"/>
          <w:sz w:val="24"/>
        </w:rPr>
      </w:pPr>
      <w:r w:rsidRPr="00CB24B6">
        <w:rPr>
          <w:sz w:val="24"/>
        </w:rPr>
        <w:t>Tablo 10.</w:t>
      </w:r>
      <w:r w:rsidRPr="006E285C">
        <w:rPr>
          <w:b w:val="0"/>
          <w:sz w:val="24"/>
        </w:rPr>
        <w:t xml:space="preserve"> Normoksik ve hipoksik ortamda glukozun farklı konsantrasyonlu uygulama gruplarında 6, 12, 24 ve 48 saat inkübasyonu sonucu elde edilen G6PD enzim miktarları ve standart hata değerleri.</w:t>
      </w:r>
      <w:r w:rsidRPr="006E285C">
        <w:rPr>
          <w:b w:val="0"/>
          <w:webHidden/>
          <w:sz w:val="24"/>
        </w:rPr>
        <w:tab/>
        <w:t>94</w:t>
      </w:r>
    </w:p>
    <w:p w:rsidR="006E285C" w:rsidRPr="006E285C" w:rsidRDefault="006E285C" w:rsidP="006E285C">
      <w:pPr>
        <w:pStyle w:val="T1"/>
        <w:rPr>
          <w:b w:val="0"/>
          <w:sz w:val="24"/>
        </w:rPr>
      </w:pPr>
      <w:r w:rsidRPr="00CB24B6">
        <w:rPr>
          <w:sz w:val="24"/>
        </w:rPr>
        <w:t>Tablo 11.</w:t>
      </w:r>
      <w:r w:rsidRPr="006E285C">
        <w:rPr>
          <w:b w:val="0"/>
          <w:sz w:val="24"/>
        </w:rPr>
        <w:t xml:space="preserve"> Normoksik ve hipoksik ortamda glukozun farklı konsantrasyonlu uygulama gruplarında 6, 12, 24 ve 48 saat inkübasyonu sonucu elde edilen HK2 enzim miktarları ve standart hata değerleri.</w:t>
      </w:r>
      <w:r w:rsidRPr="006E285C">
        <w:rPr>
          <w:b w:val="0"/>
          <w:webHidden/>
          <w:sz w:val="24"/>
        </w:rPr>
        <w:tab/>
        <w:t>100</w:t>
      </w:r>
    </w:p>
    <w:p w:rsidR="006E285C" w:rsidRPr="006E285C" w:rsidRDefault="006E285C" w:rsidP="006E285C">
      <w:pPr>
        <w:pStyle w:val="T1"/>
        <w:rPr>
          <w:b w:val="0"/>
          <w:sz w:val="24"/>
        </w:rPr>
      </w:pPr>
      <w:r w:rsidRPr="00CB24B6">
        <w:rPr>
          <w:sz w:val="24"/>
        </w:rPr>
        <w:t>Tablo 12.</w:t>
      </w:r>
      <w:r w:rsidRPr="006E285C">
        <w:rPr>
          <w:b w:val="0"/>
          <w:sz w:val="24"/>
        </w:rPr>
        <w:t xml:space="preserve"> Normoksik ve hipoksik ortamda glukozun farklı konsantrasyonlu uygulama gruplarında 6, 12, 24 ve 48 saat inkübasyonu sonucu elde edilen PFKP enzim miktarları ve standart hata değerleri.</w:t>
      </w:r>
      <w:r w:rsidRPr="006E285C">
        <w:rPr>
          <w:b w:val="0"/>
          <w:webHidden/>
          <w:sz w:val="24"/>
        </w:rPr>
        <w:tab/>
        <w:t>106</w:t>
      </w:r>
    </w:p>
    <w:p w:rsidR="006E285C" w:rsidRPr="006E285C" w:rsidRDefault="006E285C" w:rsidP="006E285C">
      <w:pPr>
        <w:pStyle w:val="T1"/>
        <w:rPr>
          <w:b w:val="0"/>
          <w:sz w:val="24"/>
        </w:rPr>
      </w:pPr>
      <w:r w:rsidRPr="00CB24B6">
        <w:rPr>
          <w:sz w:val="24"/>
        </w:rPr>
        <w:t>Tablo 13.</w:t>
      </w:r>
      <w:r w:rsidRPr="006E285C">
        <w:rPr>
          <w:b w:val="0"/>
          <w:sz w:val="24"/>
        </w:rPr>
        <w:t xml:space="preserve"> Normoksik ve hipoksik ortamda glukozun farklı konsantrasyonlu uygulama gruplarında 3, 6, 12, 24 ve 48 saat inkübasyonu sonucu elde edilen ekstrasellüler laktat miktarları ve standart hata değerleri.</w:t>
      </w:r>
      <w:r w:rsidRPr="006E285C">
        <w:rPr>
          <w:b w:val="0"/>
          <w:webHidden/>
          <w:sz w:val="24"/>
        </w:rPr>
        <w:tab/>
        <w:t>11</w:t>
      </w:r>
      <w:r w:rsidR="005E4754">
        <w:rPr>
          <w:b w:val="0"/>
          <w:webHidden/>
          <w:sz w:val="24"/>
        </w:rPr>
        <w:t>3</w:t>
      </w:r>
    </w:p>
    <w:p w:rsidR="006E285C" w:rsidRPr="006E285C" w:rsidRDefault="006E285C" w:rsidP="006E285C">
      <w:pPr>
        <w:pStyle w:val="T1"/>
        <w:rPr>
          <w:b w:val="0"/>
          <w:sz w:val="24"/>
        </w:rPr>
      </w:pPr>
      <w:r w:rsidRPr="00CB24B6">
        <w:rPr>
          <w:sz w:val="24"/>
        </w:rPr>
        <w:lastRenderedPageBreak/>
        <w:t>Tablo 14.</w:t>
      </w:r>
      <w:r w:rsidRPr="006E285C">
        <w:rPr>
          <w:b w:val="0"/>
          <w:sz w:val="24"/>
        </w:rPr>
        <w:t xml:space="preserve"> Normoksi altında glukozun farklı konsantrasyonlu uygulama gruplarında 3,6, 12, 24 ve 48 saat inkübasyonu sonucu elde edilen glukoz tüketim miktarları ve standart hata değerleri</w:t>
      </w:r>
      <w:r w:rsidRPr="006E285C">
        <w:rPr>
          <w:b w:val="0"/>
          <w:webHidden/>
          <w:sz w:val="24"/>
        </w:rPr>
        <w:tab/>
        <w:t>11</w:t>
      </w:r>
      <w:r w:rsidR="005E4754">
        <w:rPr>
          <w:b w:val="0"/>
          <w:webHidden/>
          <w:sz w:val="24"/>
        </w:rPr>
        <w:t>9</w:t>
      </w:r>
    </w:p>
    <w:p w:rsidR="006E285C" w:rsidRPr="006E285C" w:rsidRDefault="006E285C" w:rsidP="006E285C">
      <w:pPr>
        <w:pStyle w:val="T1"/>
        <w:rPr>
          <w:b w:val="0"/>
          <w:sz w:val="24"/>
        </w:rPr>
      </w:pPr>
      <w:r w:rsidRPr="00CB24B6">
        <w:rPr>
          <w:sz w:val="24"/>
        </w:rPr>
        <w:t>Tablo 15.</w:t>
      </w:r>
      <w:r w:rsidRPr="006E285C">
        <w:rPr>
          <w:b w:val="0"/>
          <w:sz w:val="24"/>
        </w:rPr>
        <w:t xml:space="preserve"> Hipoksi altında glukozun farklı konsantrasyonlu uygulama gruplarında 3,6, 12, 24 ve 48 saat inkübasyonu sonucu elde edilen glukoz tüketim miktarları ve standart hata değerleri</w:t>
      </w:r>
      <w:r w:rsidRPr="006E285C">
        <w:rPr>
          <w:b w:val="0"/>
          <w:webHidden/>
          <w:sz w:val="24"/>
        </w:rPr>
        <w:tab/>
        <w:t>1</w:t>
      </w:r>
      <w:r w:rsidR="005E4754">
        <w:rPr>
          <w:b w:val="0"/>
          <w:webHidden/>
          <w:sz w:val="24"/>
        </w:rPr>
        <w:t>20</w:t>
      </w:r>
    </w:p>
    <w:p w:rsidR="006E285C" w:rsidRPr="006E285C" w:rsidRDefault="006E285C" w:rsidP="006E285C">
      <w:pPr>
        <w:pStyle w:val="T1"/>
        <w:rPr>
          <w:b w:val="0"/>
          <w:sz w:val="24"/>
        </w:rPr>
      </w:pPr>
      <w:r w:rsidRPr="00CB24B6">
        <w:rPr>
          <w:sz w:val="24"/>
        </w:rPr>
        <w:t>Tablo 16</w:t>
      </w:r>
      <w:r w:rsidR="00CB24B6">
        <w:rPr>
          <w:b w:val="0"/>
          <w:sz w:val="24"/>
        </w:rPr>
        <w:t>.</w:t>
      </w:r>
      <w:r w:rsidRPr="006E285C">
        <w:rPr>
          <w:b w:val="0"/>
          <w:sz w:val="24"/>
        </w:rPr>
        <w:t xml:space="preserve"> Normoksi ortamında glukoz muamelesinin MCF-7 hücrelerinde konsantrasyon ve zamana bağlı olarak hücrelerin göç potansiyeli üzerine etkisi</w:t>
      </w:r>
      <w:r w:rsidRPr="006E285C">
        <w:rPr>
          <w:b w:val="0"/>
          <w:webHidden/>
          <w:sz w:val="24"/>
        </w:rPr>
        <w:tab/>
        <w:t>12</w:t>
      </w:r>
      <w:r w:rsidR="005E4754">
        <w:rPr>
          <w:b w:val="0"/>
          <w:webHidden/>
          <w:sz w:val="24"/>
        </w:rPr>
        <w:t>4</w:t>
      </w:r>
    </w:p>
    <w:p w:rsidR="006E285C" w:rsidRPr="00BB233D" w:rsidRDefault="006E285C" w:rsidP="006E285C">
      <w:pPr>
        <w:pStyle w:val="T1"/>
      </w:pPr>
      <w:r w:rsidRPr="00CB24B6">
        <w:rPr>
          <w:sz w:val="24"/>
        </w:rPr>
        <w:t>Tablo 17.</w:t>
      </w:r>
      <w:r w:rsidRPr="006E285C">
        <w:rPr>
          <w:b w:val="0"/>
          <w:sz w:val="24"/>
        </w:rPr>
        <w:t xml:space="preserve"> Hipoksi ortamında glukoz muamelesinin MCF-7 hücrelerinde konsantrasyon ve zamana bağlı olarak hücrelerin göç potansiyeli üzerine etkisi</w:t>
      </w:r>
      <w:r w:rsidRPr="006E285C">
        <w:rPr>
          <w:b w:val="0"/>
          <w:webHidden/>
          <w:sz w:val="24"/>
        </w:rPr>
        <w:tab/>
        <w:t>12</w:t>
      </w:r>
      <w:r w:rsidR="005E4754">
        <w:rPr>
          <w:b w:val="0"/>
          <w:webHidden/>
          <w:sz w:val="24"/>
        </w:rPr>
        <w:t>5</w:t>
      </w:r>
    </w:p>
    <w:p w:rsidR="0071787F" w:rsidRDefault="0071787F" w:rsidP="006E285C"/>
    <w:p w:rsidR="0071787F" w:rsidRPr="0071787F" w:rsidRDefault="0071787F" w:rsidP="0071787F"/>
    <w:p w:rsidR="0071787F" w:rsidRDefault="0071787F" w:rsidP="0071787F"/>
    <w:bookmarkEnd w:id="19"/>
    <w:p w:rsidR="00633770" w:rsidRPr="00633770" w:rsidRDefault="000E1143" w:rsidP="006E285C">
      <w:pPr>
        <w:pStyle w:val="T1"/>
        <w:rPr>
          <w:color w:val="000000" w:themeColor="text1"/>
        </w:rPr>
      </w:pPr>
      <w:r>
        <w:br w:type="page"/>
      </w:r>
    </w:p>
    <w:p w:rsidR="002D7525" w:rsidRDefault="002D7525" w:rsidP="00400ED6">
      <w:pPr>
        <w:jc w:val="center"/>
        <w:rPr>
          <w:rFonts w:cs="Times New Roman"/>
          <w:b/>
          <w:sz w:val="28"/>
          <w:szCs w:val="24"/>
        </w:rPr>
      </w:pPr>
      <w:bookmarkStart w:id="20" w:name="_Hlk9799510"/>
      <w:r w:rsidRPr="002D7525">
        <w:rPr>
          <w:rFonts w:cs="Times New Roman"/>
          <w:b/>
          <w:sz w:val="28"/>
          <w:szCs w:val="24"/>
        </w:rPr>
        <w:lastRenderedPageBreak/>
        <w:t>ÖZET</w:t>
      </w:r>
    </w:p>
    <w:p w:rsidR="002D7525" w:rsidRPr="002D7525" w:rsidRDefault="002D7525" w:rsidP="001A28F3">
      <w:pPr>
        <w:jc w:val="center"/>
        <w:rPr>
          <w:rFonts w:cs="Times New Roman"/>
          <w:b/>
          <w:szCs w:val="24"/>
        </w:rPr>
      </w:pPr>
    </w:p>
    <w:p w:rsidR="002D7525" w:rsidRPr="002D7525" w:rsidRDefault="002D7525" w:rsidP="001A28F3">
      <w:pPr>
        <w:jc w:val="center"/>
        <w:rPr>
          <w:rFonts w:cs="Times New Roman"/>
          <w:b/>
          <w:szCs w:val="24"/>
        </w:rPr>
      </w:pPr>
    </w:p>
    <w:p w:rsidR="000976ED" w:rsidRPr="00A73DD3" w:rsidRDefault="000976ED" w:rsidP="000976ED">
      <w:pPr>
        <w:jc w:val="center"/>
        <w:rPr>
          <w:rFonts w:cs="Times New Roman"/>
          <w:b/>
        </w:rPr>
      </w:pPr>
      <w:r w:rsidRPr="00A73DD3">
        <w:rPr>
          <w:rFonts w:cs="Times New Roman"/>
          <w:b/>
        </w:rPr>
        <w:t>HİPOKSİK MCF 7 MEME KANSERİ HÜCRE KÜLTÜRÜNDE GLUKOZ KATABOLİZMASININ ARAŞTIRILMASI</w:t>
      </w:r>
    </w:p>
    <w:p w:rsidR="000976ED" w:rsidRPr="00A73DD3" w:rsidRDefault="000976ED" w:rsidP="000976ED">
      <w:pPr>
        <w:jc w:val="center"/>
        <w:rPr>
          <w:rFonts w:cs="Times New Roman"/>
          <w:b/>
        </w:rPr>
      </w:pPr>
    </w:p>
    <w:p w:rsidR="000976ED" w:rsidRPr="00A73DD3" w:rsidRDefault="000976ED" w:rsidP="000976ED">
      <w:pPr>
        <w:rPr>
          <w:rFonts w:cs="Times New Roman"/>
          <w:b/>
        </w:rPr>
      </w:pPr>
      <w:r w:rsidRPr="00A73DD3">
        <w:rPr>
          <w:rFonts w:cs="Times New Roman"/>
          <w:b/>
        </w:rPr>
        <w:t xml:space="preserve">Bayar İ. </w:t>
      </w:r>
      <w:r w:rsidR="0000311D">
        <w:rPr>
          <w:rFonts w:cs="Times New Roman"/>
          <w:b/>
        </w:rPr>
        <w:t xml:space="preserve">Aydın </w:t>
      </w:r>
      <w:r w:rsidRPr="00A73DD3">
        <w:rPr>
          <w:rFonts w:cs="Times New Roman"/>
          <w:b/>
        </w:rPr>
        <w:t xml:space="preserve">Adnan Menderes Üniversitesi Sağlık Bilimleri Enstitüsü Biyokimya Programı, Doktora Tezi, Aydın, 2020. </w:t>
      </w:r>
    </w:p>
    <w:p w:rsidR="000976ED" w:rsidRPr="00BF53CE" w:rsidRDefault="000976ED" w:rsidP="000976ED">
      <w:pPr>
        <w:jc w:val="center"/>
        <w:rPr>
          <w:rFonts w:cs="Times New Roman"/>
          <w:sz w:val="28"/>
        </w:rPr>
      </w:pPr>
    </w:p>
    <w:p w:rsidR="000976ED" w:rsidRDefault="000976ED" w:rsidP="000976ED">
      <w:pPr>
        <w:rPr>
          <w:rFonts w:eastAsia="Times New Roman" w:cs="Times New Roman"/>
          <w:bCs/>
          <w:color w:val="000000"/>
          <w:kern w:val="36"/>
          <w:szCs w:val="24"/>
          <w:lang w:eastAsia="tr-TR"/>
        </w:rPr>
      </w:pPr>
      <w:r w:rsidRPr="00B93812">
        <w:rPr>
          <w:rFonts w:cs="Times New Roman"/>
        </w:rPr>
        <w:t>Bu çalışmada hipoksinin MCF-7 kanser hücrelerinin glukoz kat</w:t>
      </w:r>
      <w:r>
        <w:rPr>
          <w:rFonts w:cs="Times New Roman"/>
        </w:rPr>
        <w:t>abolizması üzerine olan etkilerini</w:t>
      </w:r>
      <w:r w:rsidR="007D01C9">
        <w:rPr>
          <w:rFonts w:cs="Times New Roman"/>
        </w:rPr>
        <w:t>n</w:t>
      </w:r>
      <w:r>
        <w:rPr>
          <w:rFonts w:cs="Times New Roman"/>
        </w:rPr>
        <w:t xml:space="preserve"> gö</w:t>
      </w:r>
      <w:r w:rsidR="007D01C9">
        <w:rPr>
          <w:rFonts w:cs="Times New Roman"/>
        </w:rPr>
        <w:t>sterilmesi</w:t>
      </w:r>
      <w:r>
        <w:rPr>
          <w:rFonts w:cs="Times New Roman"/>
        </w:rPr>
        <w:t xml:space="preserve"> amaçlanmıştır. N</w:t>
      </w:r>
      <w:r w:rsidRPr="00B93812">
        <w:rPr>
          <w:rFonts w:cs="Times New Roman"/>
        </w:rPr>
        <w:t xml:space="preserve">ormoksi ve hipoksi ortamlarına </w:t>
      </w:r>
      <w:r w:rsidR="008276CB">
        <w:rPr>
          <w:rFonts w:cs="Times New Roman"/>
        </w:rPr>
        <w:t>yerleştirilen</w:t>
      </w:r>
      <w:r w:rsidRPr="00B93812">
        <w:rPr>
          <w:rFonts w:cs="Times New Roman"/>
        </w:rPr>
        <w:t xml:space="preserve"> kanser hücreleri belirli inkübasyon süreleri </w:t>
      </w:r>
      <w:r>
        <w:rPr>
          <w:rFonts w:cs="Times New Roman"/>
        </w:rPr>
        <w:t xml:space="preserve">(3, 6, 12, 24 ve 48 saat) </w:t>
      </w:r>
      <w:r w:rsidRPr="00B93812">
        <w:rPr>
          <w:rFonts w:cs="Times New Roman"/>
        </w:rPr>
        <w:t xml:space="preserve">boyunca farklı konsantrasyonlarda (0, </w:t>
      </w:r>
      <w:proofErr w:type="gramStart"/>
      <w:r w:rsidRPr="00B93812">
        <w:rPr>
          <w:rFonts w:cs="Times New Roman"/>
        </w:rPr>
        <w:t>5.5</w:t>
      </w:r>
      <w:proofErr w:type="gramEnd"/>
      <w:r w:rsidRPr="00B93812">
        <w:rPr>
          <w:rFonts w:cs="Times New Roman"/>
        </w:rPr>
        <w:t xml:space="preserve">, 15 ve 55 mM) glukoza maruz bırakılmıştır. </w:t>
      </w:r>
      <w:r>
        <w:rPr>
          <w:rFonts w:cs="Times New Roman"/>
        </w:rPr>
        <w:t>Oksijen gerilimi ve glukoz miktarının</w:t>
      </w:r>
      <w:r w:rsidRPr="00B93812">
        <w:rPr>
          <w:rFonts w:cs="Times New Roman"/>
        </w:rPr>
        <w:t xml:space="preserve"> </w:t>
      </w:r>
      <w:r>
        <w:rPr>
          <w:rFonts w:cs="Times New Roman"/>
        </w:rPr>
        <w:t>h</w:t>
      </w:r>
      <w:r w:rsidRPr="00B93812">
        <w:rPr>
          <w:rFonts w:cs="Times New Roman"/>
        </w:rPr>
        <w:t xml:space="preserve">ücrelerin </w:t>
      </w:r>
      <w:r>
        <w:rPr>
          <w:rFonts w:cs="Times New Roman"/>
        </w:rPr>
        <w:t>canlılığı üzerine etkisini</w:t>
      </w:r>
      <w:r w:rsidRPr="00B93812">
        <w:rPr>
          <w:rFonts w:cs="Times New Roman"/>
        </w:rPr>
        <w:t xml:space="preserve"> belirleyebilmek adına tüm uygulama gruplarında WST-1 canlılık analizi gerçekleştirilmiştir. </w:t>
      </w:r>
      <w:r>
        <w:rPr>
          <w:rFonts w:cs="Times New Roman"/>
        </w:rPr>
        <w:t>N</w:t>
      </w:r>
      <w:r w:rsidRPr="00B93812">
        <w:rPr>
          <w:rFonts w:cs="Times New Roman"/>
        </w:rPr>
        <w:t xml:space="preserve">ormoksik ortamda </w:t>
      </w:r>
      <w:proofErr w:type="gramStart"/>
      <w:r>
        <w:rPr>
          <w:rFonts w:cs="Times New Roman"/>
        </w:rPr>
        <w:t>konsantrasyona</w:t>
      </w:r>
      <w:proofErr w:type="gramEnd"/>
      <w:r w:rsidR="00BA0D60">
        <w:rPr>
          <w:rFonts w:cs="Times New Roman"/>
        </w:rPr>
        <w:t xml:space="preserve"> bağlı olarak 12. saatten sonra</w:t>
      </w:r>
      <w:r>
        <w:rPr>
          <w:rFonts w:cs="Times New Roman"/>
        </w:rPr>
        <w:t xml:space="preserve"> canlılık oranlarının arttığı tespit edilmiştir. H</w:t>
      </w:r>
      <w:r w:rsidR="005D04E0">
        <w:rPr>
          <w:rFonts w:cs="Times New Roman"/>
        </w:rPr>
        <w:t>ipoksik ortamda</w:t>
      </w:r>
      <w:r w:rsidRPr="00B93812">
        <w:rPr>
          <w:rFonts w:cs="Times New Roman"/>
        </w:rPr>
        <w:t xml:space="preserve"> </w:t>
      </w:r>
      <w:r>
        <w:rPr>
          <w:rFonts w:cs="Times New Roman"/>
        </w:rPr>
        <w:t xml:space="preserve">hem </w:t>
      </w:r>
      <w:r w:rsidRPr="00B93812">
        <w:rPr>
          <w:rFonts w:cs="Times New Roman"/>
        </w:rPr>
        <w:t xml:space="preserve">zamana </w:t>
      </w:r>
      <w:r>
        <w:rPr>
          <w:rFonts w:cs="Times New Roman"/>
        </w:rPr>
        <w:t>hem de</w:t>
      </w:r>
      <w:r w:rsidRPr="00B93812">
        <w:rPr>
          <w:rFonts w:cs="Times New Roman"/>
        </w:rPr>
        <w:t xml:space="preserve"> </w:t>
      </w:r>
      <w:proofErr w:type="gramStart"/>
      <w:r w:rsidRPr="00B93812">
        <w:rPr>
          <w:rFonts w:cs="Times New Roman"/>
        </w:rPr>
        <w:t>konsantrasyona</w:t>
      </w:r>
      <w:proofErr w:type="gramEnd"/>
      <w:r w:rsidRPr="00B93812">
        <w:rPr>
          <w:rFonts w:cs="Times New Roman"/>
        </w:rPr>
        <w:t xml:space="preserve"> bağlı </w:t>
      </w:r>
      <w:r>
        <w:rPr>
          <w:rFonts w:cs="Times New Roman"/>
        </w:rPr>
        <w:t>bir şekilde</w:t>
      </w:r>
      <w:r w:rsidRPr="00B93812">
        <w:rPr>
          <w:rFonts w:cs="Times New Roman"/>
        </w:rPr>
        <w:t xml:space="preserve"> canlılık oranlarının </w:t>
      </w:r>
      <w:r>
        <w:rPr>
          <w:rFonts w:cs="Times New Roman"/>
        </w:rPr>
        <w:t>kademeli olarak artış gösterdiği</w:t>
      </w:r>
      <w:r w:rsidRPr="00B93812">
        <w:rPr>
          <w:rFonts w:cs="Times New Roman"/>
        </w:rPr>
        <w:t xml:space="preserve"> belirlenmiştir.</w:t>
      </w:r>
      <w:r>
        <w:rPr>
          <w:rFonts w:cs="Times New Roman"/>
        </w:rPr>
        <w:t xml:space="preserve"> Hücre lizatlarındaki</w:t>
      </w:r>
      <w:r w:rsidRPr="00B93812">
        <w:rPr>
          <w:rFonts w:cs="Times New Roman"/>
        </w:rPr>
        <w:t xml:space="preserve"> </w:t>
      </w:r>
      <w:r>
        <w:rPr>
          <w:rFonts w:cs="Times New Roman"/>
        </w:rPr>
        <w:t>g</w:t>
      </w:r>
      <w:r w:rsidRPr="00B93812">
        <w:rPr>
          <w:rFonts w:cs="Times New Roman"/>
        </w:rPr>
        <w:t>likolitik metabolizm</w:t>
      </w:r>
      <w:r w:rsidR="005A2593">
        <w:rPr>
          <w:rFonts w:cs="Times New Roman"/>
        </w:rPr>
        <w:t>ayı yansıtan kilit enzimlerin (h</w:t>
      </w:r>
      <w:r w:rsidRPr="00B93812">
        <w:rPr>
          <w:rFonts w:cs="Times New Roman"/>
        </w:rPr>
        <w:t>ekzokinaz-</w:t>
      </w:r>
      <w:proofErr w:type="gramStart"/>
      <w:r w:rsidRPr="00B93812">
        <w:rPr>
          <w:rFonts w:cs="Times New Roman"/>
        </w:rPr>
        <w:t xml:space="preserve">2 </w:t>
      </w:r>
      <w:r w:rsidR="005A2593">
        <w:rPr>
          <w:rFonts w:cs="Times New Roman"/>
        </w:rPr>
        <w:t>,fosf</w:t>
      </w:r>
      <w:r w:rsidR="00F013D0">
        <w:rPr>
          <w:rFonts w:cs="Times New Roman"/>
        </w:rPr>
        <w:t>ofruktokinaz</w:t>
      </w:r>
      <w:proofErr w:type="gramEnd"/>
      <w:r w:rsidR="00F013D0">
        <w:rPr>
          <w:rFonts w:cs="Times New Roman"/>
        </w:rPr>
        <w:t xml:space="preserve"> P</w:t>
      </w:r>
      <w:r>
        <w:rPr>
          <w:rFonts w:cs="Times New Roman"/>
        </w:rPr>
        <w:t>, p</w:t>
      </w:r>
      <w:r w:rsidRPr="00B93812">
        <w:rPr>
          <w:rFonts w:cs="Times New Roman"/>
        </w:rPr>
        <w:t>iruvat kinaz</w:t>
      </w:r>
      <w:r w:rsidR="00F013D0">
        <w:rPr>
          <w:rFonts w:cs="Times New Roman"/>
        </w:rPr>
        <w:t xml:space="preserve"> M2</w:t>
      </w:r>
      <w:r>
        <w:rPr>
          <w:rFonts w:cs="Times New Roman"/>
        </w:rPr>
        <w:t>, laktat dehidrogenaz</w:t>
      </w:r>
      <w:r w:rsidR="00F013D0">
        <w:rPr>
          <w:rFonts w:cs="Times New Roman"/>
        </w:rPr>
        <w:t xml:space="preserve"> A</w:t>
      </w:r>
      <w:r>
        <w:rPr>
          <w:rFonts w:cs="Times New Roman"/>
        </w:rPr>
        <w:t>, g</w:t>
      </w:r>
      <w:r w:rsidRPr="00B93812">
        <w:rPr>
          <w:rFonts w:cs="Times New Roman"/>
        </w:rPr>
        <w:t>lukoz-6-fosfat dehidrogenaz</w:t>
      </w:r>
      <w:r>
        <w:rPr>
          <w:rFonts w:cs="Times New Roman"/>
        </w:rPr>
        <w:t xml:space="preserve">) </w:t>
      </w:r>
      <w:r w:rsidRPr="00B93812">
        <w:rPr>
          <w:rFonts w:cs="Times New Roman"/>
        </w:rPr>
        <w:t xml:space="preserve">ELISA yöntemi ile miktar tayini gerçekleştirilmiştir. </w:t>
      </w:r>
      <w:r>
        <w:rPr>
          <w:rFonts w:cs="Times New Roman"/>
        </w:rPr>
        <w:t>Ekstrasellüler</w:t>
      </w:r>
      <w:r w:rsidRPr="00B93812">
        <w:rPr>
          <w:rFonts w:cs="Times New Roman"/>
        </w:rPr>
        <w:t xml:space="preserve"> laktat düzeyleri ve glukoz </w:t>
      </w:r>
      <w:r>
        <w:rPr>
          <w:rFonts w:cs="Times New Roman"/>
        </w:rPr>
        <w:t xml:space="preserve">miktarları </w:t>
      </w:r>
      <w:r w:rsidR="00F013D0">
        <w:rPr>
          <w:rFonts w:cs="Times New Roman"/>
        </w:rPr>
        <w:t>ko</w:t>
      </w:r>
      <w:r w:rsidRPr="00B93812">
        <w:rPr>
          <w:rFonts w:cs="Times New Roman"/>
        </w:rPr>
        <w:t xml:space="preserve">lorimetrik yöntemle tayin edilmiştir. Glukoz ve oksijen düzeylerinin hücrelerin </w:t>
      </w:r>
      <w:r>
        <w:rPr>
          <w:rFonts w:cs="Times New Roman"/>
        </w:rPr>
        <w:t>göç etme potansiyelleri</w:t>
      </w:r>
      <w:r w:rsidRPr="00B93812">
        <w:rPr>
          <w:rFonts w:cs="Times New Roman"/>
        </w:rPr>
        <w:t xml:space="preserve"> üzerine etkisini görebilmek adına </w:t>
      </w:r>
      <w:r>
        <w:rPr>
          <w:rFonts w:cs="Times New Roman"/>
        </w:rPr>
        <w:t>ise yara iyileşmesi</w:t>
      </w:r>
      <w:r w:rsidRPr="00B93812">
        <w:rPr>
          <w:rFonts w:cs="Times New Roman"/>
        </w:rPr>
        <w:t xml:space="preserve"> testi yapılmıştır. </w:t>
      </w:r>
      <w:r>
        <w:rPr>
          <w:rFonts w:cs="Times New Roman"/>
        </w:rPr>
        <w:t xml:space="preserve">Yüksek </w:t>
      </w:r>
      <w:proofErr w:type="gramStart"/>
      <w:r>
        <w:rPr>
          <w:rFonts w:cs="Times New Roman"/>
        </w:rPr>
        <w:t>konsantrasyonda</w:t>
      </w:r>
      <w:proofErr w:type="gramEnd"/>
      <w:r>
        <w:rPr>
          <w:rFonts w:cs="Times New Roman"/>
        </w:rPr>
        <w:t xml:space="preserve"> glukoz içeren grupların hipokside normoksiye kıyasla</w:t>
      </w:r>
      <w:r w:rsidRPr="00B93812">
        <w:rPr>
          <w:rFonts w:cs="Times New Roman"/>
        </w:rPr>
        <w:t xml:space="preserve"> glukoz </w:t>
      </w:r>
      <w:r>
        <w:rPr>
          <w:rFonts w:cs="Times New Roman"/>
        </w:rPr>
        <w:t>tüketiminin</w:t>
      </w:r>
      <w:r w:rsidRPr="00B93812">
        <w:rPr>
          <w:rFonts w:cs="Times New Roman"/>
        </w:rPr>
        <w:t xml:space="preserve"> daha fazla olduğu</w:t>
      </w:r>
      <w:r>
        <w:rPr>
          <w:rFonts w:cs="Times New Roman"/>
        </w:rPr>
        <w:t xml:space="preserve"> </w:t>
      </w:r>
      <w:r w:rsidR="008B2CE8">
        <w:rPr>
          <w:rFonts w:cs="Times New Roman"/>
        </w:rPr>
        <w:t xml:space="preserve">(12. saat hariç) </w:t>
      </w:r>
      <w:r>
        <w:rPr>
          <w:rFonts w:cs="Times New Roman"/>
        </w:rPr>
        <w:t>(p&lt;0,001)</w:t>
      </w:r>
      <w:r w:rsidRPr="00B93812">
        <w:rPr>
          <w:rFonts w:cs="Times New Roman"/>
        </w:rPr>
        <w:t xml:space="preserve"> ve bu sonucun hücre canlılı</w:t>
      </w:r>
      <w:r w:rsidR="008276CB">
        <w:rPr>
          <w:rFonts w:cs="Times New Roman"/>
        </w:rPr>
        <w:t>ğı sonuçları</w:t>
      </w:r>
      <w:r w:rsidRPr="00B93812">
        <w:rPr>
          <w:rFonts w:cs="Times New Roman"/>
        </w:rPr>
        <w:t xml:space="preserve"> ile paralellik göst</w:t>
      </w:r>
      <w:r>
        <w:rPr>
          <w:rFonts w:cs="Times New Roman"/>
        </w:rPr>
        <w:t>erdiği tespit edilmiştir. H</w:t>
      </w:r>
      <w:r w:rsidRPr="00B93812">
        <w:rPr>
          <w:rFonts w:cs="Times New Roman"/>
        </w:rPr>
        <w:t>em normoksik hem de hipoksik ortamda</w:t>
      </w:r>
      <w:r>
        <w:rPr>
          <w:rFonts w:cs="Times New Roman"/>
        </w:rPr>
        <w:t>ki</w:t>
      </w:r>
      <w:r w:rsidRPr="00B93812">
        <w:rPr>
          <w:rFonts w:cs="Times New Roman"/>
        </w:rPr>
        <w:t xml:space="preserve"> </w:t>
      </w:r>
      <w:r>
        <w:rPr>
          <w:rFonts w:cs="Times New Roman"/>
        </w:rPr>
        <w:t>hipergli</w:t>
      </w:r>
      <w:r w:rsidR="0034228B">
        <w:rPr>
          <w:rFonts w:cs="Times New Roman"/>
        </w:rPr>
        <w:t>semik (</w:t>
      </w:r>
      <w:r>
        <w:rPr>
          <w:rFonts w:cs="Times New Roman"/>
        </w:rPr>
        <w:t xml:space="preserve">55 mM glukoz) hücrelerde </w:t>
      </w:r>
      <w:r w:rsidR="006C3ADA">
        <w:rPr>
          <w:rFonts w:cs="Times New Roman"/>
        </w:rPr>
        <w:t>6</w:t>
      </w:r>
      <w:r>
        <w:rPr>
          <w:rFonts w:cs="Times New Roman"/>
        </w:rPr>
        <w:t>. saatten itibaren</w:t>
      </w:r>
      <w:r w:rsidRPr="00B93812">
        <w:rPr>
          <w:rFonts w:cs="Times New Roman"/>
        </w:rPr>
        <w:t xml:space="preserve"> </w:t>
      </w:r>
      <w:r w:rsidR="00F013D0">
        <w:rPr>
          <w:rFonts w:cs="Times New Roman"/>
        </w:rPr>
        <w:t xml:space="preserve">hücre </w:t>
      </w:r>
      <w:r w:rsidRPr="00B93812">
        <w:rPr>
          <w:rFonts w:cs="Times New Roman"/>
        </w:rPr>
        <w:t>migrasyon</w:t>
      </w:r>
      <w:r w:rsidR="00F013D0">
        <w:rPr>
          <w:rFonts w:cs="Times New Roman"/>
        </w:rPr>
        <w:t>u</w:t>
      </w:r>
      <w:r w:rsidRPr="00B93812">
        <w:rPr>
          <w:rFonts w:cs="Times New Roman"/>
        </w:rPr>
        <w:t xml:space="preserve"> </w:t>
      </w:r>
      <w:r>
        <w:rPr>
          <w:rFonts w:cs="Times New Roman"/>
        </w:rPr>
        <w:t>hızlanmış, yara açıklığı yüzdeleri azalmıştır. Ayrıca g</w:t>
      </w:r>
      <w:r w:rsidRPr="00B93812">
        <w:rPr>
          <w:rFonts w:cs="Times New Roman"/>
        </w:rPr>
        <w:t>lukozsuz ortamda hü</w:t>
      </w:r>
      <w:r>
        <w:rPr>
          <w:rFonts w:cs="Times New Roman"/>
        </w:rPr>
        <w:t>crelerin morfolojik görüntüleri değişime uğramıştır</w:t>
      </w:r>
      <w:r w:rsidRPr="00B93812">
        <w:rPr>
          <w:rFonts w:cs="Times New Roman"/>
        </w:rPr>
        <w:t xml:space="preserve">. Hipoksik hücrelerde </w:t>
      </w:r>
      <w:r>
        <w:rPr>
          <w:rFonts w:cs="Times New Roman"/>
        </w:rPr>
        <w:t xml:space="preserve">glukoz içermeyen uygulama gruplarına kıyasla artan glukoz </w:t>
      </w:r>
      <w:proofErr w:type="gramStart"/>
      <w:r>
        <w:rPr>
          <w:rFonts w:cs="Times New Roman"/>
        </w:rPr>
        <w:t>konsantrasyonuna</w:t>
      </w:r>
      <w:proofErr w:type="gramEnd"/>
      <w:r>
        <w:rPr>
          <w:rFonts w:cs="Times New Roman"/>
        </w:rPr>
        <w:t xml:space="preserve"> bağlı</w:t>
      </w:r>
      <w:r w:rsidRPr="00B93812">
        <w:rPr>
          <w:rFonts w:cs="Times New Roman"/>
        </w:rPr>
        <w:t xml:space="preserve"> ekstrasellüler laktat seviyelerinin yükselmesi </w:t>
      </w:r>
      <w:r>
        <w:rPr>
          <w:rFonts w:cs="Times New Roman"/>
        </w:rPr>
        <w:t>(p&lt;0,05)</w:t>
      </w:r>
      <w:r w:rsidR="00695303">
        <w:rPr>
          <w:rFonts w:cs="Times New Roman"/>
        </w:rPr>
        <w:t>,</w:t>
      </w:r>
      <w:r>
        <w:rPr>
          <w:rFonts w:cs="Times New Roman"/>
        </w:rPr>
        <w:t xml:space="preserve"> </w:t>
      </w:r>
      <w:r w:rsidRPr="00B93812">
        <w:rPr>
          <w:rFonts w:cs="Times New Roman"/>
        </w:rPr>
        <w:t>Crabtree etkisinin bas</w:t>
      </w:r>
      <w:r>
        <w:rPr>
          <w:rFonts w:cs="Times New Roman"/>
        </w:rPr>
        <w:t>kın çalıştığını kanıtlar niteliktedir. Ortamda artan ürün miktarının enzim sentezini durdurmasına bağlı hipoksik ortamda LDHA düzeylerinin</w:t>
      </w:r>
      <w:r w:rsidRPr="00B93812">
        <w:rPr>
          <w:rFonts w:cs="Times New Roman"/>
        </w:rPr>
        <w:t xml:space="preserve"> </w:t>
      </w:r>
      <w:r>
        <w:rPr>
          <w:rFonts w:cs="Times New Roman"/>
        </w:rPr>
        <w:t xml:space="preserve">zamana bağlı anlamlı bir şekilde azaldığı tespit edilmiştir (p&lt;0,001). Hipoksi koşullarında tüm </w:t>
      </w:r>
      <w:proofErr w:type="gramStart"/>
      <w:r>
        <w:rPr>
          <w:rFonts w:cs="Times New Roman"/>
        </w:rPr>
        <w:t>konsantrasyonlar</w:t>
      </w:r>
      <w:proofErr w:type="gramEnd"/>
      <w:r>
        <w:rPr>
          <w:rFonts w:cs="Times New Roman"/>
        </w:rPr>
        <w:t xml:space="preserve"> için </w:t>
      </w:r>
      <w:r w:rsidR="00C42F58">
        <w:rPr>
          <w:rFonts w:cs="Times New Roman"/>
        </w:rPr>
        <w:t xml:space="preserve">(PKM2 için glukozsuz ortam </w:t>
      </w:r>
      <w:r w:rsidR="00C42F58">
        <w:rPr>
          <w:rFonts w:cs="Times New Roman"/>
        </w:rPr>
        <w:lastRenderedPageBreak/>
        <w:t xml:space="preserve">haricinde) </w:t>
      </w:r>
      <w:r>
        <w:rPr>
          <w:rFonts w:cs="Times New Roman"/>
        </w:rPr>
        <w:t xml:space="preserve">6. saatteki PKM2 ve G6PD enzim miktarları en yüksek düzeyde tespit edilmiş (p&lt;0,001) </w:t>
      </w:r>
      <w:r w:rsidR="008E50F9">
        <w:rPr>
          <w:rFonts w:cs="Times New Roman"/>
        </w:rPr>
        <w:t>ve</w:t>
      </w:r>
      <w:r>
        <w:rPr>
          <w:rFonts w:cs="Times New Roman"/>
        </w:rPr>
        <w:t xml:space="preserve"> </w:t>
      </w:r>
      <w:r w:rsidR="00987F6D" w:rsidRPr="00987F6D">
        <w:rPr>
          <w:rFonts w:cs="Times New Roman"/>
        </w:rPr>
        <w:t xml:space="preserve">kısa süreli hipoksi maruziyetinin hem glikolitik yolağı hem de </w:t>
      </w:r>
      <w:r w:rsidR="00987F6D">
        <w:rPr>
          <w:rFonts w:cs="Times New Roman"/>
        </w:rPr>
        <w:t>pentoz fosfat yolu (PPP)'nu</w:t>
      </w:r>
      <w:r w:rsidR="00987F6D" w:rsidRPr="00987F6D">
        <w:rPr>
          <w:rFonts w:cs="Times New Roman"/>
        </w:rPr>
        <w:t xml:space="preserve"> çalıştırarak enzim sentezini başlattığı öngörülmüştür. </w:t>
      </w:r>
      <w:r w:rsidR="00987F6D">
        <w:rPr>
          <w:rFonts w:cs="Times New Roman"/>
        </w:rPr>
        <w:t xml:space="preserve">G6PD enzim </w:t>
      </w:r>
      <w:proofErr w:type="gramStart"/>
      <w:r w:rsidR="00987F6D">
        <w:rPr>
          <w:rFonts w:cs="Times New Roman"/>
        </w:rPr>
        <w:t xml:space="preserve">seviyelerinin </w:t>
      </w:r>
      <w:r w:rsidRPr="00B93812">
        <w:rPr>
          <w:rFonts w:cs="Times New Roman"/>
        </w:rPr>
        <w:t xml:space="preserve"> normokside</w:t>
      </w:r>
      <w:proofErr w:type="gramEnd"/>
      <w:r w:rsidRPr="00B93812">
        <w:rPr>
          <w:rFonts w:cs="Times New Roman"/>
        </w:rPr>
        <w:t xml:space="preserve"> hip</w:t>
      </w:r>
      <w:r>
        <w:rPr>
          <w:rFonts w:cs="Times New Roman"/>
        </w:rPr>
        <w:t xml:space="preserve">oksiye göre tüm gruplar için (12. saat hariç) </w:t>
      </w:r>
      <w:r w:rsidRPr="00B93812">
        <w:rPr>
          <w:rFonts w:cs="Times New Roman"/>
        </w:rPr>
        <w:t>daha yüks</w:t>
      </w:r>
      <w:r>
        <w:rPr>
          <w:rFonts w:cs="Times New Roman"/>
        </w:rPr>
        <w:t>ek olduğu belirlenmiştir (p&lt;0,001). Bu veriler, normal oks</w:t>
      </w:r>
      <w:r w:rsidR="00987F6D">
        <w:rPr>
          <w:rFonts w:cs="Times New Roman"/>
        </w:rPr>
        <w:t>ijen koşulları altında glukozun</w:t>
      </w:r>
      <w:r w:rsidR="00C47EFB">
        <w:rPr>
          <w:rFonts w:cs="Times New Roman"/>
        </w:rPr>
        <w:t xml:space="preserve"> </w:t>
      </w:r>
      <w:r>
        <w:rPr>
          <w:rFonts w:cs="Times New Roman"/>
        </w:rPr>
        <w:t>PPP’</w:t>
      </w:r>
      <w:r w:rsidR="00C47EFB">
        <w:rPr>
          <w:rFonts w:cs="Times New Roman"/>
        </w:rPr>
        <w:t>n</w:t>
      </w:r>
      <w:r>
        <w:rPr>
          <w:rFonts w:cs="Times New Roman"/>
        </w:rPr>
        <w:t>a yönlendirildiğini göstermektedir. Uzun süreli hipoksi maruziyetinin</w:t>
      </w:r>
      <w:r w:rsidRPr="00B93812">
        <w:rPr>
          <w:rFonts w:cs="Times New Roman"/>
        </w:rPr>
        <w:t xml:space="preserve"> </w:t>
      </w:r>
      <w:r>
        <w:rPr>
          <w:rFonts w:cs="Times New Roman"/>
        </w:rPr>
        <w:t>hiperglisemik ortamda</w:t>
      </w:r>
      <w:r w:rsidRPr="00B93812">
        <w:rPr>
          <w:rFonts w:cs="Times New Roman"/>
        </w:rPr>
        <w:t xml:space="preserve"> </w:t>
      </w:r>
      <w:r>
        <w:rPr>
          <w:rFonts w:cs="Times New Roman"/>
        </w:rPr>
        <w:t>glikolitik akışı tetiklediği bilgisini doğrular nitelikte 15 ve 55 mM glukoz içeren hipoksi uygulama gruplarında</w:t>
      </w:r>
      <w:r w:rsidRPr="00B93812">
        <w:rPr>
          <w:rFonts w:cs="Times New Roman"/>
        </w:rPr>
        <w:t xml:space="preserve"> </w:t>
      </w:r>
      <w:r>
        <w:rPr>
          <w:rFonts w:cs="Times New Roman"/>
        </w:rPr>
        <w:t xml:space="preserve">48 saatlik inkübasyon sonucunda PKM2 </w:t>
      </w:r>
      <w:r w:rsidRPr="00B93812">
        <w:rPr>
          <w:rFonts w:cs="Times New Roman"/>
        </w:rPr>
        <w:t xml:space="preserve">enzim miktarlarının artış </w:t>
      </w:r>
      <w:r>
        <w:rPr>
          <w:rFonts w:cs="Times New Roman"/>
        </w:rPr>
        <w:t>gösterdiği sonucuna ulaşılmıştır. Glikolizin iki kilit enzimi HK2 ve PFK</w:t>
      </w:r>
      <w:r w:rsidR="00C47EFB">
        <w:rPr>
          <w:rFonts w:cs="Times New Roman"/>
        </w:rPr>
        <w:t>P</w:t>
      </w:r>
      <w:r>
        <w:rPr>
          <w:rFonts w:cs="Times New Roman"/>
        </w:rPr>
        <w:t xml:space="preserve">’nin </w:t>
      </w:r>
      <w:r w:rsidRPr="00B93812">
        <w:rPr>
          <w:rFonts w:cs="Times New Roman"/>
        </w:rPr>
        <w:t>normoksik ortamda birbiriyle denge halinde azalan v</w:t>
      </w:r>
      <w:r>
        <w:rPr>
          <w:rFonts w:cs="Times New Roman"/>
        </w:rPr>
        <w:t>e artan grafikler sergilediği görülmüş</w:t>
      </w:r>
      <w:r w:rsidR="00B30625">
        <w:rPr>
          <w:rFonts w:cs="Times New Roman"/>
        </w:rPr>
        <w:t xml:space="preserve">tür. </w:t>
      </w:r>
      <w:r>
        <w:rPr>
          <w:rFonts w:cs="Times New Roman"/>
        </w:rPr>
        <w:t>PFK</w:t>
      </w:r>
      <w:r w:rsidR="00C47EFB">
        <w:rPr>
          <w:rFonts w:cs="Times New Roman"/>
        </w:rPr>
        <w:t>P</w:t>
      </w:r>
      <w:r>
        <w:rPr>
          <w:rFonts w:cs="Times New Roman"/>
        </w:rPr>
        <w:t xml:space="preserve"> enzimi için </w:t>
      </w:r>
      <w:r>
        <w:rPr>
          <w:szCs w:val="24"/>
        </w:rPr>
        <w:t xml:space="preserve">hiperglisemik </w:t>
      </w:r>
      <w:proofErr w:type="gramStart"/>
      <w:r>
        <w:rPr>
          <w:szCs w:val="24"/>
        </w:rPr>
        <w:t>ortamda  normoksi</w:t>
      </w:r>
      <w:proofErr w:type="gramEnd"/>
      <w:r>
        <w:rPr>
          <w:szCs w:val="24"/>
        </w:rPr>
        <w:t xml:space="preserve"> ve hipoksi arasındaki farklılıklar daha belirgin olmakla be</w:t>
      </w:r>
      <w:r w:rsidR="00E2354E">
        <w:rPr>
          <w:szCs w:val="24"/>
        </w:rPr>
        <w:t>raber 15 mM glukoz ortamında 6.</w:t>
      </w:r>
      <w:r>
        <w:rPr>
          <w:szCs w:val="24"/>
        </w:rPr>
        <w:t xml:space="preserve"> ve  24. saatlerde hipokside normoksiye göre sırasıyla 14,91 ve 56,5 kat artış </w:t>
      </w:r>
      <w:r w:rsidR="00B30625">
        <w:rPr>
          <w:szCs w:val="24"/>
        </w:rPr>
        <w:t>gözlenmiştir</w:t>
      </w:r>
      <w:r w:rsidRPr="00017F84">
        <w:rPr>
          <w:szCs w:val="24"/>
        </w:rPr>
        <w:t xml:space="preserve"> </w:t>
      </w:r>
      <w:r>
        <w:rPr>
          <w:szCs w:val="24"/>
        </w:rPr>
        <w:t xml:space="preserve">(p&lt;0,001).  Bu durum </w:t>
      </w:r>
      <w:r w:rsidR="00DA615F">
        <w:rPr>
          <w:szCs w:val="24"/>
        </w:rPr>
        <w:t>yukarıda belirtilen</w:t>
      </w:r>
      <w:r>
        <w:rPr>
          <w:szCs w:val="24"/>
        </w:rPr>
        <w:t xml:space="preserve"> inkübasyon sürelerinde</w:t>
      </w:r>
      <w:r w:rsidR="00DA615F">
        <w:rPr>
          <w:szCs w:val="24"/>
        </w:rPr>
        <w:t>,</w:t>
      </w:r>
      <w:r>
        <w:rPr>
          <w:szCs w:val="24"/>
        </w:rPr>
        <w:t xml:space="preserve"> hipoksi ile glikolitik akının indüklendiğini göstermektedir.  </w:t>
      </w:r>
      <w:r w:rsidRPr="00B93812">
        <w:rPr>
          <w:rFonts w:eastAsia="Times New Roman" w:cs="Times New Roman"/>
          <w:bCs/>
          <w:color w:val="000000"/>
          <w:kern w:val="36"/>
          <w:szCs w:val="24"/>
          <w:lang w:eastAsia="tr-TR"/>
        </w:rPr>
        <w:t>Farklı düzeyde elde edilen glikolitik enzim miktarları, oksijen gerilimine uyumlanmada hücrelerin birbirinden ayrı potansiyel kapasitelere ve değişe</w:t>
      </w:r>
      <w:r>
        <w:rPr>
          <w:rFonts w:eastAsia="Times New Roman" w:cs="Times New Roman"/>
          <w:bCs/>
          <w:color w:val="000000"/>
          <w:kern w:val="36"/>
          <w:szCs w:val="24"/>
          <w:lang w:eastAsia="tr-TR"/>
        </w:rPr>
        <w:t>n mekanizmalara sahip olduğunu kanıtlamıştır</w:t>
      </w:r>
      <w:r w:rsidRPr="00B93812">
        <w:rPr>
          <w:rFonts w:eastAsia="Times New Roman" w:cs="Times New Roman"/>
          <w:bCs/>
          <w:color w:val="000000"/>
          <w:kern w:val="36"/>
          <w:szCs w:val="24"/>
          <w:lang w:eastAsia="tr-TR"/>
        </w:rPr>
        <w:t xml:space="preserve">. </w:t>
      </w:r>
      <w:r>
        <w:rPr>
          <w:rFonts w:eastAsia="Times New Roman" w:cs="Times New Roman"/>
          <w:bCs/>
          <w:color w:val="000000"/>
          <w:kern w:val="36"/>
          <w:szCs w:val="24"/>
          <w:lang w:eastAsia="tr-TR"/>
        </w:rPr>
        <w:t xml:space="preserve">Bu çalışma genel itibariyle hipoksi ile glikolitik </w:t>
      </w:r>
      <w:proofErr w:type="gramStart"/>
      <w:r>
        <w:rPr>
          <w:rFonts w:eastAsia="Times New Roman" w:cs="Times New Roman"/>
          <w:bCs/>
          <w:color w:val="000000"/>
          <w:kern w:val="36"/>
          <w:szCs w:val="24"/>
          <w:lang w:eastAsia="tr-TR"/>
        </w:rPr>
        <w:t>profil</w:t>
      </w:r>
      <w:proofErr w:type="gramEnd"/>
      <w:r>
        <w:rPr>
          <w:rFonts w:eastAsia="Times New Roman" w:cs="Times New Roman"/>
          <w:bCs/>
          <w:color w:val="000000"/>
          <w:kern w:val="36"/>
          <w:szCs w:val="24"/>
          <w:lang w:eastAsia="tr-TR"/>
        </w:rPr>
        <w:t xml:space="preserve"> arasında önemli bir etkileşim olduğunu göstermiş ve hipoksi tarafından aktive edilen metabolik süreçlerin terapötik hedefleme potansiyeli sunarak literatüre önemli bir katkı sağlayacağı kanaatine varılmıştır. </w:t>
      </w:r>
    </w:p>
    <w:p w:rsidR="000976ED" w:rsidRPr="00B93812" w:rsidRDefault="000976ED" w:rsidP="000976ED">
      <w:pPr>
        <w:rPr>
          <w:rFonts w:cs="Times New Roman"/>
        </w:rPr>
      </w:pPr>
    </w:p>
    <w:p w:rsidR="000976ED" w:rsidRPr="00B93812" w:rsidRDefault="000976ED" w:rsidP="000976ED">
      <w:pPr>
        <w:rPr>
          <w:rFonts w:cs="Times New Roman"/>
        </w:rPr>
      </w:pPr>
      <w:r w:rsidRPr="00612289">
        <w:rPr>
          <w:rFonts w:cs="Times New Roman"/>
          <w:b/>
        </w:rPr>
        <w:t>Anahtar kelimeler:</w:t>
      </w:r>
      <w:r>
        <w:rPr>
          <w:rFonts w:cs="Times New Roman"/>
        </w:rPr>
        <w:t xml:space="preserve"> </w:t>
      </w:r>
      <w:r w:rsidR="00B5793F">
        <w:rPr>
          <w:rFonts w:cs="Times New Roman"/>
        </w:rPr>
        <w:t>Enzim, glukoz, hipoksi,</w:t>
      </w:r>
      <w:r>
        <w:rPr>
          <w:rFonts w:cs="Times New Roman"/>
        </w:rPr>
        <w:t xml:space="preserve"> </w:t>
      </w:r>
      <w:r w:rsidR="00977E06">
        <w:rPr>
          <w:rFonts w:cs="Times New Roman"/>
        </w:rPr>
        <w:t>meme kanseri,</w:t>
      </w:r>
      <w:r w:rsidR="00061FB6">
        <w:rPr>
          <w:rFonts w:cs="Times New Roman"/>
        </w:rPr>
        <w:t xml:space="preserve"> oksijen.</w:t>
      </w:r>
      <w:r w:rsidR="00B5793F">
        <w:rPr>
          <w:rFonts w:cs="Times New Roman"/>
        </w:rPr>
        <w:t xml:space="preserve"> </w:t>
      </w:r>
    </w:p>
    <w:p w:rsidR="00455CDF" w:rsidRPr="009F46C3" w:rsidRDefault="00455CDF" w:rsidP="001A28F3">
      <w:pPr>
        <w:tabs>
          <w:tab w:val="left" w:pos="567"/>
        </w:tabs>
        <w:ind w:firstLine="0"/>
        <w:rPr>
          <w:rFonts w:cs="Times New Roman"/>
          <w:szCs w:val="24"/>
        </w:rPr>
      </w:pPr>
      <w:r>
        <w:rPr>
          <w:rFonts w:cs="Times New Roman"/>
          <w:bCs/>
          <w:szCs w:val="24"/>
        </w:rPr>
        <w:br w:type="page"/>
      </w:r>
    </w:p>
    <w:p w:rsidR="00DF22F0" w:rsidRDefault="00DF22F0" w:rsidP="00DF22F0">
      <w:pPr>
        <w:jc w:val="center"/>
        <w:rPr>
          <w:b/>
          <w:sz w:val="28"/>
        </w:rPr>
      </w:pPr>
      <w:r w:rsidRPr="00DF22F0">
        <w:rPr>
          <w:b/>
          <w:sz w:val="28"/>
        </w:rPr>
        <w:lastRenderedPageBreak/>
        <w:t>ABSTRACT</w:t>
      </w:r>
    </w:p>
    <w:p w:rsidR="00DF22F0" w:rsidRDefault="00DF22F0" w:rsidP="001A28F3">
      <w:pPr>
        <w:jc w:val="center"/>
        <w:rPr>
          <w:b/>
        </w:rPr>
      </w:pPr>
    </w:p>
    <w:p w:rsidR="00DF22F0" w:rsidRPr="00DF22F0" w:rsidRDefault="00DF22F0" w:rsidP="001A28F3">
      <w:pPr>
        <w:jc w:val="center"/>
        <w:rPr>
          <w:b/>
        </w:rPr>
      </w:pPr>
    </w:p>
    <w:p w:rsidR="000624AF" w:rsidRDefault="00DF22F0" w:rsidP="001A28F3">
      <w:pPr>
        <w:ind w:firstLine="0"/>
        <w:jc w:val="center"/>
        <w:rPr>
          <w:rFonts w:cs="Times New Roman"/>
          <w:b/>
          <w:szCs w:val="24"/>
        </w:rPr>
      </w:pPr>
      <w:r w:rsidRPr="00DF22F0">
        <w:rPr>
          <w:rFonts w:cs="Times New Roman"/>
          <w:b/>
          <w:szCs w:val="24"/>
        </w:rPr>
        <w:t xml:space="preserve">THE INVESTIGATION OF </w:t>
      </w:r>
      <w:r w:rsidR="0075706C">
        <w:rPr>
          <w:rFonts w:cs="Times New Roman"/>
          <w:b/>
          <w:szCs w:val="24"/>
        </w:rPr>
        <w:t>GLUCOSE CATABOLISM IN HYPOXI</w:t>
      </w:r>
      <w:r w:rsidR="007C54C2">
        <w:rPr>
          <w:rFonts w:cs="Times New Roman"/>
          <w:b/>
          <w:szCs w:val="24"/>
        </w:rPr>
        <w:t>C MCF-7 BREAST CANCER CELL CULTURE</w:t>
      </w:r>
      <w:r w:rsidR="000624AF">
        <w:rPr>
          <w:rFonts w:cs="Times New Roman"/>
          <w:b/>
          <w:szCs w:val="24"/>
        </w:rPr>
        <w:t xml:space="preserve"> </w:t>
      </w:r>
    </w:p>
    <w:p w:rsidR="00DF22F0" w:rsidRDefault="00DF22F0" w:rsidP="001A28F3">
      <w:pPr>
        <w:ind w:firstLine="0"/>
        <w:jc w:val="center"/>
      </w:pPr>
    </w:p>
    <w:p w:rsidR="007D4E09" w:rsidRDefault="007C54C2" w:rsidP="001A28F3">
      <w:pPr>
        <w:ind w:firstLine="0"/>
        <w:rPr>
          <w:rFonts w:eastAsia="Times New Roman" w:cs="Times New Roman"/>
          <w:b/>
          <w:szCs w:val="24"/>
          <w:lang w:val="en-AU"/>
        </w:rPr>
      </w:pPr>
      <w:proofErr w:type="gramStart"/>
      <w:r>
        <w:rPr>
          <w:rFonts w:eastAsia="Times New Roman" w:cs="Times New Roman"/>
          <w:b/>
          <w:szCs w:val="24"/>
          <w:lang w:val="en-AU"/>
        </w:rPr>
        <w:t>Bayar I</w:t>
      </w:r>
      <w:r w:rsidR="00DD6F8F">
        <w:rPr>
          <w:rFonts w:eastAsia="Times New Roman" w:cs="Times New Roman"/>
          <w:b/>
          <w:szCs w:val="24"/>
          <w:lang w:val="en-AU"/>
        </w:rPr>
        <w:t xml:space="preserve">. </w:t>
      </w:r>
      <w:r w:rsidR="006800B6">
        <w:rPr>
          <w:rFonts w:eastAsia="Times New Roman" w:cs="Times New Roman"/>
          <w:b/>
          <w:szCs w:val="24"/>
          <w:lang w:val="en-AU"/>
        </w:rPr>
        <w:t>Aydi</w:t>
      </w:r>
      <w:r w:rsidR="00306C69">
        <w:rPr>
          <w:rFonts w:eastAsia="Times New Roman" w:cs="Times New Roman"/>
          <w:b/>
          <w:szCs w:val="24"/>
          <w:lang w:val="en-AU"/>
        </w:rPr>
        <w:t xml:space="preserve">n </w:t>
      </w:r>
      <w:r w:rsidR="00DD6F8F">
        <w:rPr>
          <w:rFonts w:eastAsia="Times New Roman" w:cs="Times New Roman"/>
          <w:b/>
          <w:szCs w:val="24"/>
          <w:lang w:val="en-AU"/>
        </w:rPr>
        <w:t xml:space="preserve">Adnan Menderes University Health Sciences Institute of </w:t>
      </w:r>
      <w:r w:rsidR="00815B16" w:rsidRPr="00815B16">
        <w:rPr>
          <w:rFonts w:eastAsia="Times New Roman" w:cs="Times New Roman"/>
          <w:b/>
          <w:szCs w:val="24"/>
          <w:lang w:val="en-AU"/>
        </w:rPr>
        <w:t xml:space="preserve">Biochemistry </w:t>
      </w:r>
      <w:r w:rsidR="00714F44">
        <w:rPr>
          <w:rFonts w:eastAsia="Times New Roman" w:cs="Times New Roman"/>
          <w:b/>
          <w:szCs w:val="24"/>
          <w:lang w:val="en-AU"/>
        </w:rPr>
        <w:t xml:space="preserve">(Veterinary) </w:t>
      </w:r>
      <w:r w:rsidR="00DF22F0" w:rsidRPr="003D305E">
        <w:rPr>
          <w:b/>
          <w:szCs w:val="24"/>
        </w:rPr>
        <w:t>Program</w:t>
      </w:r>
      <w:r w:rsidR="00C11158">
        <w:rPr>
          <w:b/>
          <w:szCs w:val="24"/>
        </w:rPr>
        <w:t>,</w:t>
      </w:r>
      <w:r w:rsidR="00DF22F0">
        <w:rPr>
          <w:rFonts w:eastAsia="Times New Roman" w:cs="Times New Roman"/>
          <w:b/>
          <w:szCs w:val="24"/>
          <w:lang w:val="en-AU"/>
        </w:rPr>
        <w:t xml:space="preserve"> </w:t>
      </w:r>
      <w:r w:rsidR="00815B16" w:rsidRPr="00815B16">
        <w:rPr>
          <w:rFonts w:eastAsia="Times New Roman" w:cs="Times New Roman"/>
          <w:b/>
          <w:szCs w:val="24"/>
          <w:lang w:val="en-AU"/>
        </w:rPr>
        <w:t xml:space="preserve">Ph.D. </w:t>
      </w:r>
      <w:r w:rsidR="006800B6">
        <w:rPr>
          <w:rFonts w:eastAsia="Times New Roman" w:cs="Times New Roman"/>
          <w:b/>
          <w:szCs w:val="24"/>
          <w:lang w:val="en-AU"/>
        </w:rPr>
        <w:t>Thesis, Aydi</w:t>
      </w:r>
      <w:r w:rsidR="00FD0923">
        <w:rPr>
          <w:rFonts w:eastAsia="Times New Roman" w:cs="Times New Roman"/>
          <w:b/>
          <w:szCs w:val="24"/>
          <w:lang w:val="en-AU"/>
        </w:rPr>
        <w:t>n, 20</w:t>
      </w:r>
      <w:r>
        <w:rPr>
          <w:rFonts w:eastAsia="Times New Roman" w:cs="Times New Roman"/>
          <w:b/>
          <w:szCs w:val="24"/>
          <w:lang w:val="en-AU"/>
        </w:rPr>
        <w:t>20</w:t>
      </w:r>
      <w:r w:rsidR="00DD6F8F">
        <w:rPr>
          <w:rFonts w:eastAsia="Times New Roman" w:cs="Times New Roman"/>
          <w:b/>
          <w:szCs w:val="24"/>
          <w:lang w:val="en-AU"/>
        </w:rPr>
        <w:t>.</w:t>
      </w:r>
      <w:proofErr w:type="gramEnd"/>
      <w:r w:rsidR="00DD6F8F">
        <w:rPr>
          <w:rFonts w:eastAsia="Times New Roman" w:cs="Times New Roman"/>
          <w:b/>
          <w:szCs w:val="24"/>
          <w:lang w:val="en-AU"/>
        </w:rPr>
        <w:t xml:space="preserve"> </w:t>
      </w:r>
    </w:p>
    <w:p w:rsidR="00BB4D23" w:rsidRDefault="00BB4D23" w:rsidP="001A28F3">
      <w:pPr>
        <w:ind w:firstLine="708"/>
        <w:rPr>
          <w:rFonts w:cs="Times New Roman"/>
          <w:color w:val="212121"/>
          <w:szCs w:val="24"/>
          <w:shd w:val="clear" w:color="auto" w:fill="FFFFFF"/>
        </w:rPr>
      </w:pPr>
    </w:p>
    <w:p w:rsidR="00DF22F0" w:rsidRPr="00FD383C" w:rsidRDefault="004023AF" w:rsidP="00E8078A">
      <w:bookmarkStart w:id="21" w:name="_Toc488176620"/>
      <w:bookmarkEnd w:id="20"/>
      <w:r w:rsidRPr="004023AF">
        <w:t xml:space="preserve">In this study, it was aimed to show the effects of hypoxia on glucose catabolism of MCF-7 </w:t>
      </w:r>
      <w:r w:rsidRPr="00FD383C">
        <w:t xml:space="preserve">cancer cells. Cancer cells </w:t>
      </w:r>
      <w:r w:rsidR="008276CB" w:rsidRPr="00FD383C">
        <w:t>placed</w:t>
      </w:r>
      <w:r w:rsidRPr="00FD383C">
        <w:t xml:space="preserve"> normoxia and hypoxia environments were exposed to glucose at different concentrations (0, </w:t>
      </w:r>
      <w:proofErr w:type="gramStart"/>
      <w:r w:rsidRPr="00FD383C">
        <w:t>5.5</w:t>
      </w:r>
      <w:proofErr w:type="gramEnd"/>
      <w:r w:rsidRPr="00FD383C">
        <w:t xml:space="preserve">, 15 and 55 mM) for certain incubation times (3, 6, 12, 24 and 48 hours). </w:t>
      </w:r>
      <w:r w:rsidR="00FD383C" w:rsidRPr="00FD383C">
        <w:t>WST-1 viability analysis was performed in all application groups to determine the effect of oxygen tension and glucose amount on cell viability. In the normoxic environment, viability rates increased after 12th hour depending on the concentration. In the hypoxic environment, a gradual increase in viability rates depending both on time and concentration was determined</w:t>
      </w:r>
      <w:r w:rsidRPr="00FD383C">
        <w:t>. Quantification of key enzymes (hexokinase-2, phosphofructokinase P, pyruvate kinase M2, lactate dehydrogenase A, glucose-6-phosphate dehydrogenase) reflecting glycolytic metabolism in cell lysates was performed by ELISA method. Extracellular lactate levels and glucose levels were determined by colorimetric method</w:t>
      </w:r>
      <w:r w:rsidR="00FD383C" w:rsidRPr="00FD383C">
        <w:t>. To see</w:t>
      </w:r>
      <w:r w:rsidRPr="00FD383C">
        <w:t xml:space="preserve"> the effect of glucose and oxygen levels on the migration potential of cells, a wound healing test was performed. It was determined that the groups containing high concentrations of glucose had higher glucose consumption in hypoxia compared to normoxia</w:t>
      </w:r>
      <w:r w:rsidR="008B2CE8">
        <w:t xml:space="preserve"> </w:t>
      </w:r>
      <w:r w:rsidR="008B2CE8" w:rsidRPr="00FD383C">
        <w:t>(except 12th hour)</w:t>
      </w:r>
      <w:r w:rsidR="00050B48">
        <w:t xml:space="preserve"> (p</w:t>
      </w:r>
      <w:r w:rsidRPr="00FD383C">
        <w:t xml:space="preserve">&lt;0.001) and this result was found to be in </w:t>
      </w:r>
      <w:r w:rsidR="00C55DF3" w:rsidRPr="00FD383C">
        <w:t>parallel</w:t>
      </w:r>
      <w:r w:rsidRPr="00FD383C">
        <w:t xml:space="preserve"> with cell viability</w:t>
      </w:r>
      <w:r w:rsidR="005D04E0" w:rsidRPr="00FD383C">
        <w:t xml:space="preserve"> results</w:t>
      </w:r>
      <w:r w:rsidRPr="00FD383C">
        <w:t>.</w:t>
      </w:r>
      <w:r w:rsidR="00C55DF3" w:rsidRPr="00FD383C">
        <w:t xml:space="preserve"> From </w:t>
      </w:r>
      <w:r w:rsidR="005D04E0" w:rsidRPr="00FD383C">
        <w:t xml:space="preserve">the </w:t>
      </w:r>
      <w:r w:rsidR="006C3ADA">
        <w:t>6</w:t>
      </w:r>
      <w:r w:rsidR="005D04E0" w:rsidRPr="00FD383C">
        <w:t>th hour</w:t>
      </w:r>
      <w:r w:rsidR="00C55DF3" w:rsidRPr="00FD383C">
        <w:t xml:space="preserve">, cell migration has accelerated and wound opening percentage has decreased in hyperglycemic (55 mM glucose) cells in both normoxic and hypoxic environment. In addition, morphological images of the cells undergo a change in glucose free medium. The increase in </w:t>
      </w:r>
      <w:r w:rsidR="00050B48">
        <w:t>extracellular lactate levels (p</w:t>
      </w:r>
      <w:r w:rsidR="00C55DF3" w:rsidRPr="00FD383C">
        <w:t>&lt;0.05) due to increased glucose concentration in hypoxic cells compared to glucose-free administration groups is evidence that the Crabtree effect is predominant. It was determined that LDHA levels decreased significant</w:t>
      </w:r>
      <w:r w:rsidR="00C42F58" w:rsidRPr="00FD383C">
        <w:t>ly depending on time in the hypoxic environment due to stopping enzyme synthesis by increasing amount o</w:t>
      </w:r>
      <w:r w:rsidR="009E1902">
        <w:t>f product in the environment (p</w:t>
      </w:r>
      <w:r w:rsidR="00C42F58" w:rsidRPr="00FD383C">
        <w:t>&lt;0.001).</w:t>
      </w:r>
    </w:p>
    <w:p w:rsidR="00084DC7" w:rsidRDefault="00C42F58" w:rsidP="00084DC7">
      <w:pPr>
        <w:ind w:firstLine="0"/>
        <w:rPr>
          <w:szCs w:val="24"/>
        </w:rPr>
      </w:pPr>
      <w:proofErr w:type="gramStart"/>
      <w:r w:rsidRPr="00FD383C">
        <w:lastRenderedPageBreak/>
        <w:t>PKM2 and G6PD enzyme levels at the 6th hour for all concentrations (except glucose-free medium for PKM2) were determined at the highest level in</w:t>
      </w:r>
      <w:r w:rsidR="00A46B85">
        <w:t xml:space="preserve"> hypoxia conditions (p</w:t>
      </w:r>
      <w:r w:rsidR="008E50F9" w:rsidRPr="00FD383C">
        <w:t xml:space="preserve">&lt;0.001) </w:t>
      </w:r>
      <w:r w:rsidRPr="00FD383C">
        <w:t xml:space="preserve">and </w:t>
      </w:r>
      <w:r w:rsidR="00987F6D" w:rsidRPr="00987F6D">
        <w:t>short-term exposure to hypoxia has been predicted to initiate enzyme synthesis by operating both the glycolytic pathway and pentose phosphate pathway (PPP).</w:t>
      </w:r>
      <w:r w:rsidR="00987F6D">
        <w:t xml:space="preserve"> </w:t>
      </w:r>
      <w:proofErr w:type="gramEnd"/>
      <w:r w:rsidRPr="00FD383C">
        <w:t xml:space="preserve">It has been determined that </w:t>
      </w:r>
      <w:r w:rsidR="00987F6D" w:rsidRPr="00FD383C">
        <w:t xml:space="preserve">enzyme levels </w:t>
      </w:r>
      <w:r w:rsidR="00987F6D">
        <w:t xml:space="preserve">of </w:t>
      </w:r>
      <w:r w:rsidRPr="00FD383C">
        <w:t xml:space="preserve">G6PD in normoxia </w:t>
      </w:r>
      <w:r w:rsidR="00211431" w:rsidRPr="00FD383C">
        <w:t>are</w:t>
      </w:r>
      <w:r w:rsidRPr="00FD383C">
        <w:t xml:space="preserve"> higher for all groups (ex</w:t>
      </w:r>
      <w:r w:rsidR="00A46B85">
        <w:t>cept 12th hour) than hypoxia (p</w:t>
      </w:r>
      <w:r w:rsidRPr="00FD383C">
        <w:t>&lt;0.001).</w:t>
      </w:r>
      <w:r w:rsidR="00211431" w:rsidRPr="00FD383C">
        <w:t xml:space="preserve"> These </w:t>
      </w:r>
      <w:proofErr w:type="gramStart"/>
      <w:r w:rsidR="00211431" w:rsidRPr="00FD383C">
        <w:t>data</w:t>
      </w:r>
      <w:proofErr w:type="gramEnd"/>
      <w:r w:rsidR="00211431" w:rsidRPr="00FD383C">
        <w:t xml:space="preserve"> show that glucose is directed to PPP under normal oxygen conditions. It was concluded that PKM2 enzyme amounts increased after 48 hours incubation in hypoxia application groups containing 15 and 55 mM glucose, which confirms the knowledge that long-term hypoxia exposure triggers glycolytic flow in hyperglycemic environment. </w:t>
      </w:r>
      <w:r w:rsidR="00BD44E4" w:rsidRPr="00FD383C">
        <w:t>Two key enzymes of glycolysis, HK2 and PFK</w:t>
      </w:r>
      <w:r w:rsidR="00B30625">
        <w:t>P</w:t>
      </w:r>
      <w:r w:rsidR="00BD44E4" w:rsidRPr="00FD383C">
        <w:t xml:space="preserve"> in balance with each other, were shown to exhibit decreasing and increasing graphs in a normoxic environment</w:t>
      </w:r>
      <w:r w:rsidR="00B30625">
        <w:t xml:space="preserve">. </w:t>
      </w:r>
      <w:r w:rsidR="00BD44E4" w:rsidRPr="00FD383C">
        <w:rPr>
          <w:rFonts w:cs="Times New Roman"/>
        </w:rPr>
        <w:t>Although the differences between normoxia and hypoxia in hyperglycemic environment for PFK</w:t>
      </w:r>
      <w:r w:rsidR="00B30625">
        <w:rPr>
          <w:rFonts w:cs="Times New Roman"/>
        </w:rPr>
        <w:t>P</w:t>
      </w:r>
      <w:r w:rsidR="00BD44E4" w:rsidRPr="00FD383C">
        <w:rPr>
          <w:rFonts w:cs="Times New Roman"/>
        </w:rPr>
        <w:t xml:space="preserve"> enzyme are more </w:t>
      </w:r>
      <w:r w:rsidR="002E5166" w:rsidRPr="00FD383C">
        <w:rPr>
          <w:rFonts w:cs="Times New Roman"/>
        </w:rPr>
        <w:t>pronounced</w:t>
      </w:r>
      <w:r w:rsidR="00BD44E4" w:rsidRPr="00FD383C">
        <w:rPr>
          <w:rFonts w:cs="Times New Roman"/>
        </w:rPr>
        <w:t xml:space="preserve">, at the 6th and 24th hours, at hypoxia increased 14.91 and </w:t>
      </w:r>
      <w:proofErr w:type="gramStart"/>
      <w:r w:rsidR="00BD44E4" w:rsidRPr="00FD383C">
        <w:rPr>
          <w:rFonts w:cs="Times New Roman"/>
        </w:rPr>
        <w:t>56.5</w:t>
      </w:r>
      <w:proofErr w:type="gramEnd"/>
      <w:r w:rsidR="00BD44E4" w:rsidRPr="00FD383C">
        <w:rPr>
          <w:rFonts w:cs="Times New Roman"/>
        </w:rPr>
        <w:t xml:space="preserve"> times compared to normoxia</w:t>
      </w:r>
      <w:r w:rsidR="002E5166" w:rsidRPr="00FD383C">
        <w:rPr>
          <w:rFonts w:cs="Times New Roman"/>
        </w:rPr>
        <w:t xml:space="preserve"> in the 15 mM glucose environment,</w:t>
      </w:r>
      <w:r w:rsidR="00BD44E4" w:rsidRPr="00FD383C">
        <w:rPr>
          <w:rFonts w:cs="Times New Roman"/>
        </w:rPr>
        <w:t xml:space="preserve"> respectively. </w:t>
      </w:r>
      <w:r w:rsidR="00BD44E4" w:rsidRPr="00FD383C">
        <w:rPr>
          <w:szCs w:val="24"/>
        </w:rPr>
        <w:t xml:space="preserve">(p&lt;0,001). This indicates that glycolytic flux </w:t>
      </w:r>
      <w:r w:rsidR="00FD383C" w:rsidRPr="00FD383C">
        <w:rPr>
          <w:szCs w:val="24"/>
        </w:rPr>
        <w:t>is</w:t>
      </w:r>
      <w:r w:rsidR="00BD44E4" w:rsidRPr="00FD383C">
        <w:rPr>
          <w:szCs w:val="24"/>
        </w:rPr>
        <w:t xml:space="preserve"> induced by hypoxia in during the incubation</w:t>
      </w:r>
      <w:r w:rsidR="00BD44E4" w:rsidRPr="00BD44E4">
        <w:rPr>
          <w:szCs w:val="24"/>
        </w:rPr>
        <w:t xml:space="preserve"> times</w:t>
      </w:r>
      <w:r w:rsidR="00DA615F">
        <w:rPr>
          <w:szCs w:val="24"/>
        </w:rPr>
        <w:t xml:space="preserve"> </w:t>
      </w:r>
      <w:r w:rsidR="00DA615F" w:rsidRPr="00DA615F">
        <w:rPr>
          <w:szCs w:val="24"/>
        </w:rPr>
        <w:t>mentioned above</w:t>
      </w:r>
      <w:r w:rsidR="00BD44E4" w:rsidRPr="00BD44E4">
        <w:rPr>
          <w:szCs w:val="24"/>
        </w:rPr>
        <w:t>.</w:t>
      </w:r>
      <w:r w:rsidR="00BD44E4">
        <w:rPr>
          <w:szCs w:val="24"/>
        </w:rPr>
        <w:t xml:space="preserve"> </w:t>
      </w:r>
      <w:r w:rsidR="00BD44E4" w:rsidRPr="00BD44E4">
        <w:rPr>
          <w:szCs w:val="24"/>
        </w:rPr>
        <w:t>The amounts of glycolytic enzymes obtained at different levels proved that the cells have different potential capacities and changing mechanisms in adapting to oxygen tension.</w:t>
      </w:r>
      <w:r w:rsidR="00BD44E4">
        <w:rPr>
          <w:szCs w:val="24"/>
        </w:rPr>
        <w:t xml:space="preserve"> </w:t>
      </w:r>
      <w:r w:rsidR="00BD44E4" w:rsidRPr="00BD44E4">
        <w:rPr>
          <w:szCs w:val="24"/>
        </w:rPr>
        <w:t xml:space="preserve">This study showed that there was a significant interaction between hypoxia and glycolytic </w:t>
      </w:r>
      <w:proofErr w:type="gramStart"/>
      <w:r w:rsidR="00BD44E4" w:rsidRPr="00BD44E4">
        <w:rPr>
          <w:szCs w:val="24"/>
        </w:rPr>
        <w:t>profile</w:t>
      </w:r>
      <w:proofErr w:type="gramEnd"/>
      <w:r w:rsidR="00BD44E4" w:rsidRPr="00BD44E4">
        <w:rPr>
          <w:szCs w:val="24"/>
        </w:rPr>
        <w:t xml:space="preserve"> in general, and it was concluded that the metabolic processes activated by hypoxia would make a significant contribution to the literature by offering therapeutic targeting potential.</w:t>
      </w:r>
    </w:p>
    <w:p w:rsidR="00084DC7" w:rsidRDefault="00084DC7" w:rsidP="00084DC7">
      <w:pPr>
        <w:ind w:firstLine="0"/>
        <w:rPr>
          <w:szCs w:val="24"/>
        </w:rPr>
      </w:pPr>
    </w:p>
    <w:p w:rsidR="00C11158" w:rsidRDefault="00BD44E4" w:rsidP="00DF22F0">
      <w:pPr>
        <w:ind w:firstLine="0"/>
      </w:pPr>
      <w:r w:rsidRPr="00BD44E4">
        <w:rPr>
          <w:b/>
        </w:rPr>
        <w:t>Keywords:</w:t>
      </w:r>
      <w:r w:rsidRPr="00BD44E4">
        <w:t xml:space="preserve"> </w:t>
      </w:r>
      <w:r w:rsidR="00061FB6">
        <w:t>Breast cancer, e</w:t>
      </w:r>
      <w:r w:rsidR="00B5793F" w:rsidRPr="00BD44E4">
        <w:t>nzyme</w:t>
      </w:r>
      <w:r w:rsidR="00B5793F">
        <w:t>,</w:t>
      </w:r>
      <w:r w:rsidR="00B5793F" w:rsidRPr="00BD44E4">
        <w:t xml:space="preserve"> </w:t>
      </w:r>
      <w:r w:rsidRPr="00BD44E4">
        <w:t>glucose</w:t>
      </w:r>
      <w:r w:rsidR="00B5793F">
        <w:t>,</w:t>
      </w:r>
      <w:r w:rsidR="00B5793F" w:rsidRPr="00B5793F">
        <w:t xml:space="preserve"> </w:t>
      </w:r>
      <w:r w:rsidR="00B5793F">
        <w:t>h</w:t>
      </w:r>
      <w:r w:rsidR="00B5793F" w:rsidRPr="00BD44E4">
        <w:t>ypoxia</w:t>
      </w:r>
      <w:r w:rsidR="00061FB6">
        <w:t>, oxygen</w:t>
      </w:r>
      <w:r w:rsidR="00B5793F">
        <w:t>.</w:t>
      </w:r>
    </w:p>
    <w:p w:rsidR="003136D5" w:rsidRDefault="003136D5" w:rsidP="00061FB6">
      <w:pPr>
        <w:ind w:firstLine="0"/>
        <w:rPr>
          <w:b/>
          <w:sz w:val="28"/>
        </w:rPr>
        <w:sectPr w:rsidR="003136D5" w:rsidSect="00645DCD">
          <w:footerReference w:type="default" r:id="rId11"/>
          <w:pgSz w:w="11906" w:h="16838"/>
          <w:pgMar w:top="1418" w:right="1134" w:bottom="1418" w:left="1701" w:header="709" w:footer="709" w:gutter="0"/>
          <w:pgNumType w:fmt="lowerRoman" w:start="1"/>
          <w:cols w:space="708"/>
          <w:docGrid w:linePitch="360"/>
        </w:sectPr>
      </w:pPr>
    </w:p>
    <w:p w:rsidR="00291BE2" w:rsidRPr="00DF22F0" w:rsidRDefault="00BB3BE3" w:rsidP="00DF22F0">
      <w:pPr>
        <w:ind w:firstLine="0"/>
        <w:jc w:val="center"/>
        <w:rPr>
          <w:b/>
          <w:sz w:val="28"/>
        </w:rPr>
      </w:pPr>
      <w:r w:rsidRPr="00DF22F0">
        <w:rPr>
          <w:b/>
          <w:sz w:val="28"/>
        </w:rPr>
        <w:lastRenderedPageBreak/>
        <w:t>1. GİRİŞ</w:t>
      </w:r>
      <w:bookmarkEnd w:id="21"/>
    </w:p>
    <w:p w:rsidR="00BB3BE3" w:rsidRDefault="00BB3BE3" w:rsidP="009E54D6"/>
    <w:p w:rsidR="00BB3BE3" w:rsidRDefault="00BB3BE3" w:rsidP="009E54D6"/>
    <w:p w:rsidR="00276E20" w:rsidRDefault="00E3487D" w:rsidP="00276E20">
      <w:pPr>
        <w:autoSpaceDE w:val="0"/>
        <w:autoSpaceDN w:val="0"/>
        <w:adjustRightInd w:val="0"/>
        <w:rPr>
          <w:rFonts w:cs="Times New Roman"/>
        </w:rPr>
      </w:pPr>
      <w:r>
        <w:rPr>
          <w:rFonts w:cs="Times New Roman"/>
          <w:szCs w:val="24"/>
        </w:rPr>
        <w:tab/>
      </w:r>
      <w:r w:rsidR="00276E20" w:rsidRPr="00DE241D">
        <w:rPr>
          <w:rFonts w:cs="Times New Roman"/>
        </w:rPr>
        <w:t>Kanser, potansiyel olarak vücudun tüm</w:t>
      </w:r>
      <w:r w:rsidR="00276E20">
        <w:rPr>
          <w:rFonts w:cs="Times New Roman"/>
        </w:rPr>
        <w:t xml:space="preserve"> bölgelerine istila eden</w:t>
      </w:r>
      <w:r w:rsidR="00276E20" w:rsidRPr="00DE241D">
        <w:rPr>
          <w:rFonts w:cs="Times New Roman"/>
        </w:rPr>
        <w:t xml:space="preserve"> ve ölümcül sonuçlar doğurabilen kontrolsüz büyüme gösteren hücrelerin oluşturduğu</w:t>
      </w:r>
      <w:r w:rsidR="00276E20">
        <w:rPr>
          <w:rFonts w:cs="Times New Roman"/>
        </w:rPr>
        <w:t xml:space="preserve"> </w:t>
      </w:r>
      <w:proofErr w:type="gramStart"/>
      <w:r w:rsidR="00276E20">
        <w:rPr>
          <w:rFonts w:cs="Times New Roman"/>
        </w:rPr>
        <w:t>komplike</w:t>
      </w:r>
      <w:proofErr w:type="gramEnd"/>
      <w:r w:rsidR="00276E20">
        <w:rPr>
          <w:rFonts w:cs="Times New Roman"/>
        </w:rPr>
        <w:t xml:space="preserve"> bir hastalık türüdür. </w:t>
      </w:r>
      <w:r w:rsidR="00276E20" w:rsidRPr="00DE241D">
        <w:rPr>
          <w:rFonts w:cs="Times New Roman"/>
        </w:rPr>
        <w:t xml:space="preserve">Dünya çapında </w:t>
      </w:r>
      <w:r w:rsidR="00276E20">
        <w:rPr>
          <w:rFonts w:cs="Times New Roman"/>
        </w:rPr>
        <w:t>oldukça</w:t>
      </w:r>
      <w:r w:rsidR="00276E20" w:rsidRPr="00DE241D">
        <w:rPr>
          <w:rFonts w:cs="Times New Roman"/>
        </w:rPr>
        <w:t xml:space="preserve"> yaygın </w:t>
      </w:r>
      <w:r w:rsidR="00276E20">
        <w:rPr>
          <w:rFonts w:cs="Times New Roman"/>
        </w:rPr>
        <w:t>görülen bu hastalık,</w:t>
      </w:r>
      <w:r w:rsidR="00276E20" w:rsidRPr="00DE241D">
        <w:rPr>
          <w:rFonts w:cs="Times New Roman"/>
        </w:rPr>
        <w:t xml:space="preserve"> bilim camiasının araştırmalarında önemli bir odak noktası haline gelmiştir. </w:t>
      </w:r>
      <w:r w:rsidR="00276E20" w:rsidRPr="00736B28">
        <w:rPr>
          <w:rFonts w:eastAsia="Times New Roman" w:cs="Times New Roman"/>
          <w:bCs/>
          <w:color w:val="000000"/>
          <w:kern w:val="36"/>
          <w:szCs w:val="24"/>
          <w:lang w:eastAsia="tr-TR"/>
        </w:rPr>
        <w:t>Kanser hücrelerinin metabolizması normal hücrelerinkinden farklıdır, bu da yüksek bir proliferasyon oranını sürdürmelerine ve apoptoz sinyal</w:t>
      </w:r>
      <w:r w:rsidR="00276E20">
        <w:rPr>
          <w:rFonts w:eastAsia="Times New Roman" w:cs="Times New Roman"/>
          <w:bCs/>
          <w:color w:val="000000"/>
          <w:kern w:val="36"/>
          <w:szCs w:val="24"/>
          <w:lang w:eastAsia="tr-TR"/>
        </w:rPr>
        <w:t>lerine direnmelerine izin verir</w:t>
      </w:r>
      <w:r w:rsidR="00276E20" w:rsidRPr="00736B28">
        <w:rPr>
          <w:rFonts w:eastAsia="Times New Roman" w:cs="Times New Roman"/>
          <w:bCs/>
          <w:color w:val="000000"/>
          <w:kern w:val="36"/>
          <w:szCs w:val="24"/>
          <w:lang w:eastAsia="tr-TR"/>
        </w:rPr>
        <w:t xml:space="preserve"> (</w:t>
      </w:r>
      <w:r w:rsidR="00276E20">
        <w:rPr>
          <w:rFonts w:eastAsia="Times New Roman" w:cs="Times New Roman"/>
          <w:bCs/>
          <w:color w:val="000000"/>
          <w:kern w:val="36"/>
          <w:szCs w:val="24"/>
          <w:lang w:eastAsia="tr-TR"/>
        </w:rPr>
        <w:t>Liu ve ark, 2001</w:t>
      </w:r>
      <w:r w:rsidR="00276E20" w:rsidRPr="00E12812">
        <w:rPr>
          <w:rFonts w:eastAsia="Times New Roman" w:cs="Times New Roman"/>
          <w:bCs/>
          <w:color w:val="000000"/>
          <w:kern w:val="36"/>
          <w:szCs w:val="24"/>
          <w:lang w:eastAsia="tr-TR"/>
        </w:rPr>
        <w:t xml:space="preserve">). </w:t>
      </w:r>
      <w:r w:rsidR="00276E20" w:rsidRPr="00E12812">
        <w:rPr>
          <w:rFonts w:cs="Times New Roman"/>
        </w:rPr>
        <w:t>Kanser araştırmalarında tespit edilen ortak bir özellik, bu hücrelerin yüksek oranda aerob</w:t>
      </w:r>
      <w:r w:rsidR="006F4696">
        <w:rPr>
          <w:rFonts w:cs="Times New Roman"/>
        </w:rPr>
        <w:t>ik glikolizi tercih etmeleridir</w:t>
      </w:r>
      <w:r w:rsidR="00276E20" w:rsidRPr="00E12812">
        <w:rPr>
          <w:rFonts w:cs="Times New Roman"/>
        </w:rPr>
        <w:t xml:space="preserve"> (Semenza ve</w:t>
      </w:r>
      <w:r w:rsidR="00276E20">
        <w:rPr>
          <w:rFonts w:cs="Times New Roman"/>
        </w:rPr>
        <w:t xml:space="preserve"> ark, 2001</w:t>
      </w:r>
      <w:r w:rsidR="00276E20" w:rsidRPr="00E23913">
        <w:rPr>
          <w:rFonts w:cs="Times New Roman"/>
        </w:rPr>
        <w:t>).</w:t>
      </w:r>
      <w:r w:rsidR="00276E20">
        <w:rPr>
          <w:rFonts w:cs="Times New Roman"/>
        </w:rPr>
        <w:t xml:space="preserve"> </w:t>
      </w:r>
      <w:r w:rsidR="00276E20" w:rsidRPr="00F3785F">
        <w:rPr>
          <w:rFonts w:eastAsia="Times New Roman" w:cs="Times New Roman"/>
          <w:bCs/>
          <w:color w:val="000000"/>
          <w:kern w:val="36"/>
          <w:szCs w:val="24"/>
          <w:lang w:eastAsia="tr-TR"/>
        </w:rPr>
        <w:t xml:space="preserve">Otto </w:t>
      </w:r>
      <w:r w:rsidR="00276E20">
        <w:rPr>
          <w:rFonts w:eastAsia="Times New Roman" w:cs="Times New Roman"/>
          <w:bCs/>
          <w:color w:val="000000"/>
          <w:kern w:val="36"/>
          <w:szCs w:val="24"/>
          <w:lang w:eastAsia="tr-TR"/>
        </w:rPr>
        <w:t>Warburg, kanserli hücrelerin glu</w:t>
      </w:r>
      <w:r w:rsidR="00276E20" w:rsidRPr="00F3785F">
        <w:rPr>
          <w:rFonts w:eastAsia="Times New Roman" w:cs="Times New Roman"/>
          <w:bCs/>
          <w:color w:val="000000"/>
          <w:kern w:val="36"/>
          <w:szCs w:val="24"/>
          <w:lang w:eastAsia="tr-TR"/>
        </w:rPr>
        <w:t>kozu farklı şekil</w:t>
      </w:r>
      <w:r w:rsidR="00276E20">
        <w:rPr>
          <w:rFonts w:eastAsia="Times New Roman" w:cs="Times New Roman"/>
          <w:bCs/>
          <w:color w:val="000000"/>
          <w:kern w:val="36"/>
          <w:szCs w:val="24"/>
          <w:lang w:eastAsia="tr-TR"/>
        </w:rPr>
        <w:t>ler</w:t>
      </w:r>
      <w:r w:rsidR="00276E20" w:rsidRPr="00F3785F">
        <w:rPr>
          <w:rFonts w:eastAsia="Times New Roman" w:cs="Times New Roman"/>
          <w:bCs/>
          <w:color w:val="000000"/>
          <w:kern w:val="36"/>
          <w:szCs w:val="24"/>
          <w:lang w:eastAsia="tr-TR"/>
        </w:rPr>
        <w:t>de met</w:t>
      </w:r>
      <w:r w:rsidR="00276E20">
        <w:rPr>
          <w:rFonts w:eastAsia="Times New Roman" w:cs="Times New Roman"/>
          <w:bCs/>
          <w:color w:val="000000"/>
          <w:kern w:val="36"/>
          <w:szCs w:val="24"/>
          <w:lang w:eastAsia="tr-TR"/>
        </w:rPr>
        <w:t xml:space="preserve">abolize ettiğini fark etmiş ve </w:t>
      </w:r>
      <w:r w:rsidR="00276E20" w:rsidRPr="00F3785F">
        <w:rPr>
          <w:rFonts w:eastAsia="Times New Roman" w:cs="Times New Roman"/>
          <w:bCs/>
          <w:color w:val="000000"/>
          <w:kern w:val="36"/>
          <w:szCs w:val="24"/>
          <w:lang w:eastAsia="tr-TR"/>
        </w:rPr>
        <w:t xml:space="preserve">özellikle, hücrelerin glukoz alımında artış </w:t>
      </w:r>
      <w:r w:rsidR="00276E20">
        <w:rPr>
          <w:rFonts w:eastAsia="Times New Roman" w:cs="Times New Roman"/>
          <w:bCs/>
          <w:color w:val="000000"/>
          <w:kern w:val="36"/>
          <w:szCs w:val="24"/>
          <w:lang w:eastAsia="tr-TR"/>
        </w:rPr>
        <w:t xml:space="preserve">olduğunu </w:t>
      </w:r>
      <w:r w:rsidR="00276E20" w:rsidRPr="00F3785F">
        <w:rPr>
          <w:rFonts w:eastAsia="Times New Roman" w:cs="Times New Roman"/>
          <w:bCs/>
          <w:color w:val="000000"/>
          <w:kern w:val="36"/>
          <w:szCs w:val="24"/>
          <w:lang w:eastAsia="tr-TR"/>
        </w:rPr>
        <w:t xml:space="preserve">ve daha yüksek bir laktat </w:t>
      </w:r>
      <w:r w:rsidR="00276E20">
        <w:rPr>
          <w:rFonts w:eastAsia="Times New Roman" w:cs="Times New Roman"/>
          <w:bCs/>
          <w:color w:val="000000"/>
          <w:kern w:val="36"/>
          <w:szCs w:val="24"/>
          <w:lang w:eastAsia="tr-TR"/>
        </w:rPr>
        <w:t>üretimi gerçekleştirdiklerini</w:t>
      </w:r>
      <w:r w:rsidR="00276E20" w:rsidRPr="00F3785F">
        <w:rPr>
          <w:rFonts w:eastAsia="Times New Roman" w:cs="Times New Roman"/>
          <w:bCs/>
          <w:color w:val="000000"/>
          <w:kern w:val="36"/>
          <w:szCs w:val="24"/>
          <w:lang w:eastAsia="tr-TR"/>
        </w:rPr>
        <w:t xml:space="preserve"> gözlemlemiştir. Sonuç olarak, kanser hücrelerinin geleneksel oksidatif fosforilasyon hücresel mekanizması yerine enerji üretimi için glikoliz</w:t>
      </w:r>
      <w:r w:rsidR="00276E20">
        <w:rPr>
          <w:rFonts w:eastAsia="Times New Roman" w:cs="Times New Roman"/>
          <w:bCs/>
          <w:color w:val="000000"/>
          <w:kern w:val="36"/>
          <w:szCs w:val="24"/>
          <w:lang w:eastAsia="tr-TR"/>
        </w:rPr>
        <w:t>is</w:t>
      </w:r>
      <w:r w:rsidR="00276E20" w:rsidRPr="00F3785F">
        <w:rPr>
          <w:rFonts w:eastAsia="Times New Roman" w:cs="Times New Roman"/>
          <w:bCs/>
          <w:color w:val="000000"/>
          <w:kern w:val="36"/>
          <w:szCs w:val="24"/>
          <w:lang w:eastAsia="tr-TR"/>
        </w:rPr>
        <w:t xml:space="preserve">e yöneldiği ve bunu aerobik koşullarda dahi </w:t>
      </w:r>
      <w:r w:rsidR="00276E20" w:rsidRPr="00F3785F">
        <w:rPr>
          <w:rFonts w:cs="Times New Roman"/>
          <w:szCs w:val="24"/>
        </w:rPr>
        <w:t>yaptığı</w:t>
      </w:r>
      <w:r w:rsidR="00276E20">
        <w:rPr>
          <w:rFonts w:cs="Times New Roman"/>
          <w:szCs w:val="24"/>
        </w:rPr>
        <w:t xml:space="preserve"> sonucuna </w:t>
      </w:r>
      <w:r w:rsidR="00276E20" w:rsidRPr="00F3785F">
        <w:rPr>
          <w:rFonts w:cs="Times New Roman"/>
        </w:rPr>
        <w:t xml:space="preserve">varmıştır (Warburg </w:t>
      </w:r>
      <w:r w:rsidR="00276E20">
        <w:rPr>
          <w:rFonts w:cs="Times New Roman"/>
        </w:rPr>
        <w:t>ve ark, 1927</w:t>
      </w:r>
      <w:r w:rsidR="00276E20" w:rsidRPr="00F3785F">
        <w:rPr>
          <w:rFonts w:cs="Times New Roman"/>
        </w:rPr>
        <w:t xml:space="preserve">; Warburg, 1956). </w:t>
      </w:r>
      <w:r w:rsidR="00276E20" w:rsidRPr="00D46F1B">
        <w:rPr>
          <w:rFonts w:cs="Times New Roman"/>
        </w:rPr>
        <w:t xml:space="preserve">Aerobik glikolizis ile tümör mikroçevresinde laktik asit </w:t>
      </w:r>
      <w:proofErr w:type="gramStart"/>
      <w:r w:rsidR="00276E20" w:rsidRPr="00D46F1B">
        <w:rPr>
          <w:rFonts w:cs="Times New Roman"/>
        </w:rPr>
        <w:t>konsantrasyonundaki</w:t>
      </w:r>
      <w:proofErr w:type="gramEnd"/>
      <w:r w:rsidR="00276E20">
        <w:rPr>
          <w:rFonts w:cs="Times New Roman"/>
        </w:rPr>
        <w:t xml:space="preserve"> artışa bağlı olarak asidik bir </w:t>
      </w:r>
      <w:r w:rsidR="00276E20" w:rsidRPr="00D46F1B">
        <w:rPr>
          <w:rFonts w:cs="Times New Roman"/>
        </w:rPr>
        <w:t>ortam oluşur, bunun da tümör invazyonunu kolaylaştırdığı, immun efektör mekanizmaları baskıladığ</w:t>
      </w:r>
      <w:r w:rsidR="00276E20">
        <w:rPr>
          <w:rFonts w:cs="Times New Roman"/>
        </w:rPr>
        <w:t xml:space="preserve">ı düşünülmektedir. Ayrıca tümör </w:t>
      </w:r>
      <w:r w:rsidR="00276E20" w:rsidRPr="00D46F1B">
        <w:rPr>
          <w:rFonts w:cs="Times New Roman"/>
        </w:rPr>
        <w:t xml:space="preserve">hücreleri tarafından üretilen laktik asit, </w:t>
      </w:r>
      <w:r w:rsidR="00276E20">
        <w:rPr>
          <w:rFonts w:cs="Times New Roman"/>
        </w:rPr>
        <w:t>bu hücrelerin</w:t>
      </w:r>
      <w:r w:rsidR="00276E20" w:rsidRPr="00D46F1B">
        <w:rPr>
          <w:rFonts w:cs="Times New Roman"/>
        </w:rPr>
        <w:t xml:space="preserve"> etrafındaki normal hücreler tarafından p</w:t>
      </w:r>
      <w:r w:rsidR="00276E20">
        <w:rPr>
          <w:rFonts w:cs="Times New Roman"/>
        </w:rPr>
        <w:t>iruvata dönüştürülür ve tümör enerji metabolizmasında tekrar kullanılır (</w:t>
      </w:r>
      <w:r w:rsidR="00276E20" w:rsidRPr="00D46F1B">
        <w:rPr>
          <w:rFonts w:cs="Times New Roman"/>
        </w:rPr>
        <w:t>Kroemer ve</w:t>
      </w:r>
      <w:r w:rsidR="00276E20">
        <w:rPr>
          <w:rFonts w:cs="Times New Roman"/>
        </w:rPr>
        <w:t xml:space="preserve"> Pouyssegur 2008). Glikoliz, birçok metabolik yolla bağlantı halindedir. Bunlardan biri de </w:t>
      </w:r>
      <w:r w:rsidR="008B21CE">
        <w:rPr>
          <w:rFonts w:cs="Times New Roman"/>
        </w:rPr>
        <w:t>pentoz fosfat yolağı (</w:t>
      </w:r>
      <w:r w:rsidR="00363CCE">
        <w:rPr>
          <w:rFonts w:cs="Times New Roman"/>
        </w:rPr>
        <w:t>PPP</w:t>
      </w:r>
      <w:r w:rsidR="008B21CE">
        <w:rPr>
          <w:rFonts w:cs="Times New Roman"/>
        </w:rPr>
        <w:t>)</w:t>
      </w:r>
      <w:r w:rsidR="00363CCE">
        <w:rPr>
          <w:rFonts w:cs="Times New Roman"/>
        </w:rPr>
        <w:t>’</w:t>
      </w:r>
      <w:proofErr w:type="gramStart"/>
      <w:r w:rsidR="00276E20">
        <w:rPr>
          <w:rFonts w:cs="Times New Roman"/>
        </w:rPr>
        <w:t>dır</w:t>
      </w:r>
      <w:proofErr w:type="gramEnd"/>
      <w:r w:rsidR="00276E20">
        <w:rPr>
          <w:rFonts w:cs="Times New Roman"/>
        </w:rPr>
        <w:t xml:space="preserve">. </w:t>
      </w:r>
      <w:r w:rsidR="00276E20" w:rsidRPr="00D46F1B">
        <w:rPr>
          <w:rFonts w:cs="Times New Roman"/>
        </w:rPr>
        <w:t>Kanser hü</w:t>
      </w:r>
      <w:r w:rsidR="00276E20">
        <w:rPr>
          <w:rFonts w:cs="Times New Roman"/>
        </w:rPr>
        <w:t xml:space="preserve">cresi, glukozun aerobik glikoliz </w:t>
      </w:r>
      <w:r w:rsidR="00276E20" w:rsidRPr="00D46F1B">
        <w:rPr>
          <w:rFonts w:cs="Times New Roman"/>
        </w:rPr>
        <w:t xml:space="preserve">dışında </w:t>
      </w:r>
      <w:r w:rsidR="00276E20">
        <w:rPr>
          <w:rFonts w:cs="Times New Roman"/>
        </w:rPr>
        <w:t xml:space="preserve">PPP </w:t>
      </w:r>
      <w:r w:rsidR="00276E20" w:rsidRPr="00D46F1B">
        <w:rPr>
          <w:rFonts w:cs="Times New Roman"/>
        </w:rPr>
        <w:t xml:space="preserve">ile </w:t>
      </w:r>
      <w:r w:rsidR="00276E20">
        <w:rPr>
          <w:rFonts w:cs="Times New Roman"/>
        </w:rPr>
        <w:t xml:space="preserve">de </w:t>
      </w:r>
      <w:r w:rsidR="00276E20" w:rsidRPr="00D46F1B">
        <w:rPr>
          <w:rFonts w:cs="Times New Roman"/>
        </w:rPr>
        <w:t>metabolize ed</w:t>
      </w:r>
      <w:r w:rsidR="00276E20">
        <w:rPr>
          <w:rFonts w:cs="Times New Roman"/>
        </w:rPr>
        <w:t>ilmesini sağlayarak, çoğalmaları ve gelişimleri adına elzem olan nükle</w:t>
      </w:r>
      <w:r w:rsidR="00276E20" w:rsidRPr="00D46F1B">
        <w:rPr>
          <w:rFonts w:cs="Times New Roman"/>
        </w:rPr>
        <w:t>otidler, lipidler ve aminoasitlerin biyosent</w:t>
      </w:r>
      <w:r w:rsidR="00276E20">
        <w:rPr>
          <w:rFonts w:cs="Times New Roman"/>
        </w:rPr>
        <w:t xml:space="preserve">ezi için gerekli öncül metabolitlerin </w:t>
      </w:r>
      <w:r w:rsidR="00276E20" w:rsidRPr="00D46F1B">
        <w:rPr>
          <w:rFonts w:cs="Times New Roman"/>
        </w:rPr>
        <w:t xml:space="preserve">oluşumunu sağlar. </w:t>
      </w:r>
      <w:r w:rsidR="00276E20">
        <w:rPr>
          <w:rFonts w:cs="Times New Roman"/>
        </w:rPr>
        <w:t>PPP</w:t>
      </w:r>
      <w:r w:rsidR="00276E20" w:rsidRPr="00D46F1B">
        <w:rPr>
          <w:rFonts w:cs="Times New Roman"/>
        </w:rPr>
        <w:t xml:space="preserve"> </w:t>
      </w:r>
      <w:r w:rsidR="00276E20">
        <w:rPr>
          <w:rFonts w:cs="Times New Roman"/>
        </w:rPr>
        <w:t xml:space="preserve">ile </w:t>
      </w:r>
      <w:r w:rsidR="00276E20" w:rsidRPr="00D46F1B">
        <w:rPr>
          <w:rFonts w:cs="Times New Roman"/>
        </w:rPr>
        <w:t>aynı zamanda kemoterapotiklere ve serbest radikallerin ok</w:t>
      </w:r>
      <w:r w:rsidR="00276E20">
        <w:rPr>
          <w:rFonts w:cs="Times New Roman"/>
        </w:rPr>
        <w:t xml:space="preserve">sidatif etkilerine karşı koruyucu bir </w:t>
      </w:r>
      <w:r w:rsidR="00276E20" w:rsidRPr="00D46F1B">
        <w:rPr>
          <w:rFonts w:cs="Times New Roman"/>
        </w:rPr>
        <w:t>antioksidan olan NADPH</w:t>
      </w:r>
      <w:r w:rsidR="00276E20">
        <w:rPr>
          <w:rFonts w:cs="Times New Roman"/>
        </w:rPr>
        <w:t>’ın sentezi de sağlanır (</w:t>
      </w:r>
      <w:proofErr w:type="gramStart"/>
      <w:r w:rsidR="00276E20">
        <w:rPr>
          <w:rFonts w:cs="Times New Roman"/>
        </w:rPr>
        <w:t>Patra</w:t>
      </w:r>
      <w:proofErr w:type="gramEnd"/>
      <w:r w:rsidR="00276E20">
        <w:rPr>
          <w:rFonts w:cs="Times New Roman"/>
        </w:rPr>
        <w:t xml:space="preserve"> ve Hay, 2014).</w:t>
      </w:r>
    </w:p>
    <w:p w:rsidR="00276E20" w:rsidRDefault="00276E20" w:rsidP="00276E20">
      <w:pPr>
        <w:autoSpaceDE w:val="0"/>
        <w:autoSpaceDN w:val="0"/>
        <w:adjustRightInd w:val="0"/>
        <w:rPr>
          <w:rFonts w:cs="Times New Roman"/>
        </w:rPr>
      </w:pPr>
      <w:r w:rsidRPr="000E2051">
        <w:rPr>
          <w:rFonts w:cs="Times New Roman"/>
        </w:rPr>
        <w:t xml:space="preserve">Oksijen yetersizliği olarak bilinen </w:t>
      </w:r>
      <w:r>
        <w:rPr>
          <w:rFonts w:cs="Times New Roman"/>
        </w:rPr>
        <w:t>h</w:t>
      </w:r>
      <w:r w:rsidRPr="00736B28">
        <w:rPr>
          <w:rFonts w:cs="Times New Roman"/>
          <w:szCs w:val="24"/>
        </w:rPr>
        <w:t xml:space="preserve">ipoksi, birçok </w:t>
      </w:r>
      <w:r>
        <w:rPr>
          <w:rFonts w:cs="Times New Roman"/>
          <w:szCs w:val="24"/>
        </w:rPr>
        <w:t>solid</w:t>
      </w:r>
      <w:r w:rsidRPr="00736B28">
        <w:rPr>
          <w:rFonts w:cs="Times New Roman"/>
          <w:szCs w:val="24"/>
        </w:rPr>
        <w:t xml:space="preserve"> kanse</w:t>
      </w:r>
      <w:r>
        <w:rPr>
          <w:rFonts w:cs="Times New Roman"/>
          <w:szCs w:val="24"/>
        </w:rPr>
        <w:t>rin bir başka ortak özelliğidir ve tümör mikroçevresinin anahtar karakteristiklerinden birisidir. Hipoksi,</w:t>
      </w:r>
      <w:r w:rsidRPr="00D46F1B">
        <w:rPr>
          <w:rFonts w:cs="Times New Roman"/>
          <w:szCs w:val="24"/>
        </w:rPr>
        <w:t xml:space="preserve"> proteom ve genomda çok yönlü değişikliklere neden olur.</w:t>
      </w:r>
      <w:r>
        <w:rPr>
          <w:rFonts w:cs="Times New Roman"/>
          <w:szCs w:val="24"/>
        </w:rPr>
        <w:t xml:space="preserve"> </w:t>
      </w:r>
      <w:r>
        <w:rPr>
          <w:rFonts w:cs="Times New Roman"/>
        </w:rPr>
        <w:t xml:space="preserve">Solid tümörlerde hipoksik bölgelerin gelişimi; malign fenotip, metastaz, kemo-, immüno- </w:t>
      </w:r>
      <w:proofErr w:type="gramStart"/>
      <w:r>
        <w:rPr>
          <w:rFonts w:cs="Times New Roman"/>
        </w:rPr>
        <w:t>radyoterapi</w:t>
      </w:r>
      <w:proofErr w:type="gramEnd"/>
      <w:r>
        <w:rPr>
          <w:rFonts w:cs="Times New Roman"/>
        </w:rPr>
        <w:t xml:space="preserve"> direnci, yüksek genetik instabilite ve apoptoz tole</w:t>
      </w:r>
      <w:r w:rsidR="00DE43AD">
        <w:rPr>
          <w:rFonts w:cs="Times New Roman"/>
        </w:rPr>
        <w:t xml:space="preserve">ransı ile ilişkilendirilmiştir </w:t>
      </w:r>
      <w:r>
        <w:rPr>
          <w:rFonts w:cs="Times New Roman"/>
        </w:rPr>
        <w:t>(Graeber ve ark, 1996; Bristow ve Hill, 2008)</w:t>
      </w:r>
      <w:r w:rsidRPr="00E12812">
        <w:rPr>
          <w:rFonts w:cs="Times New Roman"/>
        </w:rPr>
        <w:t>.</w:t>
      </w:r>
      <w:r>
        <w:rPr>
          <w:rFonts w:cs="Times New Roman"/>
        </w:rPr>
        <w:t xml:space="preserve"> </w:t>
      </w:r>
      <w:r w:rsidRPr="00EB61A7">
        <w:rPr>
          <w:rFonts w:cs="Times New Roman"/>
        </w:rPr>
        <w:t xml:space="preserve">Hipoksik koşullarda glukoz metabolizması değişime uğrar. </w:t>
      </w:r>
      <w:r>
        <w:rPr>
          <w:rFonts w:cs="Times New Roman"/>
        </w:rPr>
        <w:t>Hipoksik hücreler, glu</w:t>
      </w:r>
      <w:r w:rsidRPr="005B165A">
        <w:rPr>
          <w:rFonts w:cs="Times New Roman"/>
        </w:rPr>
        <w:t>koz alımını büyük ölçüde artırarak glikolitik metabolizmanın verimsizliğini telafi eder</w:t>
      </w:r>
      <w:r>
        <w:rPr>
          <w:rFonts w:cs="Times New Roman"/>
        </w:rPr>
        <w:t>ler</w:t>
      </w:r>
      <w:r w:rsidRPr="005B165A">
        <w:rPr>
          <w:rFonts w:cs="Times New Roman"/>
        </w:rPr>
        <w:t xml:space="preserve">, böylece </w:t>
      </w:r>
      <w:r w:rsidRPr="00EB61A7">
        <w:rPr>
          <w:rFonts w:cs="Times New Roman"/>
        </w:rPr>
        <w:lastRenderedPageBreak/>
        <w:t>hücrelerin hayatta kalmasını sağla</w:t>
      </w:r>
      <w:r>
        <w:rPr>
          <w:rFonts w:cs="Times New Roman"/>
        </w:rPr>
        <w:t>yıcı</w:t>
      </w:r>
      <w:r w:rsidRPr="00EB61A7">
        <w:rPr>
          <w:rFonts w:cs="Times New Roman"/>
        </w:rPr>
        <w:t xml:space="preserve"> g</w:t>
      </w:r>
      <w:r>
        <w:rPr>
          <w:rFonts w:cs="Times New Roman"/>
        </w:rPr>
        <w:t xml:space="preserve">likolitik akışı arttırırlar </w:t>
      </w:r>
      <w:r w:rsidRPr="00EB61A7">
        <w:rPr>
          <w:rFonts w:cs="Times New Roman"/>
        </w:rPr>
        <w:t xml:space="preserve">(Semenza, </w:t>
      </w:r>
      <w:r>
        <w:rPr>
          <w:rFonts w:cs="Times New Roman"/>
        </w:rPr>
        <w:t>2007</w:t>
      </w:r>
      <w:r w:rsidRPr="00EB61A7">
        <w:rPr>
          <w:rFonts w:cs="Times New Roman"/>
        </w:rPr>
        <w:t>).</w:t>
      </w:r>
      <w:r w:rsidRPr="00284178">
        <w:rPr>
          <w:rFonts w:cs="Times New Roman"/>
        </w:rPr>
        <w:t xml:space="preserve"> </w:t>
      </w:r>
      <w:r w:rsidRPr="00E12812">
        <w:rPr>
          <w:rFonts w:cs="Times New Roman"/>
        </w:rPr>
        <w:t xml:space="preserve">Glikolitik akışın kontrolü glikolizde yer alan kilit enzimler vesilesiyle gerçekleştirilir. Dolayısıyla bu reaksiyon dizisinde görev alan enzimlerin izlenmesi metabolik </w:t>
      </w:r>
      <w:proofErr w:type="gramStart"/>
      <w:r w:rsidRPr="00E12812">
        <w:rPr>
          <w:rFonts w:cs="Times New Roman"/>
        </w:rPr>
        <w:t>profili</w:t>
      </w:r>
      <w:proofErr w:type="gramEnd"/>
      <w:r w:rsidRPr="00E12812">
        <w:rPr>
          <w:rFonts w:cs="Times New Roman"/>
        </w:rPr>
        <w:t xml:space="preserve"> görebilmek adına önem taşımaktadır.</w:t>
      </w:r>
      <w:r w:rsidRPr="00E12812">
        <w:rPr>
          <w:rFonts w:cs="Times New Roman"/>
          <w:szCs w:val="24"/>
        </w:rPr>
        <w:t xml:space="preserve"> </w:t>
      </w:r>
      <w:r w:rsidRPr="00E12812">
        <w:rPr>
          <w:rFonts w:cs="Times New Roman"/>
        </w:rPr>
        <w:t>Çoğu tümör</w:t>
      </w:r>
      <w:r w:rsidRPr="00F3785F">
        <w:rPr>
          <w:rFonts w:cs="Times New Roman"/>
        </w:rPr>
        <w:t xml:space="preserve"> hücresinde glikolitik akı</w:t>
      </w:r>
      <w:r>
        <w:rPr>
          <w:rFonts w:cs="Times New Roman"/>
        </w:rPr>
        <w:t>ş</w:t>
      </w:r>
      <w:r w:rsidRPr="00F3785F">
        <w:rPr>
          <w:rFonts w:cs="Times New Roman"/>
        </w:rPr>
        <w:t>, bazı</w:t>
      </w:r>
      <w:r w:rsidRPr="00736B28">
        <w:rPr>
          <w:rFonts w:cs="Times New Roman"/>
          <w:szCs w:val="24"/>
        </w:rPr>
        <w:t xml:space="preserve"> onkogen</w:t>
      </w:r>
      <w:r>
        <w:rPr>
          <w:rFonts w:cs="Times New Roman"/>
          <w:szCs w:val="24"/>
        </w:rPr>
        <w:t>ler ve hipoksi indüklenebilir faktör-</w:t>
      </w:r>
      <w:r w:rsidRPr="00736B28">
        <w:rPr>
          <w:rFonts w:cs="Times New Roman"/>
          <w:szCs w:val="24"/>
        </w:rPr>
        <w:t>l</w:t>
      </w:r>
      <w:r>
        <w:rPr>
          <w:rFonts w:cs="Times New Roman"/>
          <w:szCs w:val="24"/>
        </w:rPr>
        <w:t>α</w:t>
      </w:r>
      <w:r w:rsidRPr="00736B28">
        <w:rPr>
          <w:rFonts w:cs="Times New Roman"/>
          <w:szCs w:val="24"/>
        </w:rPr>
        <w:t xml:space="preserve">'nın </w:t>
      </w:r>
      <w:r>
        <w:rPr>
          <w:rFonts w:cs="Times New Roman"/>
          <w:szCs w:val="24"/>
        </w:rPr>
        <w:t xml:space="preserve">(HIF1α) </w:t>
      </w:r>
      <w:r w:rsidRPr="00736B28">
        <w:rPr>
          <w:rFonts w:cs="Times New Roman"/>
          <w:szCs w:val="24"/>
        </w:rPr>
        <w:t>transkripsiyonel aktivasyonu ile indüklenen tüm glikolitik enzimlerin ve taşıyıcıların aşırı ekspresyonundan dolayı normal hücr</w:t>
      </w:r>
      <w:r>
        <w:rPr>
          <w:rFonts w:cs="Times New Roman"/>
          <w:szCs w:val="24"/>
        </w:rPr>
        <w:t>elerden 2-17 kat daha yüksek bulunmuştur (</w:t>
      </w:r>
      <w:r w:rsidRPr="000C693F">
        <w:rPr>
          <w:rFonts w:cs="Times New Roman"/>
        </w:rPr>
        <w:t xml:space="preserve">Marín-Hernández </w:t>
      </w:r>
      <w:r>
        <w:rPr>
          <w:rFonts w:cs="Times New Roman"/>
          <w:szCs w:val="24"/>
        </w:rPr>
        <w:t>ve ark, 2014). Birçok araştırma tümör glikoliz</w:t>
      </w:r>
      <w:r w:rsidR="00363CCE">
        <w:rPr>
          <w:rFonts w:cs="Times New Roman"/>
          <w:szCs w:val="24"/>
        </w:rPr>
        <w:t xml:space="preserve">i üzerine hipoksinin etkilerine </w:t>
      </w:r>
      <w:r>
        <w:rPr>
          <w:rFonts w:cs="Times New Roman"/>
          <w:szCs w:val="24"/>
        </w:rPr>
        <w:t xml:space="preserve">yoğunlaşmakla beraber kanser hücresi ortamında glukoz sınırlandırılması veya artışı ile hipoksinin sinerjik faaliyetlerinin incelendiği daha az sayıda çalışma mevcuttur. </w:t>
      </w:r>
    </w:p>
    <w:p w:rsidR="00276E20" w:rsidRDefault="00276E20" w:rsidP="00276E20">
      <w:pPr>
        <w:autoSpaceDE w:val="0"/>
        <w:autoSpaceDN w:val="0"/>
        <w:adjustRightInd w:val="0"/>
        <w:rPr>
          <w:rFonts w:cs="Times New Roman"/>
        </w:rPr>
      </w:pPr>
      <w:r>
        <w:rPr>
          <w:rFonts w:cs="Times New Roman"/>
        </w:rPr>
        <w:t>Yap</w:t>
      </w:r>
      <w:r w:rsidR="008B21CE">
        <w:rPr>
          <w:rFonts w:cs="Times New Roman"/>
        </w:rPr>
        <w:t>ılan</w:t>
      </w:r>
      <w:r>
        <w:rPr>
          <w:rFonts w:cs="Times New Roman"/>
        </w:rPr>
        <w:t xml:space="preserve"> araştırma,</w:t>
      </w:r>
      <w:r w:rsidRPr="00E23913">
        <w:rPr>
          <w:rFonts w:cs="Times New Roman"/>
        </w:rPr>
        <w:t xml:space="preserve"> </w:t>
      </w:r>
      <w:r>
        <w:rPr>
          <w:rFonts w:cs="Times New Roman"/>
        </w:rPr>
        <w:t xml:space="preserve">hipoksi ve glukoz metabolizması ilişkisine yönelik </w:t>
      </w:r>
      <w:r w:rsidRPr="00E23913">
        <w:rPr>
          <w:rFonts w:cs="Times New Roman"/>
        </w:rPr>
        <w:t xml:space="preserve">bir takım sorulara cevap bulmayı amaçlamıştır. Bu sorular şunlardır: Kanser hücreleri, oksijen </w:t>
      </w:r>
      <w:proofErr w:type="gramStart"/>
      <w:r w:rsidRPr="00E23913">
        <w:rPr>
          <w:rFonts w:cs="Times New Roman"/>
        </w:rPr>
        <w:t>konsantrasyonundaki</w:t>
      </w:r>
      <w:proofErr w:type="gramEnd"/>
      <w:r w:rsidRPr="00E23913">
        <w:rPr>
          <w:rFonts w:cs="Times New Roman"/>
        </w:rPr>
        <w:t xml:space="preserve"> değişikliklere metabolik düzeyde nasıl tepkiler verir? Warburg etkisi hücreleri ne düzeyde etkiler ve kanser hücrelerinin hipoksik koşullarda sağ kalım ve glikolitik yetenekleri hakkında daha fazla bilgi edinebilir miyiz? Eğer oksijen düzeylerine duyarlılık var ise bu durum enzim miktarlarına nasıl yansır? </w:t>
      </w:r>
      <w:r>
        <w:rPr>
          <w:rFonts w:cs="Times New Roman"/>
        </w:rPr>
        <w:t>Soruları</w:t>
      </w:r>
      <w:r w:rsidR="0091723E">
        <w:rPr>
          <w:rFonts w:cs="Times New Roman"/>
        </w:rPr>
        <w:t>n</w:t>
      </w:r>
      <w:r>
        <w:rPr>
          <w:rFonts w:cs="Times New Roman"/>
        </w:rPr>
        <w:t xml:space="preserve"> cevabını almak amacıyla </w:t>
      </w:r>
      <w:r w:rsidRPr="00E23913">
        <w:rPr>
          <w:rFonts w:cs="Times New Roman"/>
        </w:rPr>
        <w:t>hipoksinin ve normoksinin enzim düzeyinde kanser h</w:t>
      </w:r>
      <w:r>
        <w:rPr>
          <w:rFonts w:cs="Times New Roman"/>
        </w:rPr>
        <w:t>ücre hatları üzerindeki etkisi</w:t>
      </w:r>
      <w:r w:rsidRPr="00E23913">
        <w:rPr>
          <w:rFonts w:cs="Times New Roman"/>
        </w:rPr>
        <w:t xml:space="preserve"> araştır</w:t>
      </w:r>
      <w:r>
        <w:rPr>
          <w:rFonts w:cs="Times New Roman"/>
        </w:rPr>
        <w:t>ılmış</w:t>
      </w:r>
      <w:r w:rsidRPr="00E23913">
        <w:rPr>
          <w:rFonts w:cs="Times New Roman"/>
        </w:rPr>
        <w:t xml:space="preserve"> ve bu etkiyi karakterize etmek </w:t>
      </w:r>
      <w:r>
        <w:rPr>
          <w:rFonts w:cs="Times New Roman"/>
        </w:rPr>
        <w:t>adına</w:t>
      </w:r>
      <w:r w:rsidRPr="00E23913">
        <w:rPr>
          <w:rFonts w:cs="Times New Roman"/>
        </w:rPr>
        <w:t xml:space="preserve"> </w:t>
      </w:r>
      <w:r>
        <w:rPr>
          <w:rFonts w:cs="Times New Roman"/>
        </w:rPr>
        <w:t xml:space="preserve">belli </w:t>
      </w:r>
      <w:proofErr w:type="gramStart"/>
      <w:r>
        <w:rPr>
          <w:rFonts w:cs="Times New Roman"/>
        </w:rPr>
        <w:t>konsantrasyonlarda</w:t>
      </w:r>
      <w:proofErr w:type="gramEnd"/>
      <w:r>
        <w:rPr>
          <w:rFonts w:cs="Times New Roman"/>
        </w:rPr>
        <w:t xml:space="preserve"> glukoz ilave edilmiş </w:t>
      </w:r>
      <w:r w:rsidRPr="00E23913">
        <w:rPr>
          <w:rFonts w:cs="Times New Roman"/>
        </w:rPr>
        <w:t>MCF-7 hücre hattında</w:t>
      </w:r>
      <w:r>
        <w:rPr>
          <w:rFonts w:cs="Times New Roman"/>
        </w:rPr>
        <w:t>ki</w:t>
      </w:r>
      <w:r w:rsidRPr="00E23913">
        <w:rPr>
          <w:rFonts w:cs="Times New Roman"/>
        </w:rPr>
        <w:t xml:space="preserve"> glukoz tüketimleri ve laktat üretimleri ile k</w:t>
      </w:r>
      <w:r>
        <w:rPr>
          <w:rFonts w:cs="Times New Roman"/>
        </w:rPr>
        <w:t>arşılaştırılmıştır</w:t>
      </w:r>
      <w:r w:rsidRPr="00E23913">
        <w:rPr>
          <w:rFonts w:cs="Times New Roman"/>
        </w:rPr>
        <w:t xml:space="preserve">. Ayrıca glukozun </w:t>
      </w:r>
      <w:r>
        <w:rPr>
          <w:rFonts w:cs="Times New Roman"/>
        </w:rPr>
        <w:t xml:space="preserve">her iki ortamda da </w:t>
      </w:r>
      <w:r w:rsidRPr="00E23913">
        <w:rPr>
          <w:rFonts w:cs="Times New Roman"/>
        </w:rPr>
        <w:t>yara iyileşmesi yöntemi ile kanser hücreleri</w:t>
      </w:r>
      <w:r>
        <w:rPr>
          <w:rFonts w:cs="Times New Roman"/>
        </w:rPr>
        <w:t>nin</w:t>
      </w:r>
      <w:r w:rsidRPr="00E23913">
        <w:rPr>
          <w:rFonts w:cs="Times New Roman"/>
        </w:rPr>
        <w:t xml:space="preserve"> </w:t>
      </w:r>
      <w:r>
        <w:rPr>
          <w:rFonts w:cs="Times New Roman"/>
        </w:rPr>
        <w:t>göç potansiyeli</w:t>
      </w:r>
      <w:r w:rsidRPr="00E23913">
        <w:rPr>
          <w:rFonts w:cs="Times New Roman"/>
        </w:rPr>
        <w:t xml:space="preserve"> </w:t>
      </w:r>
      <w:r>
        <w:rPr>
          <w:rFonts w:cs="Times New Roman"/>
        </w:rPr>
        <w:t xml:space="preserve">üzerine olan etkisi ve </w:t>
      </w:r>
      <w:r w:rsidRPr="00E23913">
        <w:rPr>
          <w:rFonts w:cs="Times New Roman"/>
        </w:rPr>
        <w:t xml:space="preserve">hücre canlılıkları ile </w:t>
      </w:r>
      <w:r>
        <w:rPr>
          <w:rFonts w:cs="Times New Roman"/>
        </w:rPr>
        <w:t>olan ilişkisi incelenmiştir. Bu çalışma ile oksijen seviyeleri (normoksi/hipoksi) ve glukoz düzeylerinin glikolitik</w:t>
      </w:r>
      <w:r w:rsidR="0091723E">
        <w:rPr>
          <w:rFonts w:cs="Times New Roman"/>
        </w:rPr>
        <w:t xml:space="preserve"> metabolizmaya </w:t>
      </w:r>
      <w:proofErr w:type="gramStart"/>
      <w:r w:rsidR="0091723E">
        <w:rPr>
          <w:rFonts w:cs="Times New Roman"/>
        </w:rPr>
        <w:t>olan  etkilerinin</w:t>
      </w:r>
      <w:proofErr w:type="gramEnd"/>
      <w:r>
        <w:rPr>
          <w:rFonts w:cs="Times New Roman"/>
        </w:rPr>
        <w:t xml:space="preserve"> önemli kanser türlerinden biri olan </w:t>
      </w:r>
      <w:r w:rsidRPr="00EB61A7">
        <w:rPr>
          <w:rFonts w:cs="Times New Roman"/>
        </w:rPr>
        <w:t>meme kanseri</w:t>
      </w:r>
      <w:r w:rsidR="00F51CF3">
        <w:rPr>
          <w:rFonts w:cs="Times New Roman"/>
        </w:rPr>
        <w:t>ne</w:t>
      </w:r>
      <w:r w:rsidRPr="00EB61A7">
        <w:rPr>
          <w:rFonts w:cs="Times New Roman"/>
        </w:rPr>
        <w:t xml:space="preserve"> </w:t>
      </w:r>
      <w:r w:rsidR="00F51CF3">
        <w:rPr>
          <w:rFonts w:cs="Times New Roman"/>
        </w:rPr>
        <w:t>yönelik yapılan araştırmalarda</w:t>
      </w:r>
      <w:r>
        <w:rPr>
          <w:rFonts w:cs="Times New Roman"/>
        </w:rPr>
        <w:t xml:space="preserve"> </w:t>
      </w:r>
      <w:r w:rsidRPr="00EB61A7">
        <w:rPr>
          <w:rFonts w:cs="Times New Roman"/>
        </w:rPr>
        <w:t xml:space="preserve">etkili bir </w:t>
      </w:r>
      <w:r w:rsidR="004B5784">
        <w:rPr>
          <w:rFonts w:cs="Times New Roman"/>
        </w:rPr>
        <w:t xml:space="preserve">terapötik </w:t>
      </w:r>
      <w:r w:rsidRPr="00EB61A7">
        <w:rPr>
          <w:rFonts w:cs="Times New Roman"/>
        </w:rPr>
        <w:t xml:space="preserve">yaklaşım yolu </w:t>
      </w:r>
      <w:r>
        <w:rPr>
          <w:rFonts w:cs="Times New Roman"/>
        </w:rPr>
        <w:t>sunabilmesi hedeflenmiştir.</w:t>
      </w:r>
      <w:r w:rsidRPr="00EB61A7">
        <w:rPr>
          <w:rFonts w:cs="Times New Roman"/>
        </w:rPr>
        <w:t xml:space="preserve"> </w:t>
      </w:r>
    </w:p>
    <w:p w:rsidR="00D23DA8" w:rsidRPr="00E07827" w:rsidRDefault="00D23DA8" w:rsidP="00276E20"/>
    <w:p w:rsidR="00D23DA8" w:rsidRPr="00E07827" w:rsidRDefault="00D23DA8" w:rsidP="00291BE2"/>
    <w:p w:rsidR="00D23DA8" w:rsidRPr="00E07827" w:rsidRDefault="00D23DA8" w:rsidP="00291BE2"/>
    <w:p w:rsidR="00D23DA8" w:rsidRPr="00E07827" w:rsidRDefault="00D23DA8" w:rsidP="00291BE2"/>
    <w:p w:rsidR="00D23DA8" w:rsidRPr="00E07827" w:rsidRDefault="00D23DA8" w:rsidP="00291BE2"/>
    <w:p w:rsidR="00D23DA8" w:rsidRPr="00E07827" w:rsidRDefault="00D23DA8" w:rsidP="00291BE2"/>
    <w:p w:rsidR="009E54D6" w:rsidRDefault="009E54D6" w:rsidP="009E54D6">
      <w:pPr>
        <w:ind w:firstLine="0"/>
      </w:pPr>
      <w:r>
        <w:br w:type="page"/>
      </w:r>
    </w:p>
    <w:p w:rsidR="006476FA" w:rsidRDefault="006476FA" w:rsidP="009E54D6">
      <w:pPr>
        <w:ind w:firstLine="0"/>
        <w:jc w:val="center"/>
        <w:rPr>
          <w:b/>
          <w:sz w:val="28"/>
        </w:rPr>
      </w:pPr>
      <w:r w:rsidRPr="006476FA">
        <w:rPr>
          <w:b/>
          <w:sz w:val="28"/>
        </w:rPr>
        <w:lastRenderedPageBreak/>
        <w:t>2. GENEL BİLGİLER</w:t>
      </w:r>
      <w:bookmarkStart w:id="22" w:name="_Toc482344491"/>
      <w:bookmarkStart w:id="23" w:name="_Toc486288767"/>
      <w:bookmarkStart w:id="24" w:name="_Toc488004476"/>
      <w:bookmarkStart w:id="25" w:name="_Toc488176622"/>
      <w:bookmarkEnd w:id="1"/>
      <w:bookmarkEnd w:id="2"/>
    </w:p>
    <w:p w:rsidR="00BB76F4" w:rsidRDefault="00BB76F4" w:rsidP="00BB76F4">
      <w:pPr>
        <w:jc w:val="center"/>
        <w:rPr>
          <w:b/>
        </w:rPr>
      </w:pPr>
    </w:p>
    <w:p w:rsidR="00276E20" w:rsidRPr="00020290" w:rsidRDefault="00276E20" w:rsidP="00276E20">
      <w:pPr>
        <w:pStyle w:val="WW-NormalWeb1"/>
        <w:spacing w:before="0" w:after="0" w:line="360" w:lineRule="auto"/>
        <w:jc w:val="both"/>
        <w:rPr>
          <w:b/>
          <w:bCs/>
          <w:color w:val="000000"/>
        </w:rPr>
      </w:pPr>
      <w:bookmarkStart w:id="26" w:name="_Toc486288806"/>
      <w:bookmarkStart w:id="27" w:name="_Toc488004525"/>
      <w:bookmarkStart w:id="28" w:name="_Toc488176671"/>
      <w:bookmarkEnd w:id="22"/>
      <w:bookmarkEnd w:id="23"/>
      <w:bookmarkEnd w:id="24"/>
      <w:bookmarkEnd w:id="25"/>
      <w:r w:rsidRPr="00020290">
        <w:rPr>
          <w:b/>
        </w:rPr>
        <w:t xml:space="preserve">2.1. </w:t>
      </w:r>
      <w:r w:rsidRPr="00020290">
        <w:rPr>
          <w:b/>
          <w:bCs/>
          <w:color w:val="000000"/>
        </w:rPr>
        <w:t xml:space="preserve">Kanser </w:t>
      </w:r>
    </w:p>
    <w:p w:rsidR="00276E20" w:rsidRPr="00020290" w:rsidRDefault="00276E20" w:rsidP="00276E20">
      <w:pPr>
        <w:rPr>
          <w:rFonts w:eastAsia="Times New Roman"/>
          <w:b/>
          <w:bCs/>
          <w:color w:val="000000"/>
          <w:szCs w:val="24"/>
          <w:lang w:eastAsia="ar-SA"/>
        </w:rPr>
      </w:pPr>
    </w:p>
    <w:p w:rsidR="00276E20" w:rsidRPr="00020290" w:rsidRDefault="00276E20" w:rsidP="00276E20">
      <w:pPr>
        <w:autoSpaceDE w:val="0"/>
        <w:autoSpaceDN w:val="0"/>
        <w:adjustRightInd w:val="0"/>
        <w:rPr>
          <w:szCs w:val="24"/>
        </w:rPr>
      </w:pPr>
      <w:r w:rsidRPr="00020290">
        <w:rPr>
          <w:szCs w:val="24"/>
        </w:rPr>
        <w:t xml:space="preserve">Yaşam, normal şartlar altında doğma, büyüme, olgunlaşma ve ölümle son bulan bir olaylar bütünü olarak tanımlanmaktadır. Yaşam sürecinde ölüme neden olan birçok faktör bulunmaktadır. Bunların en önemlilerinden birisi kanser olarak tanımlanan yüksek mortaliteye sahip hastalıktır. Kanser, hücrenin çoğalması ve ölümü arasındaki dengenin bozulmasına neden olan, dokuları istila eden ve uzak bölgelere metastaz yapabilen gen ekspresyonunda çoklu değişikliklerin neden olduğu anormal hücre büyümesinin bir sonucudur (Ruddon, 2007). Hücredeki bu anormal gelişme; boyalar, kimyasallar, radyasyon, ultraviyole ışık, kromozom replikasyon hataları gibi faktörlerden kaynaklanan mutasyonlar sonucu meydana gelebilmektedir. Bu mutajenler nükleotid </w:t>
      </w:r>
      <w:proofErr w:type="gramStart"/>
      <w:r w:rsidRPr="00020290">
        <w:rPr>
          <w:szCs w:val="24"/>
        </w:rPr>
        <w:t>bazları</w:t>
      </w:r>
      <w:proofErr w:type="gramEnd"/>
      <w:r w:rsidRPr="00020290">
        <w:rPr>
          <w:szCs w:val="24"/>
        </w:rPr>
        <w:t xml:space="preserve"> ve hatta DNA’nın şeklini değiştirerek etki edebilirler. Değişen DNA, protein sentezinde ve replikasyonda hatalar üreterek hücre çoğalması ve büyümesini etkiler (Fadaka ve ark, 2017). </w:t>
      </w:r>
    </w:p>
    <w:p w:rsidR="00276E2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Default="00276E20" w:rsidP="00901B81">
      <w:pPr>
        <w:pStyle w:val="AltKonuBal"/>
        <w:jc w:val="left"/>
      </w:pPr>
      <w:r w:rsidRPr="00020290">
        <w:t>2.2</w:t>
      </w:r>
      <w:r w:rsidR="006A4185">
        <w:t>.</w:t>
      </w:r>
      <w:r w:rsidRPr="00020290">
        <w:t xml:space="preserve"> Kanserin Karakteristik Özellikleri</w:t>
      </w:r>
    </w:p>
    <w:p w:rsidR="00276E20" w:rsidRPr="00020290" w:rsidRDefault="00276E20" w:rsidP="00276E20">
      <w:pPr>
        <w:rPr>
          <w:b/>
          <w:bCs/>
          <w:szCs w:val="24"/>
        </w:rPr>
      </w:pPr>
    </w:p>
    <w:p w:rsidR="00276E20" w:rsidRPr="00020290" w:rsidRDefault="00276E20" w:rsidP="00276E20">
      <w:pPr>
        <w:autoSpaceDE w:val="0"/>
        <w:autoSpaceDN w:val="0"/>
        <w:adjustRightInd w:val="0"/>
        <w:rPr>
          <w:szCs w:val="24"/>
        </w:rPr>
      </w:pPr>
      <w:r w:rsidRPr="00020290">
        <w:rPr>
          <w:szCs w:val="24"/>
        </w:rPr>
        <w:t>Kanser gelişimi tümör hücrelerinin birçok genel mutasyonla varlığını sürdürdüğü çok aşamalı bir süreçtir. Mutasyonlar; büyüme sinyalizasyonunda kendi kendine yetebilme, anti-büyüme sinyallerine duyarsızlık, apoptozdan kaçma, sınırsız replikatif potansiyel, anjiyogenez ve komşu dokulara istilanın sağlanması gibi durumları oluşturur. Bu anahtar değişiklikler tümör fizyolojisinde kanserin özellikleri olarak bilinir ve ilk olarak Hanahan ve Weinberg tarafından tanımlanmıştır (Hanahan ve Weinberg, 2000)</w:t>
      </w:r>
      <w:r w:rsidR="00F61686">
        <w:rPr>
          <w:szCs w:val="24"/>
        </w:rPr>
        <w:t xml:space="preserve"> </w:t>
      </w:r>
      <w:r w:rsidRPr="00020290">
        <w:rPr>
          <w:szCs w:val="24"/>
        </w:rPr>
        <w:t xml:space="preserve">(Şekil 1).   </w:t>
      </w:r>
    </w:p>
    <w:p w:rsidR="00276E20" w:rsidRPr="00020290" w:rsidRDefault="00276E20" w:rsidP="00F61686">
      <w:pPr>
        <w:tabs>
          <w:tab w:val="left" w:pos="567"/>
        </w:tabs>
        <w:autoSpaceDE w:val="0"/>
        <w:autoSpaceDN w:val="0"/>
        <w:adjustRightInd w:val="0"/>
        <w:rPr>
          <w:szCs w:val="24"/>
        </w:rPr>
      </w:pPr>
      <w:r w:rsidRPr="00020290">
        <w:rPr>
          <w:szCs w:val="24"/>
        </w:rPr>
        <w:t xml:space="preserve">Kanser hücrelerinin özelliklerden biri büyüme faktörü reseptörlerinin ileri ekspresyonu veya büyüme faktörü sinyalizasyon kaskadlarındaki mutasyonlardan dolayı dış- proliferatif </w:t>
      </w:r>
      <w:r w:rsidR="00F61686">
        <w:rPr>
          <w:szCs w:val="24"/>
        </w:rPr>
        <w:t xml:space="preserve">sinyallerden bağımsız olmasıdır. </w:t>
      </w:r>
      <w:r w:rsidRPr="00020290">
        <w:rPr>
          <w:szCs w:val="24"/>
        </w:rPr>
        <w:t>Kanserli hücreler normalde proliferasyon ve hücre büyümesini durduracak olan inhibitör sinyallere direnirler ve bunun yanında apoptoz indüksiyonuna neden olan uyaranlardan kaçma yeteneğine de sahiptirler. Kanserin bir diğer belirleyici özelliği normal hücrelerin kısıtladığı sınırlı sayıda replikasyon siklusunun ü</w:t>
      </w:r>
      <w:r w:rsidR="00F013D0">
        <w:rPr>
          <w:szCs w:val="24"/>
        </w:rPr>
        <w:t>stesinden gelebilme durumudur;</w:t>
      </w:r>
      <w:r w:rsidRPr="00020290">
        <w:rPr>
          <w:szCs w:val="24"/>
        </w:rPr>
        <w:t xml:space="preserve"> bu durum kanser hücrelerine sınırsız replikatif potansiyel kazandırır (Hanahan ve Weinberg, 2011). </w:t>
      </w:r>
    </w:p>
    <w:p w:rsidR="00276E20" w:rsidRPr="00020290" w:rsidRDefault="00276E20" w:rsidP="00276E20">
      <w:pPr>
        <w:autoSpaceDE w:val="0"/>
        <w:autoSpaceDN w:val="0"/>
        <w:adjustRightInd w:val="0"/>
        <w:rPr>
          <w:szCs w:val="24"/>
        </w:rPr>
      </w:pPr>
      <w:r w:rsidRPr="00020290">
        <w:rPr>
          <w:szCs w:val="24"/>
        </w:rPr>
        <w:lastRenderedPageBreak/>
        <w:t xml:space="preserve">    Kanserin bir başka önemli özelliği metastaz oluşumunun ön şartı olan hücre göçü ve hücre istilasının aktivasyonudur. Kanser hücreleri belirli hücre/hücre ve hücre/matriks </w:t>
      </w:r>
      <w:proofErr w:type="gramStart"/>
      <w:r w:rsidRPr="00020290">
        <w:rPr>
          <w:szCs w:val="24"/>
        </w:rPr>
        <w:t>adezyon</w:t>
      </w:r>
      <w:proofErr w:type="gramEnd"/>
      <w:r w:rsidRPr="00020290">
        <w:rPr>
          <w:szCs w:val="24"/>
        </w:rPr>
        <w:t xml:space="preserve"> moleküll</w:t>
      </w:r>
      <w:r w:rsidR="00F013D0">
        <w:rPr>
          <w:szCs w:val="24"/>
        </w:rPr>
        <w:t>erinin ekspresyonunu kaybederek</w:t>
      </w:r>
      <w:r w:rsidRPr="00020290">
        <w:rPr>
          <w:szCs w:val="24"/>
        </w:rPr>
        <w:t xml:space="preserve"> ve lokal kan veya lenf damarlarını istila edip uzak dokulara yayılabilir hale gelebilirler (Hanahan ve Weinberg, 2011). Kanser hücrelerinin çoğalabilme ve büyüyebilme yeteneği genellikle metabolik süreçlerin yeniden programlanması ile ilişkilidir. Bu metabolik yeniden programlanma kanser hücrelerinin tümör potansiyeline katkıda bulunan besin ve oksijen açlığı gibi stres koşulları altında sadece hayatta kalmalarını değil aynı zamanda büyümelerini de sağlar. Bunun yanında oksijen yetersizliği tümör mikroçevr</w:t>
      </w:r>
      <w:r>
        <w:rPr>
          <w:szCs w:val="24"/>
        </w:rPr>
        <w:t>esinin yaygın bir özelliğidir ki</w:t>
      </w:r>
      <w:r w:rsidRPr="00020290">
        <w:rPr>
          <w:szCs w:val="24"/>
        </w:rPr>
        <w:t xml:space="preserve"> "tümör anjiyogenezi" olarak isimlendirilen yeni kan damarlarının indüksiyonuna yol açar. Tümör anjiyogenezi büyümekte olan tümöre besin</w:t>
      </w:r>
      <w:r>
        <w:rPr>
          <w:szCs w:val="24"/>
        </w:rPr>
        <w:t xml:space="preserve"> ve oksijen tedarikini sağlar;</w:t>
      </w:r>
      <w:r w:rsidRPr="00020290">
        <w:rPr>
          <w:szCs w:val="24"/>
        </w:rPr>
        <w:t xml:space="preserve"> böylece istila ve metastazı kolaylaştırır (Hanahan ve Weinberg, 2011).</w:t>
      </w:r>
    </w:p>
    <w:p w:rsidR="00276E20" w:rsidRPr="00020290" w:rsidRDefault="00276E20" w:rsidP="00276E20">
      <w:pPr>
        <w:autoSpaceDE w:val="0"/>
        <w:autoSpaceDN w:val="0"/>
        <w:adjustRightInd w:val="0"/>
        <w:rPr>
          <w:szCs w:val="24"/>
        </w:rPr>
      </w:pPr>
      <w:r w:rsidRPr="00020290">
        <w:rPr>
          <w:szCs w:val="24"/>
        </w:rPr>
        <w:t xml:space="preserve">   Çoğu kanser hücresinin normal hücreler için öldürücü olan koşullar altında hayatta kalmasını sağlayıcı metabolik adaptasyon süreci “metabolik </w:t>
      </w:r>
      <w:proofErr w:type="gramStart"/>
      <w:r w:rsidRPr="00020290">
        <w:rPr>
          <w:szCs w:val="24"/>
        </w:rPr>
        <w:t>tran</w:t>
      </w:r>
      <w:r w:rsidR="00F61686">
        <w:rPr>
          <w:szCs w:val="24"/>
        </w:rPr>
        <w:t>sformasyon</w:t>
      </w:r>
      <w:proofErr w:type="gramEnd"/>
      <w:r w:rsidR="00F61686">
        <w:rPr>
          <w:szCs w:val="24"/>
        </w:rPr>
        <w:t xml:space="preserve">” olarak adlandırılır. </w:t>
      </w:r>
      <w:r w:rsidRPr="00020290">
        <w:rPr>
          <w:szCs w:val="24"/>
        </w:rPr>
        <w:t xml:space="preserve">Farklı hücre tiplerinde meydana gelen sellüler </w:t>
      </w:r>
      <w:proofErr w:type="gramStart"/>
      <w:r w:rsidRPr="00020290">
        <w:rPr>
          <w:szCs w:val="24"/>
        </w:rPr>
        <w:t>transformasyon</w:t>
      </w:r>
      <w:proofErr w:type="gramEnd"/>
      <w:r w:rsidRPr="00020290">
        <w:rPr>
          <w:szCs w:val="24"/>
        </w:rPr>
        <w:t xml:space="preserve"> çok farklı yollardan meydana gelmesine rağmen oluşan tümör hücrelerinin metabolik gereksinimleri genellikle benzerdir. Kanser hücreleri</w:t>
      </w:r>
      <w:r w:rsidR="00261428">
        <w:rPr>
          <w:szCs w:val="24"/>
        </w:rPr>
        <w:t xml:space="preserve"> </w:t>
      </w:r>
      <w:r w:rsidRPr="00020290">
        <w:rPr>
          <w:szCs w:val="24"/>
        </w:rPr>
        <w:t>1</w:t>
      </w:r>
      <w:proofErr w:type="gramStart"/>
      <w:r w:rsidRPr="00020290">
        <w:rPr>
          <w:szCs w:val="24"/>
        </w:rPr>
        <w:t>)</w:t>
      </w:r>
      <w:proofErr w:type="gramEnd"/>
      <w:r w:rsidR="00261428">
        <w:rPr>
          <w:szCs w:val="24"/>
        </w:rPr>
        <w:t xml:space="preserve"> </w:t>
      </w:r>
      <w:r w:rsidRPr="00020290">
        <w:rPr>
          <w:szCs w:val="24"/>
        </w:rPr>
        <w:t>ATP şeklinde enerji üretmeli, 2)</w:t>
      </w:r>
      <w:r w:rsidR="00840D38">
        <w:rPr>
          <w:szCs w:val="24"/>
        </w:rPr>
        <w:t xml:space="preserve"> </w:t>
      </w:r>
      <w:r w:rsidRPr="00020290">
        <w:rPr>
          <w:szCs w:val="24"/>
        </w:rPr>
        <w:t>hücre büyümesini desteklemek amacıyla makromolekül biyosentezi için prekürsörler sağlamalı ve 3) reaktif oksijen türlerinin (ROS) etkisini azaltmak için yıkıcı metabolizmalarının oksitleyici etkilerini yöne</w:t>
      </w:r>
      <w:r>
        <w:rPr>
          <w:szCs w:val="24"/>
        </w:rPr>
        <w:t xml:space="preserve">tmelidir. </w:t>
      </w:r>
      <w:r w:rsidRPr="00020290">
        <w:rPr>
          <w:szCs w:val="24"/>
        </w:rPr>
        <w:t xml:space="preserve">Bu büyüme gereksinimleri tüm habis tümörlerde yaygın olduğundan, metabolik </w:t>
      </w:r>
      <w:proofErr w:type="gramStart"/>
      <w:r w:rsidRPr="00020290">
        <w:rPr>
          <w:szCs w:val="24"/>
        </w:rPr>
        <w:t>transformasyonun</w:t>
      </w:r>
      <w:proofErr w:type="gramEnd"/>
      <w:r w:rsidRPr="00020290">
        <w:rPr>
          <w:szCs w:val="24"/>
        </w:rPr>
        <w:t xml:space="preserve"> etkisi ve bu mekanizmaların incelenmesi şimdilerde büyük bir araştırma konusudur (Cairns ve ark, 2011).  </w:t>
      </w:r>
      <w:r>
        <w:rPr>
          <w:szCs w:val="24"/>
        </w:rPr>
        <w:t>Verilen bilgiler ışığında</w:t>
      </w:r>
      <w:r w:rsidRPr="00020290">
        <w:rPr>
          <w:szCs w:val="24"/>
        </w:rPr>
        <w:t xml:space="preserve">, bu adaptasyonları engelleyici terapötiklerin </w:t>
      </w:r>
      <w:proofErr w:type="gramStart"/>
      <w:r w:rsidRPr="00020290">
        <w:rPr>
          <w:szCs w:val="24"/>
        </w:rPr>
        <w:t>dizayn edilebilmesi</w:t>
      </w:r>
      <w:proofErr w:type="gramEnd"/>
      <w:r w:rsidRPr="00020290">
        <w:rPr>
          <w:szCs w:val="24"/>
        </w:rPr>
        <w:t xml:space="preserve"> ve bunların yaygın bir şekilde kanser büyüme ve metastaz adımlarında etkin olabileceği de umulmaktadır  (Tennant ve ark, 2010).</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r w:rsidRPr="00020290">
        <w:rPr>
          <w:noProof/>
          <w:szCs w:val="24"/>
          <w:lang w:eastAsia="tr-TR"/>
        </w:rPr>
        <w:lastRenderedPageBreak/>
        <w:drawing>
          <wp:inline distT="0" distB="0" distL="0" distR="0">
            <wp:extent cx="5098393" cy="3600000"/>
            <wp:effectExtent l="19050" t="0" r="7007" b="0"/>
            <wp:docPr id="28" name="Resi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8393" cy="3600000"/>
                    </a:xfrm>
                    <a:prstGeom prst="rect">
                      <a:avLst/>
                    </a:prstGeom>
                    <a:noFill/>
                    <a:ln>
                      <a:noFill/>
                    </a:ln>
                  </pic:spPr>
                </pic:pic>
              </a:graphicData>
            </a:graphic>
          </wp:inline>
        </w:drawing>
      </w:r>
    </w:p>
    <w:p w:rsidR="00276E20" w:rsidRDefault="00276E20" w:rsidP="00276E20">
      <w:pPr>
        <w:autoSpaceDE w:val="0"/>
        <w:autoSpaceDN w:val="0"/>
        <w:adjustRightInd w:val="0"/>
        <w:rPr>
          <w:szCs w:val="24"/>
        </w:rPr>
      </w:pPr>
      <w:r w:rsidRPr="00802FA6">
        <w:rPr>
          <w:b/>
          <w:szCs w:val="24"/>
        </w:rPr>
        <w:t>Şekil 1</w:t>
      </w:r>
      <w:r w:rsidR="00802FA6">
        <w:rPr>
          <w:b/>
          <w:szCs w:val="24"/>
        </w:rPr>
        <w:t>.</w:t>
      </w:r>
      <w:r w:rsidRPr="00020290">
        <w:rPr>
          <w:szCs w:val="24"/>
        </w:rPr>
        <w:t xml:space="preserve"> Kanser </w:t>
      </w:r>
      <w:r w:rsidR="00F61686">
        <w:rPr>
          <w:szCs w:val="24"/>
        </w:rPr>
        <w:t>b</w:t>
      </w:r>
      <w:r w:rsidRPr="00020290">
        <w:rPr>
          <w:szCs w:val="24"/>
        </w:rPr>
        <w:t>elirteçleri (Hanahan ve Weinberg, 2011’den değiştirilerek alınmıştır).</w:t>
      </w:r>
    </w:p>
    <w:p w:rsidR="00901B81" w:rsidRPr="00020290" w:rsidRDefault="00901B81" w:rsidP="00276E20">
      <w:pPr>
        <w:autoSpaceDE w:val="0"/>
        <w:autoSpaceDN w:val="0"/>
        <w:adjustRightInd w:val="0"/>
        <w:rPr>
          <w:szCs w:val="24"/>
        </w:rPr>
      </w:pPr>
    </w:p>
    <w:p w:rsidR="00276E20" w:rsidRPr="00020290" w:rsidRDefault="00276E20" w:rsidP="00276E20">
      <w:pPr>
        <w:rPr>
          <w:b/>
          <w:szCs w:val="24"/>
        </w:rPr>
      </w:pPr>
    </w:p>
    <w:p w:rsidR="00276E20" w:rsidRPr="00020290" w:rsidRDefault="00276E20" w:rsidP="00901B81">
      <w:pPr>
        <w:pStyle w:val="Balk2"/>
      </w:pPr>
      <w:r w:rsidRPr="00020290">
        <w:t>2.3</w:t>
      </w:r>
      <w:r w:rsidR="006A4185">
        <w:t>.</w:t>
      </w:r>
      <w:r w:rsidR="006E66EE">
        <w:t xml:space="preserve"> Meme K</w:t>
      </w:r>
      <w:r w:rsidRPr="00020290">
        <w:t xml:space="preserve">anseri </w:t>
      </w:r>
    </w:p>
    <w:p w:rsidR="00276E20" w:rsidRPr="00020290" w:rsidRDefault="00276E20" w:rsidP="00276E20">
      <w:pPr>
        <w:autoSpaceDE w:val="0"/>
        <w:autoSpaceDN w:val="0"/>
        <w:adjustRightInd w:val="0"/>
        <w:rPr>
          <w:szCs w:val="24"/>
        </w:rPr>
      </w:pPr>
    </w:p>
    <w:p w:rsidR="00276E20" w:rsidRDefault="00276E20" w:rsidP="00276E20">
      <w:pPr>
        <w:autoSpaceDE w:val="0"/>
        <w:autoSpaceDN w:val="0"/>
        <w:adjustRightInd w:val="0"/>
        <w:rPr>
          <w:szCs w:val="24"/>
        </w:rPr>
      </w:pPr>
      <w:r w:rsidRPr="00020290">
        <w:rPr>
          <w:szCs w:val="24"/>
        </w:rPr>
        <w:t>Meme kanseri, meme bezi epitel dokusundan gelişen kadın malign neoplazmıdır ve dünya çapında kadınlar arasında yüksek oranda ölümlere sebebiyet verici en yaygın</w:t>
      </w:r>
      <w:r w:rsidR="007F644A">
        <w:rPr>
          <w:szCs w:val="24"/>
        </w:rPr>
        <w:t xml:space="preserve"> görülen ikinci kanser türüdür </w:t>
      </w:r>
      <w:r w:rsidR="006E66EE">
        <w:rPr>
          <w:szCs w:val="24"/>
        </w:rPr>
        <w:t xml:space="preserve"> (Li ve Han, 2018; Liu ve Hu, 2018)</w:t>
      </w:r>
      <w:r w:rsidRPr="00020290">
        <w:rPr>
          <w:szCs w:val="24"/>
        </w:rPr>
        <w:t xml:space="preserve">. 2008'den bu yana, meme kanseri insidansında (&gt;% 20) ve ölümlerde (&lt;500.000) küresel bir artış gözlenmiştir (Tao ve ark, 2017). Meme, süt bezleri ve üretilen bu sütü meme başına taşıyan kanallardan meydana gelir. Meme kanseri, lobülleri ya da bu süt kanallarını oluşturan hücrelerin kontrol dışı çoğalmaları ve vücudun çeşitli yerlerine giderek çoğalmaya devam etmeleriyle gelişmektedir. Erken evre meme kanserleri yaşamı tehdit edici olmamasına rağmen, metastatik evre meme kanseri ölümlere yol açmakta ve tedavi aşamalarında güçlükler yaşanmaktadır (Noh ve ark, 2016). Meme kanseri metastazlarının akciğer, kemik, lenf nodu ve </w:t>
      </w:r>
      <w:r>
        <w:rPr>
          <w:szCs w:val="24"/>
        </w:rPr>
        <w:t>beyine transfer olmaları tedavide başarıyı güçleştirir (Sun ve ark, 2017).  Bununla birlikte h</w:t>
      </w:r>
      <w:r w:rsidRPr="00020290">
        <w:rPr>
          <w:szCs w:val="24"/>
        </w:rPr>
        <w:t>astalığın erken teşhisi iyi prognoz ve yüksek sağkalım oranını sağlayabilir (Desantis ve ark, 2016). Cinsiyet, yaşlanma, östrojen, aile öyküsü, gen mutasyonları ve sağlıksız yaşam tarzı gibi ç</w:t>
      </w:r>
      <w:r>
        <w:rPr>
          <w:szCs w:val="24"/>
        </w:rPr>
        <w:t>ok sayıda risk faktörü</w:t>
      </w:r>
      <w:r w:rsidRPr="00020290">
        <w:rPr>
          <w:szCs w:val="24"/>
        </w:rPr>
        <w:t xml:space="preserve"> meme kanseri gelişme olasılığını artırabilir (Sun ve ark, 2017). </w:t>
      </w:r>
    </w:p>
    <w:p w:rsidR="00276E20" w:rsidRDefault="00276E20" w:rsidP="00901B81">
      <w:pPr>
        <w:pStyle w:val="Balk2"/>
      </w:pPr>
      <w:r w:rsidRPr="00020290">
        <w:lastRenderedPageBreak/>
        <w:t>2.3.1</w:t>
      </w:r>
      <w:r w:rsidR="006A4185">
        <w:t>.</w:t>
      </w:r>
      <w:r w:rsidRPr="00020290">
        <w:t xml:space="preserve"> MCF-7 Meme Kanseri Hücre Hattı</w:t>
      </w:r>
    </w:p>
    <w:p w:rsidR="00276E20" w:rsidRPr="00066755" w:rsidRDefault="00276E20" w:rsidP="00276E20">
      <w:pPr>
        <w:autoSpaceDE w:val="0"/>
        <w:autoSpaceDN w:val="0"/>
        <w:adjustRightInd w:val="0"/>
        <w:rPr>
          <w:b/>
          <w:bCs/>
          <w:szCs w:val="24"/>
        </w:rPr>
      </w:pPr>
    </w:p>
    <w:p w:rsidR="00276E20" w:rsidRPr="00020290" w:rsidRDefault="00276E20" w:rsidP="00276E20">
      <w:pPr>
        <w:autoSpaceDE w:val="0"/>
        <w:autoSpaceDN w:val="0"/>
        <w:adjustRightInd w:val="0"/>
        <w:rPr>
          <w:szCs w:val="24"/>
        </w:rPr>
      </w:pPr>
      <w:r w:rsidRPr="00020290">
        <w:rPr>
          <w:szCs w:val="24"/>
        </w:rPr>
        <w:t xml:space="preserve">Hücre hatları, kanserin moleküler tanısında anahtar bir unsur olarak görülür ve MCF-7, yıllardır birçok grup tarafından çoğaltılan ve yaygın olarak kullanılan bir meme kanseri hücre hattıdır (Comşa ve ark, 2015). MCF-7 ilk defa 1970 yılında 69 yaşındaki invaziv duktal karsinomalı beyaz ırktan bir kadının plevral efüzyonundan izole edilmiştir (Soule ve ark, 1973). MCF-7 hücre hattının meme kanseri araştırmalarına en önemli katkılarından biri, östrojen reseptörü α (ERα) çalışması için uygun olmasıdır. MCF-7 hücre hattı; östrojen reseptörü pozitif (ER+) ve progesteron reseptörü pozitif (PR+) olup, lüminal A moleküler alt tipine aittir ve düşük metastatik potansiyele sahip, zayıf </w:t>
      </w:r>
      <w:proofErr w:type="gramStart"/>
      <w:r w:rsidRPr="00020290">
        <w:rPr>
          <w:szCs w:val="24"/>
        </w:rPr>
        <w:t>agresif</w:t>
      </w:r>
      <w:proofErr w:type="gramEnd"/>
      <w:r w:rsidRPr="00020290">
        <w:rPr>
          <w:szCs w:val="24"/>
        </w:rPr>
        <w:t xml:space="preserve"> ve invazif olmayan bir hücre hattıdır (Comşa ve ark, 2015). MCF-7, kolaylıkla kültüre edilebilmesi ve yüksek seviyelerde ER eksprese edebilmesi gibi özelliklerinden ötürü hedeflenen tedavi açısın</w:t>
      </w:r>
      <w:r w:rsidR="00F61686">
        <w:rPr>
          <w:szCs w:val="24"/>
        </w:rPr>
        <w:t>dan yüksek oranda tercih edilir</w:t>
      </w:r>
      <w:r w:rsidRPr="00020290">
        <w:rPr>
          <w:szCs w:val="24"/>
        </w:rPr>
        <w:t xml:space="preserve"> (Lee ve ark, 2015</w:t>
      </w:r>
      <w:r>
        <w:rPr>
          <w:szCs w:val="24"/>
        </w:rPr>
        <w:t>).</w:t>
      </w:r>
      <w:r w:rsidRPr="00020290">
        <w:rPr>
          <w:szCs w:val="24"/>
        </w:rPr>
        <w:t xml:space="preserve"> </w:t>
      </w:r>
    </w:p>
    <w:p w:rsidR="00276E20" w:rsidRDefault="00276E20" w:rsidP="00276E20">
      <w:pPr>
        <w:autoSpaceDE w:val="0"/>
        <w:autoSpaceDN w:val="0"/>
        <w:adjustRightInd w:val="0"/>
        <w:rPr>
          <w:b/>
          <w:szCs w:val="24"/>
        </w:rPr>
      </w:pPr>
    </w:p>
    <w:p w:rsidR="00276E20" w:rsidRPr="00020290" w:rsidRDefault="00276E20" w:rsidP="00276E20">
      <w:pPr>
        <w:autoSpaceDE w:val="0"/>
        <w:autoSpaceDN w:val="0"/>
        <w:adjustRightInd w:val="0"/>
        <w:rPr>
          <w:b/>
          <w:szCs w:val="24"/>
        </w:rPr>
      </w:pPr>
    </w:p>
    <w:p w:rsidR="00276E20" w:rsidRPr="00020290" w:rsidRDefault="00276E20" w:rsidP="00901B81">
      <w:pPr>
        <w:pStyle w:val="Balk2"/>
        <w:rPr>
          <w:rFonts w:eastAsiaTheme="minorHAnsi"/>
        </w:rPr>
      </w:pPr>
      <w:r w:rsidRPr="00020290">
        <w:t>2.4</w:t>
      </w:r>
      <w:r w:rsidR="006A4185">
        <w:t>.</w:t>
      </w:r>
      <w:r w:rsidRPr="00020290">
        <w:t xml:space="preserve"> Hücresel Metabolizma</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r w:rsidRPr="00020290">
        <w:rPr>
          <w:szCs w:val="24"/>
        </w:rPr>
        <w:t>Metabolik yolları oluşturan bir seri enzim katalizli tepkime vasıtasıyla hücre ya da organizmada meydana gelen kimyasal dönüşümlerin tamamına met</w:t>
      </w:r>
      <w:r w:rsidR="00347D87">
        <w:rPr>
          <w:szCs w:val="24"/>
        </w:rPr>
        <w:t>abolizma denir</w:t>
      </w:r>
      <w:r w:rsidR="00734729">
        <w:rPr>
          <w:szCs w:val="24"/>
        </w:rPr>
        <w:t xml:space="preserve"> (</w:t>
      </w:r>
      <w:r w:rsidR="00FC3497">
        <w:rPr>
          <w:szCs w:val="24"/>
        </w:rPr>
        <w:t>Nelson ve Cox</w:t>
      </w:r>
      <w:r w:rsidR="00734729">
        <w:rPr>
          <w:szCs w:val="24"/>
        </w:rPr>
        <w:t>, 2005</w:t>
      </w:r>
      <w:r w:rsidRPr="00020290">
        <w:rPr>
          <w:szCs w:val="24"/>
        </w:rPr>
        <w:t xml:space="preserve">). Organizmalar enzim katalizli metabolizmanın bir sonucu olarak büyür, çoğalırlar, çevrelerine cevap verirler ve yapılarını korurlar. Hücrelerdeki biyokimyasal reaksiyonlar bir hücrenin günlük işlemlerinin gerçekleştirilmesini sağlar. Bu reaksiyonlar hücrenin ihtiyaçlarına ve işlevlerine bağlı olarak düzenlenir (Gill ve ark, 2016). </w:t>
      </w:r>
    </w:p>
    <w:p w:rsidR="00276E20" w:rsidRPr="00020290" w:rsidRDefault="00276E20" w:rsidP="00276E20">
      <w:pPr>
        <w:autoSpaceDE w:val="0"/>
        <w:autoSpaceDN w:val="0"/>
        <w:adjustRightInd w:val="0"/>
        <w:rPr>
          <w:szCs w:val="24"/>
        </w:rPr>
      </w:pPr>
      <w:r w:rsidRPr="00020290">
        <w:rPr>
          <w:szCs w:val="24"/>
        </w:rPr>
        <w:t xml:space="preserve"> Bir hücrenin metabolizması anabolizma ve katabolizma olmak üzere 2 kısımdan meydana gelir. Anabolizmada küçük, öncül bileşiklerden (aminoasit, glukoz, yağ asidi, nükleotid gibi) büyük </w:t>
      </w:r>
      <w:proofErr w:type="gramStart"/>
      <w:r w:rsidRPr="00020290">
        <w:rPr>
          <w:szCs w:val="24"/>
        </w:rPr>
        <w:t>kompleks</w:t>
      </w:r>
      <w:proofErr w:type="gramEnd"/>
      <w:r w:rsidRPr="00020290">
        <w:rPr>
          <w:szCs w:val="24"/>
        </w:rPr>
        <w:t xml:space="preserve"> yapılar (lipitler, proteinler, nükleik asitler, polisakkaritler gi</w:t>
      </w:r>
      <w:r w:rsidR="00734729">
        <w:rPr>
          <w:szCs w:val="24"/>
        </w:rPr>
        <w:t>bi) sentezlenir (</w:t>
      </w:r>
      <w:r w:rsidR="00FC3497">
        <w:rPr>
          <w:szCs w:val="24"/>
        </w:rPr>
        <w:t>Nelson ve Cox, 2005</w:t>
      </w:r>
      <w:r w:rsidRPr="00020290">
        <w:rPr>
          <w:szCs w:val="24"/>
        </w:rPr>
        <w:t xml:space="preserve">). Anabolik bu reaksiyonlar esnasında ATP formundaki Gibbs serbest enerjisi, hücre çoğalması veya bölünmeye katkıda bulunan birçok hücresel </w:t>
      </w:r>
      <w:proofErr w:type="gramStart"/>
      <w:r w:rsidRPr="00020290">
        <w:rPr>
          <w:szCs w:val="24"/>
        </w:rPr>
        <w:t>proseste</w:t>
      </w:r>
      <w:proofErr w:type="gramEnd"/>
      <w:r w:rsidRPr="00020290">
        <w:rPr>
          <w:szCs w:val="24"/>
        </w:rPr>
        <w:t xml:space="preserve"> kullanılır. Bu hücresel proseslere deoksiribonükleik asit (DNA) replikasyonu da </w:t>
      </w:r>
      <w:proofErr w:type="gramStart"/>
      <w:r w:rsidRPr="00020290">
        <w:rPr>
          <w:szCs w:val="24"/>
        </w:rPr>
        <w:t>dahildir</w:t>
      </w:r>
      <w:proofErr w:type="gramEnd"/>
      <w:r w:rsidRPr="00020290">
        <w:rPr>
          <w:szCs w:val="24"/>
        </w:rPr>
        <w:t xml:space="preserve"> (DeBerardinis ve ark, 2008). Metabolizmanın organik büyük besin moleküllerini küçük, basit son ürünlere dönüştüren yıkıcı fazına ise ka</w:t>
      </w:r>
      <w:r w:rsidR="00734729">
        <w:rPr>
          <w:szCs w:val="24"/>
        </w:rPr>
        <w:t>tabolizma denir (</w:t>
      </w:r>
      <w:r w:rsidR="00FC3497">
        <w:rPr>
          <w:szCs w:val="24"/>
        </w:rPr>
        <w:t>Nelson ve Cox, 2005</w:t>
      </w:r>
      <w:r w:rsidRPr="00020290">
        <w:rPr>
          <w:szCs w:val="24"/>
        </w:rPr>
        <w:t>). Katabolik reaksiyonlarda organik ürünlerin parçalanmasından elde edilen Gibbs serbest enerjisi, adenozin difosfat (ADP)’ı fosforile ederek A</w:t>
      </w:r>
      <w:r>
        <w:rPr>
          <w:szCs w:val="24"/>
        </w:rPr>
        <w:t xml:space="preserve">TP üretme amacıyla kullanılır. </w:t>
      </w:r>
    </w:p>
    <w:p w:rsidR="00276E20" w:rsidRPr="00020290" w:rsidRDefault="00276E20" w:rsidP="00276E20">
      <w:pPr>
        <w:autoSpaceDE w:val="0"/>
        <w:autoSpaceDN w:val="0"/>
        <w:adjustRightInd w:val="0"/>
        <w:rPr>
          <w:szCs w:val="24"/>
        </w:rPr>
      </w:pPr>
      <w:r w:rsidRPr="00020290">
        <w:rPr>
          <w:szCs w:val="24"/>
        </w:rPr>
        <w:lastRenderedPageBreak/>
        <w:t xml:space="preserve">ATP; biyolojik moleküllerin sentezi, taşınması, parçalanması gibi birçok biyolojik işlem için önem taşımaktadır ve hücre döngüsü ile hücre büyümesini tetikler (Roy ve ark, 2017). Ayrıca ATP’nin metabolik yolların düzenlenmesinde de önemli bir rolü vardır. Ökaryotik hücrelerin çoğunda glikoliz ile 2 ATP molekülü, 1 glukoz molekülünden aerobik solunum yoluyla ise 36 ATP molekülü üretilir. Glikolizden 2 molekül, sitrik asit döngüsü substrat düzeyinde fosforilasyonundan 2 molekül ve oksidatif fosforilasyon (OXPHOS) ile elektron taşınmasından 32 molekül ATP üretimi gerçekleştirilir (Roy ve ark, 2017). Dolayısıyla normal hücre metabolizması enerjisinin yaklaşık %70’ini Krebs siklusundan ve sadece %20’sini glikolizden (Embden Meyerhof yolu) üretir. Bu hücrelerde enerji üretiminin çoğu OXPHOS yolu ile olur (Gill ve ark, 2016). </w:t>
      </w:r>
    </w:p>
    <w:p w:rsidR="00276E20" w:rsidRPr="00020290" w:rsidRDefault="00276E20" w:rsidP="00276E20">
      <w:pPr>
        <w:autoSpaceDE w:val="0"/>
        <w:autoSpaceDN w:val="0"/>
        <w:adjustRightInd w:val="0"/>
        <w:rPr>
          <w:b/>
          <w:szCs w:val="24"/>
        </w:rPr>
      </w:pPr>
    </w:p>
    <w:p w:rsidR="00276E20" w:rsidRPr="00020290" w:rsidRDefault="00276E20" w:rsidP="00276E20">
      <w:pPr>
        <w:autoSpaceDE w:val="0"/>
        <w:autoSpaceDN w:val="0"/>
        <w:adjustRightInd w:val="0"/>
        <w:rPr>
          <w:szCs w:val="24"/>
        </w:rPr>
      </w:pPr>
    </w:p>
    <w:p w:rsidR="00276E20" w:rsidRPr="00020290" w:rsidRDefault="00276E20" w:rsidP="00901B81">
      <w:pPr>
        <w:pStyle w:val="Balk2"/>
      </w:pPr>
      <w:r w:rsidRPr="00020290">
        <w:t>2.</w:t>
      </w:r>
      <w:r w:rsidR="006F4696">
        <w:t>5</w:t>
      </w:r>
      <w:r w:rsidR="006A4185">
        <w:t>.</w:t>
      </w:r>
      <w:r w:rsidRPr="00020290">
        <w:t xml:space="preserve"> Glukoz Metabolizması</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r w:rsidRPr="00020290">
        <w:rPr>
          <w:szCs w:val="24"/>
        </w:rPr>
        <w:t xml:space="preserve">Hücresel solunumun glikolizis yolu, karbonhidrat metabolizmasının ilk aşamasını oluşturan bir dizi reaksiyondan meydana gelir. Glikolizis oksijenden bağımsız bir metabolik yoldur, yani herhangi bir reaksiyonunda moleküler oksijen kullanılmaz ve tüm organizmaların hücre sitozolünde gerçekleşir (Gill ve ark, 2016). Bu </w:t>
      </w:r>
      <w:proofErr w:type="gramStart"/>
      <w:r w:rsidRPr="00020290">
        <w:rPr>
          <w:szCs w:val="24"/>
        </w:rPr>
        <w:t>proses</w:t>
      </w:r>
      <w:proofErr w:type="gramEnd"/>
      <w:r w:rsidRPr="00020290">
        <w:rPr>
          <w:szCs w:val="24"/>
        </w:rPr>
        <w:t xml:space="preserve"> bir molekül glukozu iki molekül pirüvik asit haline getirir ve salınan enerji ATP ve indirgenmiş NADH formunda korunur. Glikolizisin temel işlevi ve amacı diğer metabolik yolaklar için enerji ve ara maddeler sağlamaktır. Glikolizis için temel glukoz kaynakları diyet karbonhidratları ve sellüler glikojendir. 10 sitozolik reaksiyon serisiyle glukoz, glikolizise girer ve bu reaksiyon basamaklarından yedi tanesi geri dönüşümlü olmakla birlikte üç tanesi geri dönüşümsüzdür. İlk 5 reaksiyon ATP kullanıldığı için "yatırım" aşamasını oluştururken, son 5 reaksiyon sonuç aşamasını oluşturur ve ATP üretimini sağlar (Fadaka ve ark, 2017). </w:t>
      </w:r>
    </w:p>
    <w:p w:rsidR="00276E20" w:rsidRPr="00020290" w:rsidRDefault="00276E20" w:rsidP="00276E20">
      <w:pPr>
        <w:autoSpaceDE w:val="0"/>
        <w:autoSpaceDN w:val="0"/>
        <w:adjustRightInd w:val="0"/>
        <w:rPr>
          <w:szCs w:val="24"/>
        </w:rPr>
      </w:pPr>
      <w:r w:rsidRPr="00020290">
        <w:rPr>
          <w:szCs w:val="24"/>
        </w:rPr>
        <w:t xml:space="preserve">Glikolizisin ilk aşamasında </w:t>
      </w:r>
      <w:r w:rsidR="002D6C07">
        <w:rPr>
          <w:szCs w:val="24"/>
        </w:rPr>
        <w:t xml:space="preserve">glukoz, </w:t>
      </w:r>
      <w:r w:rsidR="002D6C07" w:rsidRPr="00020290">
        <w:rPr>
          <w:szCs w:val="24"/>
        </w:rPr>
        <w:t xml:space="preserve">ATP kullanılarak hekzokinaz (HK) enzimi ile </w:t>
      </w:r>
      <w:r w:rsidR="002D6C07">
        <w:rPr>
          <w:szCs w:val="24"/>
        </w:rPr>
        <w:t xml:space="preserve">C-6’dan fosforlanarak, </w:t>
      </w:r>
      <w:r w:rsidRPr="00020290">
        <w:rPr>
          <w:szCs w:val="24"/>
        </w:rPr>
        <w:t xml:space="preserve">glukoz-6-fosfat (G6P) molekülüne </w:t>
      </w:r>
      <w:r w:rsidR="002D6C07">
        <w:rPr>
          <w:szCs w:val="24"/>
        </w:rPr>
        <w:t>dönüştürülür ve aktifleştirilir</w:t>
      </w:r>
      <w:r w:rsidRPr="00020290">
        <w:rPr>
          <w:szCs w:val="24"/>
        </w:rPr>
        <w:t xml:space="preserve">. Bu, geri dönüşümsüz bir reaksiyondur ve bu yüzden glikolizisin hız sınırlayıcı reaksiyonlarından biri olarak kabul edilir. G6P daha sonra glukoz fosfat izomeraz (GPI) </w:t>
      </w:r>
      <w:r w:rsidR="002D6C07">
        <w:rPr>
          <w:szCs w:val="24"/>
        </w:rPr>
        <w:t xml:space="preserve">(fosfoheksozizomeraz) </w:t>
      </w:r>
      <w:r w:rsidRPr="00020290">
        <w:rPr>
          <w:szCs w:val="24"/>
        </w:rPr>
        <w:t xml:space="preserve">enzimi vasıtasıyla fruktoz-6-fosfat (F6P) molekülüne dönüştürülür. Bir diğer aşamada substrat olarak ATP </w:t>
      </w:r>
      <w:proofErr w:type="gramStart"/>
      <w:r w:rsidRPr="00020290">
        <w:rPr>
          <w:szCs w:val="24"/>
        </w:rPr>
        <w:t>kullanılarak  fosfofruktokinaz</w:t>
      </w:r>
      <w:proofErr w:type="gramEnd"/>
      <w:r w:rsidRPr="00020290">
        <w:rPr>
          <w:szCs w:val="24"/>
        </w:rPr>
        <w:t xml:space="preserve"> 1 (PFK-1) enzimi ile F6P’tan fruktoz-1,6-bisfosfat (F1,6-BP) elde edilir. Bu reaksiyon glikolitik yolağın diğer bir hız sınırlayıcı basamağıdır. PFK-1 </w:t>
      </w:r>
      <w:r w:rsidR="002D6C07">
        <w:rPr>
          <w:szCs w:val="24"/>
        </w:rPr>
        <w:t xml:space="preserve">karmaşık olduğu bilinen düzenleyici enzimlerden biridir ve </w:t>
      </w:r>
      <w:r w:rsidRPr="00020290">
        <w:rPr>
          <w:szCs w:val="24"/>
        </w:rPr>
        <w:t>fizyolojik koşullarda</w:t>
      </w:r>
      <w:r w:rsidR="00E8078A">
        <w:rPr>
          <w:szCs w:val="24"/>
        </w:rPr>
        <w:t xml:space="preserve"> </w:t>
      </w:r>
      <w:r w:rsidR="002D6C07">
        <w:rPr>
          <w:szCs w:val="24"/>
        </w:rPr>
        <w:lastRenderedPageBreak/>
        <w:t>inaktiftir. Bu enzim</w:t>
      </w:r>
      <w:r w:rsidRPr="00020290">
        <w:rPr>
          <w:szCs w:val="24"/>
        </w:rPr>
        <w:t xml:space="preserve"> aktive olmak için fruktoz-2,6-bisfosfat (F2,6BP) molekülünü gerektirir </w:t>
      </w:r>
      <w:proofErr w:type="gramStart"/>
      <w:r w:rsidRPr="00020290">
        <w:rPr>
          <w:szCs w:val="24"/>
        </w:rPr>
        <w:t>(</w:t>
      </w:r>
      <w:proofErr w:type="gramEnd"/>
      <w:r w:rsidR="007F644A">
        <w:rPr>
          <w:szCs w:val="24"/>
        </w:rPr>
        <w:t>(Nelson ve Cox</w:t>
      </w:r>
      <w:r w:rsidR="007F644A" w:rsidRPr="00020290">
        <w:rPr>
          <w:szCs w:val="24"/>
        </w:rPr>
        <w:t>, 2005</w:t>
      </w:r>
      <w:r w:rsidR="007F644A">
        <w:rPr>
          <w:szCs w:val="24"/>
        </w:rPr>
        <w:t xml:space="preserve">; </w:t>
      </w:r>
      <w:r w:rsidR="007F644A" w:rsidRPr="00553DD3">
        <w:rPr>
          <w:szCs w:val="24"/>
        </w:rPr>
        <w:t>Rajendran</w:t>
      </w:r>
      <w:r w:rsidR="007F644A">
        <w:rPr>
          <w:szCs w:val="24"/>
        </w:rPr>
        <w:t>, 2011</w:t>
      </w:r>
      <w:r w:rsidRPr="00020290">
        <w:rPr>
          <w:szCs w:val="24"/>
        </w:rPr>
        <w:t>).</w:t>
      </w:r>
    </w:p>
    <w:p w:rsidR="00276E20" w:rsidRPr="00020290" w:rsidRDefault="00276E20" w:rsidP="00276E20">
      <w:pPr>
        <w:autoSpaceDE w:val="0"/>
        <w:autoSpaceDN w:val="0"/>
        <w:adjustRightInd w:val="0"/>
        <w:rPr>
          <w:szCs w:val="24"/>
        </w:rPr>
      </w:pPr>
      <w:r w:rsidRPr="00020290">
        <w:rPr>
          <w:szCs w:val="24"/>
        </w:rPr>
        <w:t>F1,6-</w:t>
      </w:r>
      <w:r w:rsidR="002D6C07">
        <w:rPr>
          <w:szCs w:val="24"/>
        </w:rPr>
        <w:t xml:space="preserve">BP, aldolaz enzimi ile iki farklı </w:t>
      </w:r>
      <w:r w:rsidRPr="00020290">
        <w:rPr>
          <w:szCs w:val="24"/>
        </w:rPr>
        <w:t xml:space="preserve">trioz fosfata ayrılır. Bu trioz fosfatlar; </w:t>
      </w:r>
      <w:r w:rsidR="002D6C07">
        <w:rPr>
          <w:szCs w:val="24"/>
        </w:rPr>
        <w:t xml:space="preserve">bir aldoz olan </w:t>
      </w:r>
      <w:r w:rsidRPr="00020290">
        <w:rPr>
          <w:szCs w:val="24"/>
        </w:rPr>
        <w:t xml:space="preserve">gliseraldehid-3-fosfat ve </w:t>
      </w:r>
      <w:r w:rsidR="002D6C07">
        <w:rPr>
          <w:szCs w:val="24"/>
        </w:rPr>
        <w:t xml:space="preserve">bir ketoz olan </w:t>
      </w:r>
      <w:r w:rsidRPr="00020290">
        <w:rPr>
          <w:szCs w:val="24"/>
        </w:rPr>
        <w:t xml:space="preserve">dihidroksiaseton fosfattır (DHAP). DHAP, </w:t>
      </w:r>
      <w:r w:rsidR="002D6C07">
        <w:rPr>
          <w:szCs w:val="24"/>
        </w:rPr>
        <w:t xml:space="preserve">glikolitik dizinin beşinci enzimi olan </w:t>
      </w:r>
      <w:r w:rsidRPr="00020290">
        <w:rPr>
          <w:szCs w:val="24"/>
        </w:rPr>
        <w:t xml:space="preserve">trioz fosfat izomeraz ile gliseraldehid-3-fosfata (G3P) ve </w:t>
      </w:r>
      <w:r w:rsidR="002D6C07">
        <w:rPr>
          <w:szCs w:val="24"/>
        </w:rPr>
        <w:t>G3P</w:t>
      </w:r>
      <w:r w:rsidRPr="00020290">
        <w:rPr>
          <w:szCs w:val="24"/>
        </w:rPr>
        <w:t xml:space="preserve"> ise </w:t>
      </w:r>
      <w:r w:rsidR="002F3144">
        <w:rPr>
          <w:szCs w:val="24"/>
        </w:rPr>
        <w:t xml:space="preserve">hizmet fazının ilk aşamasında yer alan </w:t>
      </w:r>
      <w:r w:rsidRPr="00020290">
        <w:rPr>
          <w:szCs w:val="24"/>
        </w:rPr>
        <w:t>NAD bağımlı enzim gliseraldehid-3-fosfat dehidrogenaz (GAPDH) ile 1,3-bisfosfogliserata (1,3BPG) dönüştürülür. Diğer bir basamakta fosfogliserat kinaz</w:t>
      </w:r>
      <w:r w:rsidR="002F3144">
        <w:rPr>
          <w:szCs w:val="24"/>
        </w:rPr>
        <w:t xml:space="preserve"> enzimi 1,3-bisfosfogliseratın karboksil grubundaki yüksek enerjili fosforil grubunu</w:t>
      </w:r>
      <w:r w:rsidRPr="00020290">
        <w:rPr>
          <w:szCs w:val="24"/>
        </w:rPr>
        <w:t xml:space="preserve"> ADP’ye transfer ederek ATP ve 3-fosfogliserat (3PG) molekü</w:t>
      </w:r>
      <w:r w:rsidR="002F3144">
        <w:rPr>
          <w:szCs w:val="24"/>
        </w:rPr>
        <w:t>llerini oluşturur.</w:t>
      </w:r>
      <w:r w:rsidR="00970A7E">
        <w:rPr>
          <w:szCs w:val="24"/>
        </w:rPr>
        <w:t xml:space="preserve"> </w:t>
      </w:r>
      <w:r w:rsidRPr="00020290">
        <w:rPr>
          <w:szCs w:val="24"/>
        </w:rPr>
        <w:t>3PG fosf</w:t>
      </w:r>
      <w:r w:rsidR="002F3144">
        <w:rPr>
          <w:szCs w:val="24"/>
        </w:rPr>
        <w:t xml:space="preserve">ogliseratmutaz (PGAM) enzimi </w:t>
      </w:r>
      <w:proofErr w:type="gramStart"/>
      <w:r w:rsidR="002F3144">
        <w:rPr>
          <w:szCs w:val="24"/>
        </w:rPr>
        <w:t>ile,</w:t>
      </w:r>
      <w:proofErr w:type="gramEnd"/>
      <w:r w:rsidR="002F3144">
        <w:rPr>
          <w:szCs w:val="24"/>
        </w:rPr>
        <w:t xml:space="preserve"> gliseratın C-2 ve C-3’ü arasında fosforil grubunun yer değişimi vasıtasıyla </w:t>
      </w:r>
      <w:r w:rsidRPr="00020290">
        <w:rPr>
          <w:szCs w:val="24"/>
        </w:rPr>
        <w:t>2-fosfogliserata (2PG) dön</w:t>
      </w:r>
      <w:r w:rsidR="002F3144">
        <w:rPr>
          <w:szCs w:val="24"/>
        </w:rPr>
        <w:t xml:space="preserve">üştürülür. Enolaz enzimi, 2PG’tan bir su molekülünü tersinir olarak uzaklaştırarak </w:t>
      </w:r>
      <w:r w:rsidRPr="00020290">
        <w:rPr>
          <w:szCs w:val="24"/>
        </w:rPr>
        <w:t>f</w:t>
      </w:r>
      <w:r w:rsidR="002F3144">
        <w:rPr>
          <w:szCs w:val="24"/>
        </w:rPr>
        <w:t>osfoenolpiruvat (PEP) molekülünün oluşumunu</w:t>
      </w:r>
      <w:r w:rsidRPr="00020290">
        <w:rPr>
          <w:szCs w:val="24"/>
        </w:rPr>
        <w:t xml:space="preserve"> katalizler </w:t>
      </w:r>
      <w:proofErr w:type="gramStart"/>
      <w:r w:rsidRPr="00020290">
        <w:rPr>
          <w:szCs w:val="24"/>
        </w:rPr>
        <w:t>ve  son</w:t>
      </w:r>
      <w:proofErr w:type="gramEnd"/>
      <w:r w:rsidRPr="00020290">
        <w:rPr>
          <w:szCs w:val="24"/>
        </w:rPr>
        <w:t xml:space="preserve"> olarak da piruvat kinaz (PK) enzimi ile PEP’tan bir fosfat grubu ADP’ye aktarılarak ATP ve piruvat molekülü oluşumu sağlanır </w:t>
      </w:r>
      <w:r>
        <w:rPr>
          <w:szCs w:val="24"/>
        </w:rPr>
        <w:t>(</w:t>
      </w:r>
      <w:r w:rsidR="007F644A">
        <w:rPr>
          <w:szCs w:val="24"/>
        </w:rPr>
        <w:t>Nelson ve Cox</w:t>
      </w:r>
      <w:r w:rsidR="007F644A" w:rsidRPr="00020290">
        <w:rPr>
          <w:szCs w:val="24"/>
        </w:rPr>
        <w:t>, 2005</w:t>
      </w:r>
      <w:r w:rsidR="007F644A">
        <w:rPr>
          <w:szCs w:val="24"/>
        </w:rPr>
        <w:t xml:space="preserve">; </w:t>
      </w:r>
      <w:r w:rsidRPr="00553DD3">
        <w:rPr>
          <w:szCs w:val="24"/>
        </w:rPr>
        <w:t>Rajendran</w:t>
      </w:r>
      <w:r>
        <w:rPr>
          <w:szCs w:val="24"/>
        </w:rPr>
        <w:t>, 2011</w:t>
      </w:r>
      <w:r w:rsidRPr="00020290">
        <w:rPr>
          <w:szCs w:val="24"/>
        </w:rPr>
        <w:t>).</w:t>
      </w:r>
    </w:p>
    <w:p w:rsidR="00276E20" w:rsidRPr="00020290" w:rsidRDefault="00276E20" w:rsidP="00276E20">
      <w:pPr>
        <w:autoSpaceDE w:val="0"/>
        <w:autoSpaceDN w:val="0"/>
        <w:adjustRightInd w:val="0"/>
        <w:rPr>
          <w:szCs w:val="24"/>
        </w:rPr>
      </w:pPr>
      <w:r w:rsidRPr="00020290">
        <w:rPr>
          <w:szCs w:val="24"/>
        </w:rPr>
        <w:t xml:space="preserve">Sitoplazmada meydana gelen glikoliziste (normal hücreler), bir glukoz molekülünden 2 ATP, 2 NADH ve 2 piruvat molekülü üretimi gerçekleşir. Normal hücrelerde aerobik koşullarda piruvat mitokondri içine alınır ve piruvat dehidrogenaz (PDH) enzim </w:t>
      </w:r>
      <w:proofErr w:type="gramStart"/>
      <w:r w:rsidRPr="00020290">
        <w:rPr>
          <w:szCs w:val="24"/>
        </w:rPr>
        <w:t>kompleksi</w:t>
      </w:r>
      <w:proofErr w:type="gramEnd"/>
      <w:r w:rsidRPr="00020290">
        <w:rPr>
          <w:szCs w:val="24"/>
        </w:rPr>
        <w:t xml:space="preserve"> yardımıyla Asetil-KoA molekülüne dönüştürülür. Her Asetil-KoA molekülü sitrik asit döngüsüne girer ve sitrik asit döngüsünde yer alan enzimler vasıtasıyla CO</w:t>
      </w:r>
      <w:r w:rsidRPr="00846F89">
        <w:rPr>
          <w:szCs w:val="24"/>
          <w:vertAlign w:val="subscript"/>
        </w:rPr>
        <w:t>2</w:t>
      </w:r>
      <w:r w:rsidRPr="00020290">
        <w:rPr>
          <w:szCs w:val="24"/>
        </w:rPr>
        <w:t>’e okside olur. Glikoliziste üretilen 2 molekül NADH, piruvatın oksidatif dekarboksilasyonu ile üretilen 2 molekül NADH ve sitrik asit döngüsünde üretilen 6 NADH +2 FADH</w:t>
      </w:r>
      <w:r w:rsidRPr="00970A7E">
        <w:rPr>
          <w:szCs w:val="24"/>
          <w:vertAlign w:val="subscript"/>
        </w:rPr>
        <w:t>2</w:t>
      </w:r>
      <w:r w:rsidRPr="00020290">
        <w:rPr>
          <w:szCs w:val="24"/>
        </w:rPr>
        <w:t xml:space="preserve"> molekülleri iç mitokondriyal membran boyunca meydana gelen bir proton graidenti ile "elektron transport sistemine" (ETS) girer. ADP’nin fosforilasyonunu sağlamak üzere kemiozmatik gradient kullanılarak ATP sentaz enzimi ile ATP sentezlenir. Son olarak elektronlar moleküler oksijen tarafından alınır ve su üretilir. Böylece hücreler tarafından tüketilen glukozun her bir molekülünden net 38 ATP sentezlenmiş olur (</w:t>
      </w:r>
      <w:r w:rsidRPr="00553DD3">
        <w:rPr>
          <w:szCs w:val="24"/>
        </w:rPr>
        <w:t>Rajendran</w:t>
      </w:r>
      <w:r>
        <w:rPr>
          <w:szCs w:val="24"/>
        </w:rPr>
        <w:t>, 20</w:t>
      </w:r>
      <w:r w:rsidR="00277BDC">
        <w:rPr>
          <w:szCs w:val="24"/>
        </w:rPr>
        <w:t>11</w:t>
      </w:r>
      <w:r w:rsidRPr="00020290">
        <w:rPr>
          <w:szCs w:val="24"/>
        </w:rPr>
        <w:t>).</w:t>
      </w:r>
    </w:p>
    <w:p w:rsidR="00276E20" w:rsidRPr="00020290" w:rsidRDefault="00276E20" w:rsidP="00276E20">
      <w:pPr>
        <w:autoSpaceDE w:val="0"/>
        <w:autoSpaceDN w:val="0"/>
        <w:adjustRightInd w:val="0"/>
        <w:rPr>
          <w:szCs w:val="24"/>
        </w:rPr>
      </w:pPr>
      <w:r w:rsidRPr="00020290">
        <w:rPr>
          <w:szCs w:val="24"/>
        </w:rPr>
        <w:t xml:space="preserve"> Anaerobik glikolizis ise glukozun düşük oksijen seviyelerinde mitokondriyal oksidasyon yerine glikolizis yoluyla metabolize edildiği bir durumdur (Gill ve ark, 2016).  Anaerobik koşullar altında sitoplazmada glikolizis ile üretilen piruvattan laktat dehidrogenaz (LDH) enzimi vasıtasıyla laktat molekülü oluşturulur. Glikolizisin önemli basamakları sistematik olarak Şekil </w:t>
      </w:r>
      <w:r w:rsidR="00842900">
        <w:rPr>
          <w:szCs w:val="24"/>
        </w:rPr>
        <w:t>2’d</w:t>
      </w:r>
      <w:r w:rsidRPr="00020290">
        <w:rPr>
          <w:szCs w:val="24"/>
        </w:rPr>
        <w:t>e sunulmuştur (Alam ve ark, 2016).</w:t>
      </w:r>
    </w:p>
    <w:p w:rsidR="00276E20" w:rsidRPr="00020290" w:rsidRDefault="00276E20" w:rsidP="00276E20">
      <w:pPr>
        <w:autoSpaceDE w:val="0"/>
        <w:autoSpaceDN w:val="0"/>
        <w:adjustRightInd w:val="0"/>
        <w:rPr>
          <w:szCs w:val="24"/>
        </w:rPr>
      </w:pPr>
    </w:p>
    <w:p w:rsidR="00276E20" w:rsidRPr="00020290" w:rsidRDefault="00276E20" w:rsidP="00A94C5A">
      <w:pPr>
        <w:pStyle w:val="AralkYok"/>
      </w:pPr>
      <w:r w:rsidRPr="00020290">
        <w:rPr>
          <w:noProof/>
          <w:lang w:eastAsia="tr-TR"/>
        </w:rPr>
        <w:lastRenderedPageBreak/>
        <w:drawing>
          <wp:inline distT="0" distB="0" distL="0" distR="0">
            <wp:extent cx="5745671" cy="4536000"/>
            <wp:effectExtent l="19050" t="0" r="7429" b="0"/>
            <wp:docPr id="26"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671" cy="4536000"/>
                    </a:xfrm>
                    <a:prstGeom prst="rect">
                      <a:avLst/>
                    </a:prstGeom>
                    <a:noFill/>
                    <a:ln>
                      <a:noFill/>
                    </a:ln>
                  </pic:spPr>
                </pic:pic>
              </a:graphicData>
            </a:graphic>
          </wp:inline>
        </w:drawing>
      </w:r>
    </w:p>
    <w:p w:rsidR="00276E20" w:rsidRPr="00020290" w:rsidRDefault="00276E20" w:rsidP="00276E20">
      <w:pPr>
        <w:autoSpaceDE w:val="0"/>
        <w:autoSpaceDN w:val="0"/>
        <w:adjustRightInd w:val="0"/>
        <w:rPr>
          <w:szCs w:val="24"/>
        </w:rPr>
      </w:pPr>
      <w:r w:rsidRPr="00802FA6">
        <w:rPr>
          <w:b/>
          <w:szCs w:val="24"/>
        </w:rPr>
        <w:t>Şekil 2</w:t>
      </w:r>
      <w:r w:rsidR="00842900">
        <w:rPr>
          <w:b/>
          <w:szCs w:val="24"/>
        </w:rPr>
        <w:t xml:space="preserve">. </w:t>
      </w:r>
      <w:r w:rsidRPr="00020290">
        <w:rPr>
          <w:szCs w:val="24"/>
        </w:rPr>
        <w:t>Glikolizisin ve TCA döngüsünün metabolik adımları (Alam ve ark, 2016’dan değiştirilerek alınmıştır).</w:t>
      </w:r>
    </w:p>
    <w:p w:rsidR="00276E20" w:rsidRDefault="00276E20" w:rsidP="00276E20">
      <w:pPr>
        <w:autoSpaceDE w:val="0"/>
        <w:autoSpaceDN w:val="0"/>
        <w:adjustRightInd w:val="0"/>
        <w:rPr>
          <w:szCs w:val="24"/>
        </w:rPr>
      </w:pPr>
      <w:r w:rsidRPr="00020290">
        <w:rPr>
          <w:szCs w:val="24"/>
        </w:rPr>
        <w:t xml:space="preserve">                             </w:t>
      </w:r>
    </w:p>
    <w:p w:rsidR="00276E20" w:rsidRPr="00020290" w:rsidRDefault="00276E20" w:rsidP="00276E20">
      <w:pPr>
        <w:autoSpaceDE w:val="0"/>
        <w:autoSpaceDN w:val="0"/>
        <w:adjustRightInd w:val="0"/>
        <w:rPr>
          <w:szCs w:val="24"/>
        </w:rPr>
      </w:pPr>
      <w:r w:rsidRPr="00020290">
        <w:rPr>
          <w:szCs w:val="24"/>
        </w:rPr>
        <w:t xml:space="preserve">                                                  </w:t>
      </w:r>
    </w:p>
    <w:p w:rsidR="00276E20" w:rsidRPr="00020290" w:rsidRDefault="00276E20" w:rsidP="00901B81">
      <w:pPr>
        <w:pStyle w:val="Balk2"/>
      </w:pPr>
      <w:r w:rsidRPr="00020290">
        <w:t>2.</w:t>
      </w:r>
      <w:r w:rsidR="006F4696">
        <w:t>5</w:t>
      </w:r>
      <w:r w:rsidRPr="00020290">
        <w:t>.1</w:t>
      </w:r>
      <w:r w:rsidR="006A4185">
        <w:t>.</w:t>
      </w:r>
      <w:r w:rsidRPr="00020290">
        <w:t xml:space="preserve"> Glikolizis Akışı ve Regülasyonu</w:t>
      </w:r>
    </w:p>
    <w:p w:rsidR="00276E20" w:rsidRPr="00020290" w:rsidRDefault="00276E20" w:rsidP="00276E20">
      <w:pPr>
        <w:autoSpaceDE w:val="0"/>
        <w:autoSpaceDN w:val="0"/>
        <w:adjustRightInd w:val="0"/>
        <w:rPr>
          <w:szCs w:val="24"/>
        </w:rPr>
      </w:pPr>
    </w:p>
    <w:p w:rsidR="00276E20" w:rsidRDefault="00276E20" w:rsidP="00276E20">
      <w:pPr>
        <w:autoSpaceDE w:val="0"/>
        <w:autoSpaceDN w:val="0"/>
        <w:adjustRightInd w:val="0"/>
        <w:rPr>
          <w:szCs w:val="24"/>
        </w:rPr>
      </w:pPr>
      <w:r w:rsidRPr="00020290">
        <w:rPr>
          <w:szCs w:val="24"/>
        </w:rPr>
        <w:t xml:space="preserve">Hücresel düzeyde, glikolizisin önemli iki çıkış noktası vardır. Bunlar laktat atılımı (bazen de alımı) veya glikolizis ile oluşan piruvatın mitokondriye girişidir. Hücreler tarafından alınan glukoz karbonları ayrıca pentoz fosfat yoluna (PPP) ve serin, alanin, gliserol fosfat, vb. moleküllerin sentezine de yönlendirilir. Ancak, bu akışlar laktat ve piruvat akıbetinden daha az oranda gerçekleşir. Sonuç olarak, glukozun hücreye alımı ve hücreden çıkışı dengeli olmalıdır. Glikolizis yoluyla akış glikolizisteki enzimler tarafından sürdürülür ve değişkenlik gösterir. Kanser hücreleri, kök hücreler ve diğer hızlı gelişen hücreler yüksek glikolizis oranına sahipken, pasif hücreler genellikle düşük glikolizis oranına sahiptir. Taşıyıcılar ve birçok glikoliz enzimi çoklu izoformlar içerir. Bu izoformların bileşimi </w:t>
      </w:r>
      <w:r w:rsidR="00F013D0">
        <w:rPr>
          <w:szCs w:val="24"/>
        </w:rPr>
        <w:t>ile</w:t>
      </w:r>
      <w:r w:rsidRPr="00020290">
        <w:rPr>
          <w:szCs w:val="24"/>
        </w:rPr>
        <w:t xml:space="preserve"> </w:t>
      </w:r>
      <w:r w:rsidRPr="00020290">
        <w:rPr>
          <w:szCs w:val="24"/>
        </w:rPr>
        <w:lastRenderedPageBreak/>
        <w:t xml:space="preserve">ekspresyon seviyeleri, farklı dokulardaki hücreler arasında ve hücreler onkojenik </w:t>
      </w:r>
      <w:proofErr w:type="gramStart"/>
      <w:r w:rsidRPr="00020290">
        <w:rPr>
          <w:szCs w:val="24"/>
        </w:rPr>
        <w:t>transformasyona</w:t>
      </w:r>
      <w:proofErr w:type="gramEnd"/>
      <w:r w:rsidRPr="00020290">
        <w:rPr>
          <w:szCs w:val="24"/>
        </w:rPr>
        <w:t xml:space="preserve"> uğradığında değişiklikler göstermektedir (Mulukutla ve ark, 2016). </w:t>
      </w:r>
    </w:p>
    <w:p w:rsidR="00276E20" w:rsidRDefault="00276E20" w:rsidP="00276E20">
      <w:pPr>
        <w:autoSpaceDE w:val="0"/>
        <w:autoSpaceDN w:val="0"/>
        <w:adjustRightInd w:val="0"/>
        <w:rPr>
          <w:b/>
          <w:szCs w:val="24"/>
        </w:rPr>
      </w:pPr>
    </w:p>
    <w:p w:rsidR="00276E20" w:rsidRPr="00020290" w:rsidRDefault="00276E20" w:rsidP="00276E20">
      <w:pPr>
        <w:autoSpaceDE w:val="0"/>
        <w:autoSpaceDN w:val="0"/>
        <w:adjustRightInd w:val="0"/>
        <w:rPr>
          <w:b/>
          <w:szCs w:val="24"/>
        </w:rPr>
      </w:pPr>
    </w:p>
    <w:p w:rsidR="00276E20" w:rsidRPr="00020290" w:rsidRDefault="00276E20" w:rsidP="00901B81">
      <w:pPr>
        <w:pStyle w:val="Balk2"/>
        <w:rPr>
          <w:rFonts w:eastAsiaTheme="minorHAnsi"/>
        </w:rPr>
      </w:pPr>
      <w:r w:rsidRPr="00020290">
        <w:rPr>
          <w:rFonts w:eastAsiaTheme="minorHAnsi"/>
        </w:rPr>
        <w:t>2.</w:t>
      </w:r>
      <w:r w:rsidR="006F4696">
        <w:rPr>
          <w:rFonts w:eastAsiaTheme="minorHAnsi"/>
        </w:rPr>
        <w:t>5</w:t>
      </w:r>
      <w:r w:rsidRPr="00020290">
        <w:rPr>
          <w:rFonts w:eastAsiaTheme="minorHAnsi"/>
        </w:rPr>
        <w:t>.2. Allosterik Regülasyon ve Yüksek Glikolitik Akış</w:t>
      </w:r>
    </w:p>
    <w:p w:rsidR="00276E20" w:rsidRPr="00020290" w:rsidRDefault="00276E20" w:rsidP="00276E20">
      <w:pPr>
        <w:rPr>
          <w:szCs w:val="24"/>
        </w:rPr>
      </w:pPr>
    </w:p>
    <w:p w:rsidR="00276E20" w:rsidRPr="00020290" w:rsidRDefault="00276E20" w:rsidP="00276E20">
      <w:pPr>
        <w:autoSpaceDE w:val="0"/>
        <w:autoSpaceDN w:val="0"/>
        <w:adjustRightInd w:val="0"/>
        <w:rPr>
          <w:szCs w:val="24"/>
        </w:rPr>
      </w:pPr>
      <w:r w:rsidRPr="00020290">
        <w:rPr>
          <w:szCs w:val="24"/>
        </w:rPr>
        <w:t xml:space="preserve">Glikolitik akış oranı, substrat mevcudiyeti, enzim </w:t>
      </w:r>
      <w:proofErr w:type="gramStart"/>
      <w:r w:rsidRPr="00020290">
        <w:rPr>
          <w:szCs w:val="24"/>
        </w:rPr>
        <w:t>konsantrasyonları</w:t>
      </w:r>
      <w:proofErr w:type="gramEnd"/>
      <w:r w:rsidRPr="00020290">
        <w:rPr>
          <w:szCs w:val="24"/>
        </w:rPr>
        <w:t>, allosterik efektörler ve düzenleyici enzimlerde kovalent modifikasyonlar gibi farklı seviyelerde ve farklı mekanizmalarla kontrol edilir. Glikoliziste HK, PFK, 6-fosfosfofrukto-2 kinaz / fruktoz-2,6-bisfosfataz (PFKFB) ve PK gibi bazı enzimler çeşitli metabolitlerin allosterik düzenlemelerine tabi tutulur. Bu enzimlerin her biri, aynı reaksiyonu katalizleyen ancak kinetik özellikleri farklı olan çoklu izoformlara sahiptir. Ayrıca, bu izoformlar, allosterik efektörlere farklı tepkiler verir. Hücre kültürü biyoişlemlerinde kullanılan yüksek proliferativiteye sahip hücrelerde dominant</w:t>
      </w:r>
      <w:r>
        <w:rPr>
          <w:szCs w:val="24"/>
        </w:rPr>
        <w:t xml:space="preserve"> izoformlar olan HK1 ve/veya HK</w:t>
      </w:r>
      <w:r w:rsidR="009D7747">
        <w:rPr>
          <w:szCs w:val="24"/>
        </w:rPr>
        <w:t>2</w:t>
      </w:r>
      <w:r>
        <w:rPr>
          <w:szCs w:val="24"/>
        </w:rPr>
        <w:t xml:space="preserve">, </w:t>
      </w:r>
      <w:r w:rsidRPr="00020290">
        <w:rPr>
          <w:szCs w:val="24"/>
        </w:rPr>
        <w:t>PFKFB3, kas ve / veya karaciğer PFK izoformları (PFKM/L) ve PKM2 enzimlerinin overeksprese olduğu görülür. Bu hücrelerdeki glikolizis akışı, allosterik düzenlemeden yüksek ölçüde etkilenir (Mulukutla ve ark, 2016).</w:t>
      </w:r>
    </w:p>
    <w:p w:rsidR="00276E20" w:rsidRPr="00020290" w:rsidRDefault="00276E20" w:rsidP="00276E20">
      <w:pPr>
        <w:autoSpaceDE w:val="0"/>
        <w:autoSpaceDN w:val="0"/>
        <w:adjustRightInd w:val="0"/>
        <w:rPr>
          <w:szCs w:val="24"/>
        </w:rPr>
      </w:pPr>
      <w:r>
        <w:rPr>
          <w:szCs w:val="24"/>
        </w:rPr>
        <w:t>HKI/II</w:t>
      </w:r>
      <w:r w:rsidRPr="00020290">
        <w:rPr>
          <w:szCs w:val="24"/>
        </w:rPr>
        <w:t xml:space="preserve">, son ürünü olan G6P tarafından inhibe edilir. PFKM/L aktivitesi F6P; F2,6BP, F1,6BP ve AMP ile pozitif olarak; sitrat, ATP ve laktat ile ise negatif olarak düzenlenir (Şekil </w:t>
      </w:r>
      <w:r>
        <w:rPr>
          <w:szCs w:val="24"/>
        </w:rPr>
        <w:t>3</w:t>
      </w:r>
      <w:r w:rsidRPr="00020290">
        <w:rPr>
          <w:szCs w:val="24"/>
        </w:rPr>
        <w:t xml:space="preserve">). PK'ın memeli sistemlerinde M1, M2, L ve R olmak üzere dört izoformu eksprese edilir. PKM2, çoğalan hücrelerde eksprese edilen baskın bir izoformdur ve PPP, serin ve nükleotitlerin biyosentezinin de </w:t>
      </w:r>
      <w:proofErr w:type="gramStart"/>
      <w:r w:rsidRPr="00020290">
        <w:rPr>
          <w:szCs w:val="24"/>
        </w:rPr>
        <w:t>dahil</w:t>
      </w:r>
      <w:proofErr w:type="gramEnd"/>
      <w:r w:rsidRPr="00020290">
        <w:rPr>
          <w:szCs w:val="24"/>
        </w:rPr>
        <w:t xml:space="preserve"> olduğu biyosentetik yollara glukoz akışının düzenlenmesinde kilit rol oynar. F1,6BP, PKM1 hariç tüm PK izoformlarını, allosterik olarak aktive eder </w:t>
      </w:r>
      <w:r w:rsidR="007F644A">
        <w:rPr>
          <w:szCs w:val="24"/>
        </w:rPr>
        <w:t xml:space="preserve">(Mulukutla ve ark, 2016) </w:t>
      </w:r>
      <w:r w:rsidR="007F644A" w:rsidRPr="00020290">
        <w:rPr>
          <w:szCs w:val="24"/>
        </w:rPr>
        <w:t xml:space="preserve">(Şekil </w:t>
      </w:r>
      <w:r w:rsidR="007F644A">
        <w:rPr>
          <w:szCs w:val="24"/>
        </w:rPr>
        <w:t>3</w:t>
      </w:r>
      <w:r w:rsidR="007F644A" w:rsidRPr="00020290">
        <w:rPr>
          <w:szCs w:val="24"/>
        </w:rPr>
        <w:t>)</w:t>
      </w:r>
      <w:r w:rsidR="007F644A">
        <w:rPr>
          <w:szCs w:val="24"/>
        </w:rPr>
        <w:t>.</w:t>
      </w:r>
    </w:p>
    <w:p w:rsidR="00276E20" w:rsidRPr="00020290" w:rsidRDefault="00276E20" w:rsidP="00276E20">
      <w:pPr>
        <w:autoSpaceDE w:val="0"/>
        <w:autoSpaceDN w:val="0"/>
        <w:adjustRightInd w:val="0"/>
        <w:rPr>
          <w:szCs w:val="24"/>
        </w:rPr>
      </w:pPr>
      <w:r w:rsidRPr="00020290">
        <w:rPr>
          <w:szCs w:val="24"/>
        </w:rPr>
        <w:t xml:space="preserve">GAPDH, G3P’ı 1,3BPG’ye dönüştüren glikolizisteki beşinci </w:t>
      </w:r>
      <w:r w:rsidR="002C36EA">
        <w:rPr>
          <w:szCs w:val="24"/>
        </w:rPr>
        <w:t>adımı katalizler (Locasale, 2018</w:t>
      </w:r>
      <w:r w:rsidRPr="00020290">
        <w:rPr>
          <w:szCs w:val="24"/>
        </w:rPr>
        <w:t>). Metabolik kontrol analizleri, belirli koşullar altında GAPDH'in glikolitik yol akışı üzerinde kontrol edici etkisini göstermiştir. Yapılan bazı hesaplamalar da GAPDH'in PFK ve PK gibi standart hız belirleyici adımlardaki enzimler kadar Warburg etkisi esnasında glikoliz kontr</w:t>
      </w:r>
      <w:r w:rsidR="00D83A78">
        <w:rPr>
          <w:szCs w:val="24"/>
        </w:rPr>
        <w:t>olü sağladığını ispatlamıştır (</w:t>
      </w:r>
      <w:r w:rsidRPr="00020290">
        <w:rPr>
          <w:szCs w:val="24"/>
        </w:rPr>
        <w:t>Shestov ve ark, 2014; Van Heerden ve ark, 2014</w:t>
      </w:r>
      <w:r w:rsidR="007F644A">
        <w:rPr>
          <w:szCs w:val="24"/>
        </w:rPr>
        <w:t xml:space="preserve">; </w:t>
      </w:r>
      <w:r w:rsidR="007F644A" w:rsidRPr="00020290">
        <w:rPr>
          <w:szCs w:val="24"/>
        </w:rPr>
        <w:t>Liberti ve ark, 2017</w:t>
      </w:r>
      <w:r w:rsidRPr="00020290">
        <w:rPr>
          <w:szCs w:val="24"/>
        </w:rPr>
        <w:t>). GAPDH basamağında da sayısız başka negatif düzenleme unsurunun gerçekleştiği anlaşılmaktadır. 1,3BPG'nin GAPDH'nin aktif bölgesi yakınında bir lizini kovalent olarak modifiye ettiği gösterilmiştir (Moollering ve Cravatt, 2013).  Bu nedenle, eğer bu asilasyon reaksiyonu hücrelerde kayda değer kinetiklerle oluşabilirse, negatif bir geri b</w:t>
      </w:r>
      <w:r w:rsidR="00842900">
        <w:rPr>
          <w:szCs w:val="24"/>
        </w:rPr>
        <w:t xml:space="preserve">esleme döngüsü oluşturur (Şekil </w:t>
      </w:r>
      <w:r>
        <w:rPr>
          <w:szCs w:val="24"/>
        </w:rPr>
        <w:t>3</w:t>
      </w:r>
      <w:r w:rsidRPr="00020290">
        <w:rPr>
          <w:szCs w:val="24"/>
        </w:rPr>
        <w:t xml:space="preserve">). Mitokondriyal metabolizmadan türetilen açil-koenzim A türleri gibi </w:t>
      </w:r>
      <w:r w:rsidRPr="00020290">
        <w:rPr>
          <w:szCs w:val="24"/>
        </w:rPr>
        <w:lastRenderedPageBreak/>
        <w:t>glikolizisin aşağı basamaklarında yer alan diğer metabolizma ürünleri de GAPDH ile reaksiyona girerek aktivitesini kovalent olarak değiştirir ve inhibe eder (</w:t>
      </w:r>
      <w:r w:rsidR="007F644A" w:rsidRPr="00020290">
        <w:rPr>
          <w:szCs w:val="24"/>
        </w:rPr>
        <w:t xml:space="preserve">Wagner ve </w:t>
      </w:r>
      <w:r w:rsidR="007F644A">
        <w:rPr>
          <w:szCs w:val="24"/>
        </w:rPr>
        <w:t>Hirschey</w:t>
      </w:r>
      <w:r w:rsidR="007F644A" w:rsidRPr="00020290">
        <w:rPr>
          <w:szCs w:val="24"/>
        </w:rPr>
        <w:t>, 2014</w:t>
      </w:r>
      <w:r w:rsidR="007F644A">
        <w:rPr>
          <w:szCs w:val="24"/>
        </w:rPr>
        <w:t xml:space="preserve">; </w:t>
      </w:r>
      <w:r w:rsidRPr="00020290">
        <w:rPr>
          <w:szCs w:val="24"/>
        </w:rPr>
        <w:t>Nishida ve</w:t>
      </w:r>
      <w:r w:rsidR="007F644A">
        <w:rPr>
          <w:szCs w:val="24"/>
        </w:rPr>
        <w:t xml:space="preserve"> ark, 2015; Wagner ve ark, 2017</w:t>
      </w:r>
      <w:r w:rsidRPr="00020290">
        <w:rPr>
          <w:szCs w:val="24"/>
        </w:rPr>
        <w:t>). Bunun yanında hidrojen peroksit (H</w:t>
      </w:r>
      <w:r w:rsidRPr="00020290">
        <w:rPr>
          <w:szCs w:val="24"/>
          <w:vertAlign w:val="subscript"/>
        </w:rPr>
        <w:t>2</w:t>
      </w:r>
      <w:r w:rsidRPr="00020290">
        <w:rPr>
          <w:szCs w:val="24"/>
        </w:rPr>
        <w:t>0</w:t>
      </w:r>
      <w:r w:rsidRPr="00020290">
        <w:rPr>
          <w:szCs w:val="24"/>
          <w:vertAlign w:val="subscript"/>
        </w:rPr>
        <w:t>2</w:t>
      </w:r>
      <w:r w:rsidRPr="00020290">
        <w:rPr>
          <w:szCs w:val="24"/>
        </w:rPr>
        <w:t>) aracılı oksidasyon ve katalitik sisteinin etkisiz hale getirilmesi yoluyla üretilen reaktif oksijen türleri (ROS) de GAPDH aktivitesini negatif yönde</w:t>
      </w:r>
      <w:r w:rsidR="00B12B4D">
        <w:rPr>
          <w:szCs w:val="24"/>
        </w:rPr>
        <w:t xml:space="preserve"> regüle eder (Yun ve ark, 2015)</w:t>
      </w:r>
      <w:r w:rsidRPr="00020290">
        <w:rPr>
          <w:szCs w:val="24"/>
        </w:rPr>
        <w:t xml:space="preserve"> </w:t>
      </w:r>
      <w:r w:rsidR="00347D87" w:rsidRPr="00020290">
        <w:rPr>
          <w:szCs w:val="24"/>
        </w:rPr>
        <w:t xml:space="preserve">(Şekil </w:t>
      </w:r>
      <w:r w:rsidR="00347D87">
        <w:rPr>
          <w:szCs w:val="24"/>
        </w:rPr>
        <w:t>3</w:t>
      </w:r>
      <w:r w:rsidR="00347D87" w:rsidRPr="00020290">
        <w:rPr>
          <w:szCs w:val="24"/>
        </w:rPr>
        <w:t>)</w:t>
      </w:r>
      <w:r w:rsidR="001A74AB">
        <w:rPr>
          <w:szCs w:val="24"/>
        </w:rPr>
        <w:t>.</w:t>
      </w:r>
    </w:p>
    <w:p w:rsidR="00276E2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Default="00276E20" w:rsidP="00901B81">
      <w:pPr>
        <w:pStyle w:val="Balk2"/>
      </w:pPr>
      <w:r w:rsidRPr="00020290">
        <w:t>2.</w:t>
      </w:r>
      <w:r w:rsidR="006F4696">
        <w:t>5</w:t>
      </w:r>
      <w:r w:rsidRPr="00020290">
        <w:t>.3</w:t>
      </w:r>
      <w:r w:rsidR="006A4185">
        <w:t>.</w:t>
      </w:r>
      <w:r w:rsidRPr="00020290">
        <w:t xml:space="preserve"> Dallı biyosentetik yollara Glikolitik Akışın Düzenlenmesi</w:t>
      </w:r>
    </w:p>
    <w:p w:rsidR="00276E20" w:rsidRPr="00020290" w:rsidRDefault="00276E20" w:rsidP="00276E20">
      <w:pPr>
        <w:rPr>
          <w:b/>
          <w:szCs w:val="24"/>
        </w:rPr>
      </w:pPr>
    </w:p>
    <w:p w:rsidR="00276E20" w:rsidRPr="00020290" w:rsidRDefault="00276E20" w:rsidP="00276E20">
      <w:pPr>
        <w:autoSpaceDE w:val="0"/>
        <w:autoSpaceDN w:val="0"/>
        <w:adjustRightInd w:val="0"/>
        <w:rPr>
          <w:szCs w:val="24"/>
        </w:rPr>
      </w:pPr>
      <w:r w:rsidRPr="00020290">
        <w:rPr>
          <w:szCs w:val="24"/>
        </w:rPr>
        <w:t xml:space="preserve">Glikolitik piruvat, laktat üretimine ve Krebs döngüsüne doğru kanalize edilmesinin yanı sıra PPP, nükleotit sentezi, gliserol-fosfat ve serin/glisin/treonin biyosentezine de yönlendirilir. Bu yollardan geçen akış hücresel enerjiyi ve biyosentetik ihtiyaçları karşılamak amacıyla farklı büyüme koşulları altında değişkenlik gösterir. Hücreler bu akışları kısmen glikolizdeki anahtar enzimler üzerinde uygulanan allosterik düzenleme yoluyla kontrol ederler. Örneğin, PFK aktivitesi aynı zamanda F2,6BP’nin bağlanma yeri olan Ser529 kalıntısında post-translasyonel o-glikoNAsetilasyon yolu ile akut olarak inhibe edilir. </w:t>
      </w:r>
      <w:proofErr w:type="gramStart"/>
      <w:r w:rsidRPr="00020290">
        <w:rPr>
          <w:szCs w:val="24"/>
        </w:rPr>
        <w:t>o</w:t>
      </w:r>
      <w:proofErr w:type="gramEnd"/>
      <w:r w:rsidRPr="00020290">
        <w:rPr>
          <w:szCs w:val="24"/>
        </w:rPr>
        <w:t xml:space="preserve">-glikoNAsetilasyon, F2,6BP’nin bağlanmasını böylece PFK aktivasyonunu azaltır (Yi ve ark, 2012). </w:t>
      </w:r>
      <w:proofErr w:type="gramStart"/>
      <w:r w:rsidRPr="00020290">
        <w:rPr>
          <w:szCs w:val="24"/>
        </w:rPr>
        <w:t>o</w:t>
      </w:r>
      <w:proofErr w:type="gramEnd"/>
      <w:r w:rsidRPr="00020290">
        <w:rPr>
          <w:szCs w:val="24"/>
        </w:rPr>
        <w:t xml:space="preserve">-glikoNAsetilasyon yoluyla azalan PFK aktivitesi glikoliz yolu akışını düşürür ve hücrelerin biyosentetik ihtiyaçları için ara madde ve NADPH sağlamak amacıyla glukozu PPP’ye doğru yönlendirir. </w:t>
      </w:r>
      <w:proofErr w:type="gramStart"/>
      <w:r w:rsidRPr="00020290">
        <w:rPr>
          <w:szCs w:val="24"/>
        </w:rPr>
        <w:t>o</w:t>
      </w:r>
      <w:proofErr w:type="gramEnd"/>
      <w:r w:rsidRPr="00020290">
        <w:rPr>
          <w:szCs w:val="24"/>
        </w:rPr>
        <w:t>-glikoNAsetilasyon; glutamin, glukoz, UTP, asetil KoA ve ATP dahil olmak üzere biyosentetik öncüllerin mevcudiyetinin kolektif göstergesi olduğu düşünülen üridin-difosfat N-Asetilglukozamin (UDP-GlcNAc)’nin hücre içi konsantrasyonuna dinamik olarak yanıt verir. PFKL ve PFKP o-glikoNAsetilasyon’a oldukça hassastır (Mulukutla ve ark, 2016).</w:t>
      </w:r>
    </w:p>
    <w:p w:rsidR="00276E20" w:rsidRPr="00020290" w:rsidRDefault="00276E20" w:rsidP="00276E20">
      <w:pPr>
        <w:autoSpaceDE w:val="0"/>
        <w:autoSpaceDN w:val="0"/>
        <w:adjustRightInd w:val="0"/>
        <w:rPr>
          <w:szCs w:val="24"/>
        </w:rPr>
      </w:pPr>
      <w:r w:rsidRPr="00020290">
        <w:rPr>
          <w:szCs w:val="24"/>
        </w:rPr>
        <w:t>Pürin biyosentezinin bir aracı olan fosforibozilaminoimidazolesüksinokarboksamid (SAICAR), özellikle PK'nin M2 izoformunun aktivitesini uyarır (Keller ve ark, 2012). SAICAR, akut glukoz açlığı altındaki hücrelerde birikir ve bu da PKM2'ye bağlanmasında bir artışa neden olur. PKM2'nin intrinsik aktivitesi düşüktür ve PEP için K</w:t>
      </w:r>
      <w:r w:rsidRPr="00020290">
        <w:rPr>
          <w:szCs w:val="24"/>
          <w:vertAlign w:val="subscript"/>
        </w:rPr>
        <w:t>M</w:t>
      </w:r>
      <w:r w:rsidRPr="00020290">
        <w:rPr>
          <w:szCs w:val="24"/>
        </w:rPr>
        <w:t>'si PKM1'inkinden daha yüksektir (Yamada ve Noguchi, 1999). SAICAR'ın bağlanışındaki artış, PEP için K</w:t>
      </w:r>
      <w:r w:rsidRPr="00020290">
        <w:rPr>
          <w:szCs w:val="24"/>
          <w:vertAlign w:val="subscript"/>
        </w:rPr>
        <w:t>M</w:t>
      </w:r>
      <w:r w:rsidRPr="00020290">
        <w:rPr>
          <w:szCs w:val="24"/>
        </w:rPr>
        <w:t>'yi azaltır ve ATP sentezi için mitokondriye daha fazla glukoz akışının kanalize edilmesiyle sonuçlanan PKM2 aktivitesini ar</w:t>
      </w:r>
      <w:r w:rsidR="00842900">
        <w:rPr>
          <w:szCs w:val="24"/>
        </w:rPr>
        <w:t xml:space="preserve">ttırır (Şekil </w:t>
      </w:r>
      <w:r>
        <w:rPr>
          <w:szCs w:val="24"/>
        </w:rPr>
        <w:t>3</w:t>
      </w:r>
      <w:r w:rsidRPr="00020290">
        <w:rPr>
          <w:szCs w:val="24"/>
        </w:rPr>
        <w:t>).  Böyle bir mekanizmanın, glukoz-sınırlı koşullar altında kanser hücrelerinin sağkalımını arttırdığı gösterilmiştir (Mulukutla ve ark, 2016).</w:t>
      </w:r>
    </w:p>
    <w:p w:rsidR="00276E20" w:rsidRPr="00020290" w:rsidRDefault="00276E20" w:rsidP="00276E20">
      <w:pPr>
        <w:autoSpaceDE w:val="0"/>
        <w:autoSpaceDN w:val="0"/>
        <w:adjustRightInd w:val="0"/>
        <w:rPr>
          <w:szCs w:val="24"/>
        </w:rPr>
      </w:pPr>
      <w:r w:rsidRPr="00020290">
        <w:rPr>
          <w:szCs w:val="24"/>
        </w:rPr>
        <w:lastRenderedPageBreak/>
        <w:t xml:space="preserve">PKM2’nin aktivitesi; serin, fenilalanin ve diğer </w:t>
      </w:r>
      <w:proofErr w:type="gramStart"/>
      <w:r w:rsidRPr="00020290">
        <w:rPr>
          <w:szCs w:val="24"/>
        </w:rPr>
        <w:t>amino</w:t>
      </w:r>
      <w:proofErr w:type="gramEnd"/>
      <w:r w:rsidRPr="00020290">
        <w:rPr>
          <w:szCs w:val="24"/>
        </w:rPr>
        <w:t xml:space="preserve"> asitler tarafından allosterik olarak düzenlenir (Morgan ve ark, 2013). PKM2 monomerik haliyle sadece bazal aktiviteye sahiptir ve tamamen işlevsel hale gelmesi için oligomerizasyonu gerekir. Aktivatör F1,6BP’nin bağlanması PKM2’yi aktif tetramerik bir durumda kilitler, buna karşın fenilalanin bağlanması ise onu inaktif tetramerik bir yapıya dönüştürür (Morgan ve ark, 2013). Yüksek fenilalanin </w:t>
      </w:r>
      <w:proofErr w:type="gramStart"/>
      <w:r w:rsidRPr="00020290">
        <w:rPr>
          <w:szCs w:val="24"/>
        </w:rPr>
        <w:t>konsantrasyonları</w:t>
      </w:r>
      <w:proofErr w:type="gramEnd"/>
      <w:r w:rsidRPr="00020290">
        <w:rPr>
          <w:szCs w:val="24"/>
        </w:rPr>
        <w:t xml:space="preserve"> veya triiyodotirozin (T3) hormonu stimülasyonu ile PKM2 aktivitesi kısıtlanabilir. PKM2 ayrıca PKM2’nin doğal bir ligandı ve aktivatörü olarak tanımlanmış olan serinin hücresel seviyelerine cevap verir (Chaneton ve ark, 2012). Yüksek seviyelerde serin, PKM2 üzerinde bir bölgeye bağlanır, böylece PEP’e karşı K</w:t>
      </w:r>
      <w:r w:rsidRPr="00020290">
        <w:rPr>
          <w:szCs w:val="24"/>
          <w:vertAlign w:val="subscript"/>
        </w:rPr>
        <w:t>M</w:t>
      </w:r>
      <w:r w:rsidRPr="00020290">
        <w:rPr>
          <w:szCs w:val="24"/>
        </w:rPr>
        <w:t>’sini d</w:t>
      </w:r>
      <w:r w:rsidR="00D36328">
        <w:rPr>
          <w:szCs w:val="24"/>
        </w:rPr>
        <w:t xml:space="preserve">üşürür ve aktivitesini arttırır. </w:t>
      </w:r>
      <w:r>
        <w:rPr>
          <w:szCs w:val="24"/>
        </w:rPr>
        <w:t>PKM2 aktivitesini inhibe eden diğer</w:t>
      </w:r>
      <w:r w:rsidRPr="00020290">
        <w:rPr>
          <w:szCs w:val="24"/>
        </w:rPr>
        <w:t xml:space="preserve"> faktörler arasında PKM2 Cys358 kalıntısının oksidasyonu, bir fosfotirozin peptidin bağlanması veya PKM2’nin tirozin kinaz sinyalizasyonu ile fosforilasyonu bulunur (Christofk ve ark, 2008; Hitosugi ve ark, 2009</w:t>
      </w:r>
      <w:r w:rsidR="007F644A">
        <w:rPr>
          <w:szCs w:val="24"/>
        </w:rPr>
        <w:t>; Anastasiou ve ark, 2011</w:t>
      </w:r>
      <w:r w:rsidRPr="00020290">
        <w:rPr>
          <w:szCs w:val="24"/>
        </w:rPr>
        <w:t>).</w:t>
      </w:r>
    </w:p>
    <w:p w:rsidR="00276E20" w:rsidRPr="00020290" w:rsidRDefault="00276E20" w:rsidP="00276E20">
      <w:pPr>
        <w:autoSpaceDE w:val="0"/>
        <w:autoSpaceDN w:val="0"/>
        <w:adjustRightInd w:val="0"/>
        <w:rPr>
          <w:szCs w:val="24"/>
        </w:rPr>
      </w:pPr>
      <w:r w:rsidRPr="00020290">
        <w:rPr>
          <w:szCs w:val="24"/>
        </w:rPr>
        <w:t>Son zamanlarda, PGAM’ın, glikoliz, PPP ve serin biyosentezi gibi dallanma yolları vasıtasıyla karbon akışı üzerinde bir etkisi olduğu gösterilmiştir. Yüksek PGAM seviyelerine sahip kanserlerde daha yüksek seyreden glikolitik akış, sırasıyla PGAM’ın substratı ve reaksiyon ürünü olan 3PG’ın düşük seviyelerine ve 2PG’ın daha yüksek seviyelerine yol açar (Hitosugi ve ark, 2012). 3PG, PPP'deki ilk enz</w:t>
      </w:r>
      <w:r w:rsidR="00095114">
        <w:rPr>
          <w:szCs w:val="24"/>
        </w:rPr>
        <w:t>im olan 6-fosfoglukonat dehidrog</w:t>
      </w:r>
      <w:r w:rsidRPr="00020290">
        <w:rPr>
          <w:szCs w:val="24"/>
        </w:rPr>
        <w:t>enazı (6PGDH) inhibe ederken; 2PG, serin biyosentez yolundaki il</w:t>
      </w:r>
      <w:r w:rsidR="00095114">
        <w:rPr>
          <w:szCs w:val="24"/>
        </w:rPr>
        <w:t>k enzim 3-fosfogliserat dehidrog</w:t>
      </w:r>
      <w:r w:rsidRPr="00020290">
        <w:rPr>
          <w:szCs w:val="24"/>
        </w:rPr>
        <w:t xml:space="preserve">enaz (PHGDH)’ı aktive eder (Şekil </w:t>
      </w:r>
      <w:r>
        <w:rPr>
          <w:szCs w:val="24"/>
        </w:rPr>
        <w:t>3</w:t>
      </w:r>
      <w:r w:rsidRPr="00020290">
        <w:rPr>
          <w:szCs w:val="24"/>
        </w:rPr>
        <w:t>). Buna göre, 6PGDH ve PHGDH, yüksek PGAM'li tümör hücrelerinde uyarılır, bu da glikolitik akışın PPP'ye ve serin biyosentezine kanalize edilmesine yol açar (Mulukutla ve ark, 2016).</w:t>
      </w:r>
    </w:p>
    <w:p w:rsidR="00276E20" w:rsidRPr="00020290" w:rsidRDefault="00276E20" w:rsidP="00276E20">
      <w:pPr>
        <w:autoSpaceDE w:val="0"/>
        <w:autoSpaceDN w:val="0"/>
        <w:adjustRightInd w:val="0"/>
        <w:rPr>
          <w:szCs w:val="24"/>
        </w:rPr>
      </w:pPr>
    </w:p>
    <w:p w:rsidR="00276E20" w:rsidRDefault="00276E20" w:rsidP="00276E20">
      <w:pPr>
        <w:autoSpaceDE w:val="0"/>
        <w:autoSpaceDN w:val="0"/>
        <w:adjustRightInd w:val="0"/>
        <w:rPr>
          <w:szCs w:val="24"/>
        </w:rPr>
      </w:pPr>
      <w:r w:rsidRPr="00020290">
        <w:rPr>
          <w:noProof/>
          <w:szCs w:val="24"/>
          <w:lang w:eastAsia="tr-TR"/>
        </w:rPr>
        <w:lastRenderedPageBreak/>
        <w:drawing>
          <wp:inline distT="0" distB="0" distL="0" distR="0">
            <wp:extent cx="5000367" cy="5842587"/>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999204" cy="5841228"/>
                    </a:xfrm>
                    <a:prstGeom prst="rect">
                      <a:avLst/>
                    </a:prstGeom>
                    <a:noFill/>
                    <a:ln w="9525">
                      <a:noFill/>
                      <a:miter lim="800000"/>
                      <a:headEnd/>
                      <a:tailEnd/>
                    </a:ln>
                  </pic:spPr>
                </pic:pic>
              </a:graphicData>
            </a:graphic>
          </wp:inline>
        </w:drawing>
      </w:r>
    </w:p>
    <w:p w:rsidR="00276E20" w:rsidRPr="00020290" w:rsidRDefault="00276E20" w:rsidP="00276E20">
      <w:pPr>
        <w:autoSpaceDE w:val="0"/>
        <w:autoSpaceDN w:val="0"/>
        <w:adjustRightInd w:val="0"/>
        <w:rPr>
          <w:szCs w:val="24"/>
        </w:rPr>
      </w:pPr>
    </w:p>
    <w:p w:rsidR="00276E20" w:rsidRPr="00020290" w:rsidRDefault="00842900" w:rsidP="00276E20">
      <w:pPr>
        <w:autoSpaceDE w:val="0"/>
        <w:autoSpaceDN w:val="0"/>
        <w:adjustRightInd w:val="0"/>
        <w:rPr>
          <w:b/>
          <w:szCs w:val="24"/>
        </w:rPr>
      </w:pPr>
      <w:r>
        <w:rPr>
          <w:b/>
          <w:szCs w:val="24"/>
        </w:rPr>
        <w:t xml:space="preserve">Şekil </w:t>
      </w:r>
      <w:r w:rsidR="00276E20" w:rsidRPr="00802FA6">
        <w:rPr>
          <w:b/>
          <w:szCs w:val="24"/>
        </w:rPr>
        <w:t>3</w:t>
      </w:r>
      <w:r w:rsidR="00802FA6">
        <w:rPr>
          <w:b/>
          <w:szCs w:val="24"/>
        </w:rPr>
        <w:t>.</w:t>
      </w:r>
      <w:r w:rsidR="00276E20" w:rsidRPr="00802FA6">
        <w:rPr>
          <w:szCs w:val="24"/>
        </w:rPr>
        <w:t xml:space="preserve"> </w:t>
      </w:r>
      <w:r w:rsidR="00276E20" w:rsidRPr="00020290">
        <w:rPr>
          <w:szCs w:val="24"/>
        </w:rPr>
        <w:t xml:space="preserve">Glikolizis ile pozitif ve negatif feedback </w:t>
      </w:r>
      <w:proofErr w:type="gramStart"/>
      <w:r w:rsidR="00276E20" w:rsidRPr="00020290">
        <w:rPr>
          <w:szCs w:val="24"/>
        </w:rPr>
        <w:t>regülasyonlarının</w:t>
      </w:r>
      <w:proofErr w:type="gramEnd"/>
      <w:r w:rsidR="00276E20" w:rsidRPr="00020290">
        <w:rPr>
          <w:szCs w:val="24"/>
        </w:rPr>
        <w:t xml:space="preserve"> mekanizmalarına genel bakış (Locasale</w:t>
      </w:r>
      <w:r w:rsidR="002C36EA">
        <w:rPr>
          <w:szCs w:val="24"/>
        </w:rPr>
        <w:t>, 2018</w:t>
      </w:r>
      <w:r w:rsidR="00276E20" w:rsidRPr="00020290">
        <w:rPr>
          <w:szCs w:val="24"/>
        </w:rPr>
        <w:t>’den değiştirilerek alınmıştır).</w:t>
      </w:r>
      <w:r w:rsidR="00276E20" w:rsidRPr="00020290">
        <w:rPr>
          <w:b/>
          <w:szCs w:val="24"/>
        </w:rPr>
        <w:t xml:space="preserve"> </w:t>
      </w:r>
    </w:p>
    <w:p w:rsidR="00276E20" w:rsidRPr="00AC3C6A" w:rsidRDefault="00276E20" w:rsidP="00276E20">
      <w:pPr>
        <w:autoSpaceDE w:val="0"/>
        <w:autoSpaceDN w:val="0"/>
        <w:adjustRightInd w:val="0"/>
      </w:pPr>
      <w:r w:rsidRPr="00187541">
        <w:rPr>
          <w:sz w:val="20"/>
          <w:szCs w:val="20"/>
        </w:rPr>
        <w:t>Kısaltmalar: G6P: </w:t>
      </w:r>
      <w:hyperlink r:id="rId15" w:tooltip="Learn more about Glucose 6-Phosphate from ScienceDirect's AI-generated Topic Pages" w:history="1">
        <w:r w:rsidRPr="00187541">
          <w:rPr>
            <w:sz w:val="20"/>
            <w:szCs w:val="20"/>
          </w:rPr>
          <w:t>Glukoz-6-fosfat</w:t>
        </w:r>
      </w:hyperlink>
      <w:r w:rsidRPr="00187541">
        <w:rPr>
          <w:sz w:val="20"/>
          <w:szCs w:val="20"/>
        </w:rPr>
        <w:t>, F6P: Fruktoz-6-fosfat, F(1,6)BP: Fruktoz (1,6)</w:t>
      </w:r>
      <w:hyperlink r:id="rId16" w:tooltip="Learn more about Fructose 1,6-bisphosphate from ScienceDirect's AI-generated Topic Pages" w:history="1">
        <w:r w:rsidRPr="00187541">
          <w:rPr>
            <w:sz w:val="20"/>
            <w:szCs w:val="20"/>
          </w:rPr>
          <w:t>bisfosfat</w:t>
        </w:r>
      </w:hyperlink>
      <w:r w:rsidRPr="00187541">
        <w:rPr>
          <w:sz w:val="20"/>
          <w:szCs w:val="20"/>
        </w:rPr>
        <w:t>, DHAP:</w:t>
      </w:r>
      <w:hyperlink r:id="rId17" w:tooltip="Learn more about Dihydroxyacetone Phosphate from ScienceDirect's AI-generated Topic Pages" w:history="1">
        <w:r w:rsidRPr="00187541">
          <w:rPr>
            <w:sz w:val="20"/>
            <w:szCs w:val="20"/>
          </w:rPr>
          <w:t>Dihidroksiaseton fosfat</w:t>
        </w:r>
      </w:hyperlink>
      <w:r w:rsidRPr="00187541">
        <w:rPr>
          <w:sz w:val="20"/>
          <w:szCs w:val="20"/>
        </w:rPr>
        <w:t>, G3P:Gliseraldehid-3-fosfat, 1,3BPG: 1,3-bisfosfogliserat, 2,3BPG: 2,3-bisfosfogliserat, 3PG:3-fosfogliserat, 2PG: 2-fosfogliserat, PEP: fosfoenolpiruvat, Pyr: piruvat, Lac: laktat, SAICAR: 2-[5-Amino-1-(5-fosfo-d-ribozil)imidazol-4-karboksamido] süksinat</w:t>
      </w:r>
      <w:proofErr w:type="gramStart"/>
      <w:r w:rsidRPr="00187541">
        <w:rPr>
          <w:sz w:val="20"/>
          <w:szCs w:val="20"/>
        </w:rPr>
        <w:t>)</w:t>
      </w:r>
      <w:proofErr w:type="gramEnd"/>
      <w:r w:rsidRPr="00187541">
        <w:rPr>
          <w:sz w:val="20"/>
          <w:szCs w:val="20"/>
        </w:rPr>
        <w:t>, NAD</w:t>
      </w:r>
      <w:r w:rsidRPr="00187541">
        <w:rPr>
          <w:sz w:val="20"/>
          <w:szCs w:val="20"/>
          <w:vertAlign w:val="superscript"/>
        </w:rPr>
        <w:t>+</w:t>
      </w:r>
      <w:r w:rsidRPr="00187541">
        <w:rPr>
          <w:sz w:val="20"/>
          <w:szCs w:val="20"/>
        </w:rPr>
        <w:t>: </w:t>
      </w:r>
      <w:hyperlink r:id="rId18" w:tooltip="Learn more about Nicotinamide Adenine Dinucleotide from ScienceDirect's AI-generated Topic Pages" w:history="1">
        <w:r w:rsidRPr="00187541">
          <w:rPr>
            <w:sz w:val="20"/>
            <w:szCs w:val="20"/>
          </w:rPr>
          <w:t>Nikotinamid</w:t>
        </w:r>
      </w:hyperlink>
      <w:r w:rsidRPr="00187541">
        <w:rPr>
          <w:sz w:val="20"/>
          <w:szCs w:val="20"/>
        </w:rPr>
        <w:t xml:space="preserve"> adenin dinükleotid (okside), NADH: Nikotinamid adenin dinükleotid (redükte), ATP: Adenozin trifosfat, ADP: </w:t>
      </w:r>
      <w:hyperlink r:id="rId19" w:tooltip="Learn more about Adenosine Diphosphate from ScienceDirect's AI-generated Topic Pages" w:history="1">
        <w:r w:rsidRPr="00187541">
          <w:rPr>
            <w:sz w:val="20"/>
            <w:szCs w:val="20"/>
          </w:rPr>
          <w:t>Adenozin</w:t>
        </w:r>
      </w:hyperlink>
      <w:r w:rsidRPr="00187541">
        <w:rPr>
          <w:sz w:val="20"/>
          <w:szCs w:val="20"/>
        </w:rPr>
        <w:t xml:space="preserve"> difosfat, AMP: </w:t>
      </w:r>
      <w:hyperlink r:id="rId20" w:tooltip="Learn more about Adenosine Monophosphate from ScienceDirect's AI-generated Topic Pages" w:history="1">
        <w:r w:rsidRPr="00187541">
          <w:rPr>
            <w:sz w:val="20"/>
            <w:szCs w:val="20"/>
          </w:rPr>
          <w:t>Adenozin monofosfat</w:t>
        </w:r>
      </w:hyperlink>
      <w:r w:rsidRPr="00187541">
        <w:rPr>
          <w:sz w:val="20"/>
          <w:szCs w:val="20"/>
        </w:rPr>
        <w:t>, ROS: Reaktif oksijen türleri, 2-P-L: 2-fosfolaktat, E4P: 4-fosfoeritronat, E(1,4)BP: 1,4-bisfosfoeritronat, HK: </w:t>
      </w:r>
      <w:hyperlink r:id="rId21" w:tooltip="Learn more about Hexokinase from ScienceDirect's AI-generated Topic Pages" w:history="1">
        <w:r w:rsidRPr="00187541">
          <w:rPr>
            <w:sz w:val="20"/>
            <w:szCs w:val="20"/>
          </w:rPr>
          <w:t>Hekzokinaz</w:t>
        </w:r>
      </w:hyperlink>
      <w:r w:rsidRPr="00187541">
        <w:rPr>
          <w:sz w:val="20"/>
          <w:szCs w:val="20"/>
        </w:rPr>
        <w:t>, PFK:  </w:t>
      </w:r>
      <w:hyperlink r:id="rId22" w:tooltip="Learn more about Phosphofructokinase from ScienceDirect's AI-generated Topic Pages" w:history="1">
        <w:r w:rsidRPr="00187541">
          <w:rPr>
            <w:sz w:val="20"/>
            <w:szCs w:val="20"/>
          </w:rPr>
          <w:t>Fosfofruktokinaz</w:t>
        </w:r>
      </w:hyperlink>
      <w:r w:rsidRPr="00187541">
        <w:rPr>
          <w:sz w:val="20"/>
          <w:szCs w:val="20"/>
        </w:rPr>
        <w:t>, PFK2: fosfofruktokinaz-2, 6PGDH: 6-glukoz-6-fosfat </w:t>
      </w:r>
      <w:hyperlink r:id="rId23" w:tooltip="Learn more about Dehydrogenase from ScienceDirect's AI-generated Topic Pages" w:history="1">
        <w:r w:rsidRPr="00187541">
          <w:rPr>
            <w:sz w:val="20"/>
            <w:szCs w:val="20"/>
          </w:rPr>
          <w:t>dehidrogenaz</w:t>
        </w:r>
      </w:hyperlink>
      <w:r w:rsidRPr="00187541">
        <w:rPr>
          <w:sz w:val="20"/>
          <w:szCs w:val="20"/>
        </w:rPr>
        <w:t xml:space="preserve">, GAPDH: gliseraldehid fosfat dehidrogenaz, PHGDH: </w:t>
      </w:r>
      <w:hyperlink r:id="rId24" w:tooltip="Learn more about Phosphoglycerate Dehydrogenase from ScienceDirect's AI-generated Topic Pages" w:history="1">
        <w:r w:rsidRPr="00187541">
          <w:rPr>
            <w:sz w:val="20"/>
            <w:szCs w:val="20"/>
          </w:rPr>
          <w:t>fosfogliserat dehidrogenaz</w:t>
        </w:r>
      </w:hyperlink>
      <w:r w:rsidRPr="00187541">
        <w:rPr>
          <w:sz w:val="20"/>
          <w:szCs w:val="20"/>
        </w:rPr>
        <w:t xml:space="preserve">, PGAM: </w:t>
      </w:r>
      <w:hyperlink r:id="rId25" w:tooltip="Learn more about Phosphoglycerate Mutase from ScienceDirect's AI-generated Topic Pages" w:history="1">
        <w:r w:rsidRPr="00187541">
          <w:rPr>
            <w:sz w:val="20"/>
            <w:szCs w:val="20"/>
          </w:rPr>
          <w:t>fosfogliserat mutaz</w:t>
        </w:r>
      </w:hyperlink>
      <w:r w:rsidRPr="00187541">
        <w:rPr>
          <w:sz w:val="20"/>
          <w:szCs w:val="20"/>
        </w:rPr>
        <w:t xml:space="preserve">, PK: </w:t>
      </w:r>
      <w:hyperlink r:id="rId26" w:tooltip="Learn more about Pyruvate Kinase from ScienceDirect's AI-generated Topic Pages" w:history="1">
        <w:r w:rsidRPr="00187541">
          <w:rPr>
            <w:sz w:val="20"/>
            <w:szCs w:val="20"/>
          </w:rPr>
          <w:t>piruvat</w:t>
        </w:r>
      </w:hyperlink>
      <w:r w:rsidRPr="00187541">
        <w:rPr>
          <w:sz w:val="20"/>
          <w:szCs w:val="20"/>
        </w:rPr>
        <w:t xml:space="preserve"> kinaz.</w:t>
      </w:r>
    </w:p>
    <w:p w:rsidR="00276E20" w:rsidRPr="00020290" w:rsidRDefault="00276E20" w:rsidP="00276E20">
      <w:pPr>
        <w:autoSpaceDE w:val="0"/>
        <w:autoSpaceDN w:val="0"/>
        <w:adjustRightInd w:val="0"/>
        <w:rPr>
          <w:szCs w:val="24"/>
        </w:rPr>
      </w:pPr>
    </w:p>
    <w:p w:rsidR="00276E20" w:rsidRPr="00020290" w:rsidRDefault="00276E20" w:rsidP="00901B81">
      <w:pPr>
        <w:pStyle w:val="Balk2"/>
        <w:rPr>
          <w:rFonts w:eastAsiaTheme="minorHAnsi"/>
        </w:rPr>
      </w:pPr>
      <w:r w:rsidRPr="00020290">
        <w:rPr>
          <w:rFonts w:eastAsiaTheme="minorHAnsi"/>
        </w:rPr>
        <w:lastRenderedPageBreak/>
        <w:t>2.</w:t>
      </w:r>
      <w:r w:rsidR="006F4696">
        <w:rPr>
          <w:rFonts w:eastAsiaTheme="minorHAnsi"/>
        </w:rPr>
        <w:t>6</w:t>
      </w:r>
      <w:r w:rsidR="006A4185">
        <w:rPr>
          <w:rFonts w:eastAsiaTheme="minorHAnsi"/>
        </w:rPr>
        <w:t>.</w:t>
      </w:r>
      <w:r w:rsidRPr="00020290">
        <w:rPr>
          <w:rFonts w:eastAsiaTheme="minorHAnsi"/>
        </w:rPr>
        <w:t xml:space="preserve"> Kanser Hücrelerinin Enerji Metabolizması</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r w:rsidRPr="00020290">
        <w:rPr>
          <w:szCs w:val="24"/>
        </w:rPr>
        <w:t xml:space="preserve">Kanser metabolizması alanı, metabolik aktivitelerin kanser hücrelerinde normal hücrelere göre değiştiği ilkesine dayanmaktadır ve bu değişiklikler habis özelliklerin kazanımı ve onarımını destekler. Bazı değişmiş metabolik özellikler genelde birçok kanser hücresi türünde gözlemlendiğinden yeniden programlanmış metabolizma kanserin bir özelliği olarak kabul edilir (Hanahan ve Weinberg, 2011). Kanser hücrelerinin fonksiyonları ve malignant özelliklerinin nasıl yeniden programlandığı ve terapötik fayda için metabolik değişikliklerin nasıl kullanılacağı kanser alanında araştırılan en anahtar konulardandır (DeBerardinis ve Chandel, 2016). 1930’da yeniden programlanan kanser hücresi metabolizmasına dayalı keşfin ardından birçok çalışma enerji metabolizmasını hedefleyerek tümör hücrelerini etkili bir şekilde ortadan kaldırmanın yeni yollarını bulmak için kanser metabolizmasının çeşitli yönlerini aydınlatmaya yönelmiştir (Fadaka ve ark, 2017). </w:t>
      </w:r>
    </w:p>
    <w:p w:rsidR="00276E20" w:rsidRPr="00020290" w:rsidRDefault="00276E20" w:rsidP="00276E20">
      <w:pPr>
        <w:autoSpaceDE w:val="0"/>
        <w:autoSpaceDN w:val="0"/>
        <w:adjustRightInd w:val="0"/>
        <w:rPr>
          <w:szCs w:val="24"/>
        </w:rPr>
      </w:pPr>
      <w:r w:rsidRPr="00020290">
        <w:rPr>
          <w:szCs w:val="24"/>
        </w:rPr>
        <w:t xml:space="preserve">Normal hücreler </w:t>
      </w:r>
      <w:proofErr w:type="gramStart"/>
      <w:r w:rsidRPr="00020290">
        <w:rPr>
          <w:szCs w:val="24"/>
        </w:rPr>
        <w:t>popülasyonlarını</w:t>
      </w:r>
      <w:proofErr w:type="gramEnd"/>
      <w:r w:rsidRPr="00020290">
        <w:rPr>
          <w:szCs w:val="24"/>
        </w:rPr>
        <w:t xml:space="preserve"> sürdürmek için çoğalırlar ve bu süreç belli sayıda tekrarlama siklusu ile sınırlıdır. Kanser hücreleri ise kesintisiz çoğalabilirler çünkü replikasyonu kontrol eden kontrol noktalarını atlatırlar (Hanahan ve Weinberg, 2000). Zor koşullar altında bile yüksek oranda kanser hücresinin çoğalmasını sağlamak adına karmaşık bir düzenleme ağı geliştirilir (besleyici ve oksijen kısıtlaması, bağışıklık saldırısı gibi) (Danhier ve ark, 2017).</w:t>
      </w:r>
    </w:p>
    <w:p w:rsidR="00276E20" w:rsidRPr="00020290" w:rsidRDefault="00276E20" w:rsidP="00276E20">
      <w:pPr>
        <w:autoSpaceDE w:val="0"/>
        <w:autoSpaceDN w:val="0"/>
        <w:adjustRightInd w:val="0"/>
        <w:rPr>
          <w:szCs w:val="24"/>
        </w:rPr>
      </w:pPr>
      <w:r w:rsidRPr="00020290">
        <w:rPr>
          <w:szCs w:val="24"/>
        </w:rPr>
        <w:t xml:space="preserve">Pasif hücreler fizyolojik işlevlerini yerine getirmek, redoks ve enerji dengesinin yanı sıra yapısal bütünlüğünü korumak için metabolik olarak aktive olurlar. Pasif hücrelerde ATP üretimi esas olarak mitokondriyal solunumla sağlanır </w:t>
      </w:r>
      <w:r w:rsidRPr="00B70071">
        <w:rPr>
          <w:szCs w:val="24"/>
        </w:rPr>
        <w:t>(Baenka, 2012).</w:t>
      </w:r>
      <w:r w:rsidRPr="00020290">
        <w:rPr>
          <w:szCs w:val="24"/>
        </w:rPr>
        <w:t xml:space="preserve"> Çoğu pasif hücre ETS ile ve OXPHOS için gerekli NADH’ı oluşturan mitokondriyal metabolizma vasıtasıyla ATP üretirken, çoğalan hücrelerin ATP talebinin önemli bir kısmı glikolizis ile karşılanır (Vander Heiden ve ark, 2009). Pasif hücrelerdeki mitokondriyal solunum enerji üretimini kofaktör kaynağı ile birleştirerek NADH’ı NAD</w:t>
      </w:r>
      <w:r w:rsidRPr="00020290">
        <w:rPr>
          <w:szCs w:val="24"/>
          <w:vertAlign w:val="superscript"/>
        </w:rPr>
        <w:t>+</w:t>
      </w:r>
      <w:r w:rsidRPr="00020290">
        <w:rPr>
          <w:szCs w:val="24"/>
        </w:rPr>
        <w:t>’ye dönüştürür. Ancak, proliferatif normal hücrelerde, NAD</w:t>
      </w:r>
      <w:r w:rsidRPr="00020290">
        <w:rPr>
          <w:szCs w:val="24"/>
          <w:vertAlign w:val="superscript"/>
        </w:rPr>
        <w:t>+</w:t>
      </w:r>
      <w:r w:rsidRPr="00020290">
        <w:rPr>
          <w:szCs w:val="24"/>
        </w:rPr>
        <w:t xml:space="preserve">’nin yeniden oluşumu hem mitokondriyal solunum hem de laktat üretimi vasıtasıyla başarılabilir </w:t>
      </w:r>
      <w:r w:rsidR="00643CF4">
        <w:rPr>
          <w:szCs w:val="24"/>
        </w:rPr>
        <w:t>(</w:t>
      </w:r>
      <w:r w:rsidRPr="00B70071">
        <w:rPr>
          <w:szCs w:val="24"/>
        </w:rPr>
        <w:t>Baenka, 2012)</w:t>
      </w:r>
      <w:r w:rsidR="000E3C85">
        <w:rPr>
          <w:szCs w:val="24"/>
        </w:rPr>
        <w:t xml:space="preserve"> </w:t>
      </w:r>
      <w:r w:rsidRPr="00020290">
        <w:rPr>
          <w:szCs w:val="24"/>
        </w:rPr>
        <w:t xml:space="preserve">(Şekil </w:t>
      </w:r>
      <w:r>
        <w:rPr>
          <w:szCs w:val="24"/>
        </w:rPr>
        <w:t>4</w:t>
      </w:r>
      <w:r w:rsidRPr="00020290">
        <w:rPr>
          <w:szCs w:val="24"/>
        </w:rPr>
        <w:t>).</w:t>
      </w:r>
    </w:p>
    <w:p w:rsidR="00276E20" w:rsidRPr="00020290" w:rsidRDefault="00276E20" w:rsidP="00276E20">
      <w:pPr>
        <w:autoSpaceDE w:val="0"/>
        <w:autoSpaceDN w:val="0"/>
        <w:adjustRightInd w:val="0"/>
        <w:rPr>
          <w:szCs w:val="24"/>
        </w:rPr>
      </w:pPr>
      <w:r w:rsidRPr="00020290">
        <w:rPr>
          <w:szCs w:val="24"/>
        </w:rPr>
        <w:t>Malign olmayan hücreler, normal hücre işlevi için yeterli besin ve oksi</w:t>
      </w:r>
      <w:r w:rsidR="009E1E2B">
        <w:rPr>
          <w:szCs w:val="24"/>
        </w:rPr>
        <w:t>jen sağlayan ortama</w:t>
      </w:r>
      <w:r w:rsidRPr="00020290">
        <w:rPr>
          <w:szCs w:val="24"/>
        </w:rPr>
        <w:t xml:space="preserve"> yerleşmişlerdir. Aksine kanser hücreleri, tümörijenezin aynı evrelerinde besin ve oksijen tükenişine maruz </w:t>
      </w:r>
      <w:r w:rsidR="00643CF4">
        <w:rPr>
          <w:szCs w:val="24"/>
        </w:rPr>
        <w:t>kalabilir (</w:t>
      </w:r>
      <w:r w:rsidRPr="00B70071">
        <w:rPr>
          <w:szCs w:val="24"/>
        </w:rPr>
        <w:t>Baenka, 2012). Tümör</w:t>
      </w:r>
      <w:r w:rsidRPr="00020290">
        <w:rPr>
          <w:szCs w:val="24"/>
        </w:rPr>
        <w:t xml:space="preserve"> hücreleri düzensiz hücresel çoğalmayı ve hayatta kalmayı sürdürmek için metabolizmalarını değiştirirler ama bu dönüşüm onları sürekli besin maddesi ve </w:t>
      </w:r>
      <w:proofErr w:type="gramStart"/>
      <w:r w:rsidRPr="00020290">
        <w:rPr>
          <w:szCs w:val="24"/>
        </w:rPr>
        <w:t>enerji  kaynağına</w:t>
      </w:r>
      <w:proofErr w:type="gramEnd"/>
      <w:r w:rsidRPr="00020290">
        <w:rPr>
          <w:szCs w:val="24"/>
        </w:rPr>
        <w:t xml:space="preserve"> bağımlı kılar (Fadaka ve ark, 2017). Bir kanser hücresi çoğalabilmek amacıyla bölünme sırasında ürettiği ikiz hücrelerden her ikisinin </w:t>
      </w:r>
      <w:r w:rsidRPr="00020290">
        <w:rPr>
          <w:szCs w:val="24"/>
        </w:rPr>
        <w:lastRenderedPageBreak/>
        <w:t xml:space="preserve">de yoluna devam etmesi için yeterli bir biyokütle üretebilmelidir. Bu nedenle çoğalan hücrelerin yüksek düzeyde lipid, nükleotid ve </w:t>
      </w:r>
      <w:proofErr w:type="gramStart"/>
      <w:r w:rsidRPr="00020290">
        <w:rPr>
          <w:szCs w:val="24"/>
        </w:rPr>
        <w:t>amino</w:t>
      </w:r>
      <w:proofErr w:type="gramEnd"/>
      <w:r w:rsidRPr="00020290">
        <w:rPr>
          <w:szCs w:val="24"/>
        </w:rPr>
        <w:t xml:space="preserve"> asit kazanması gereklidir (Danhier ve ark, 2017). Kanser hücrelerinin metabolik programlarında artan glukoz alımı, yağ asidi sentezi ve artan glutaminolizis hızı gibi metabolik değişikliklerin </w:t>
      </w:r>
      <w:r w:rsidR="002611B8">
        <w:rPr>
          <w:szCs w:val="24"/>
        </w:rPr>
        <w:t>tümör hücrelerinin büyümesini;</w:t>
      </w:r>
      <w:r w:rsidRPr="00020290">
        <w:rPr>
          <w:szCs w:val="24"/>
        </w:rPr>
        <w:t xml:space="preserve"> hayatta kalmalarını destekleyen karakteristik değişiklikler olduğu gösterilmiştir (Fadaka ve ark, 2017). </w:t>
      </w:r>
    </w:p>
    <w:p w:rsidR="00276E20" w:rsidRPr="00020290" w:rsidRDefault="00276E20" w:rsidP="00276E20">
      <w:pPr>
        <w:autoSpaceDE w:val="0"/>
        <w:autoSpaceDN w:val="0"/>
        <w:adjustRightInd w:val="0"/>
        <w:rPr>
          <w:szCs w:val="24"/>
        </w:rPr>
      </w:pPr>
      <w:r w:rsidRPr="00020290">
        <w:rPr>
          <w:szCs w:val="24"/>
        </w:rPr>
        <w:t xml:space="preserve">Kanser hücreleri ayrıca tümör çevresinin metabolit oluşumunu da etkiler. Kanser hücrelerine besin maddesi akışındaki artış ve hücrelerin yükselen metabolik hızı çevredeki dokulara salınan metabolik yan ürünlerde de artışa neden olur. </w:t>
      </w:r>
      <w:r w:rsidR="007970DD">
        <w:rPr>
          <w:szCs w:val="24"/>
        </w:rPr>
        <w:t>T</w:t>
      </w:r>
      <w:r w:rsidRPr="00020290">
        <w:rPr>
          <w:szCs w:val="24"/>
        </w:rPr>
        <w:t xml:space="preserve">ümör hücrelerinin </w:t>
      </w:r>
      <w:r w:rsidR="007970DD">
        <w:rPr>
          <w:szCs w:val="24"/>
        </w:rPr>
        <w:t>hem hücre içi hem de hücre dışı ortamlarını bu toksik metabolik yan ürünlerden korumaya yönelik metabolizmalarında bir değişim</w:t>
      </w:r>
      <w:r w:rsidRPr="00020290">
        <w:rPr>
          <w:szCs w:val="24"/>
        </w:rPr>
        <w:t xml:space="preserve"> sağlamaları gerekir </w:t>
      </w:r>
      <w:r w:rsidRPr="00B70071">
        <w:rPr>
          <w:szCs w:val="24"/>
        </w:rPr>
        <w:t>(Baenke, 2012).</w:t>
      </w:r>
    </w:p>
    <w:p w:rsidR="00276E20" w:rsidRPr="00020290" w:rsidRDefault="00276E20" w:rsidP="00276E20">
      <w:pPr>
        <w:autoSpaceDE w:val="0"/>
        <w:autoSpaceDN w:val="0"/>
        <w:adjustRightInd w:val="0"/>
        <w:rPr>
          <w:szCs w:val="24"/>
        </w:rPr>
      </w:pPr>
      <w:r w:rsidRPr="00020290">
        <w:rPr>
          <w:szCs w:val="24"/>
        </w:rPr>
        <w:t xml:space="preserve">Kanser hücrelerinin ilk tanımlanan ve en yaygın biyokimyasal özelliklerinden biri anormal glukoz metabolizmasıdır (Lu ve ark, 2015). Glukoz, memeli hücreleri için ana enerji ve karbon kaynağıdır </w:t>
      </w:r>
      <w:r w:rsidR="002611B8">
        <w:rPr>
          <w:szCs w:val="24"/>
        </w:rPr>
        <w:t>ki</w:t>
      </w:r>
      <w:r w:rsidRPr="00020290">
        <w:rPr>
          <w:szCs w:val="24"/>
        </w:rPr>
        <w:t xml:space="preserve"> sadece ATP değil aynı zamanda çeşitli anabolik yolaklar için birçok metaboliti de sağlar (Vander Heiden ve ark, 2009). Kanser hücreleri normal hücrelerin aksine glukoz metabolizmasında belirgin değişiklikler gösterir.  Normal hücrelere kıyasla kanser hücreleri artan glukoz alımı ve glikolitik oranlar sergiler. Glukoz tüketimi artışı daha fazla glikolitik ara metabolit ve glikolizisten gelen önemli bir miktar ATP üretimi sağlar (Lu ve ark, 2015). Dahası glukoz karbonunun önemli bir kısmı piruvat meydana getirmek yerine glikolitik ara ürünler şeklinde birden fazla biyosentetik yola saptırılır. Son olarak, glikolizisten sonra oluşan çoğu piruvat molekülü mitokondriyal metabolizma yoluyla oksitlenmek yerine sitoplazmada LDH enzimi vasıtasıyla laktata dönüştürülür. Bu durum mitokondriyal solunumu desteklemek amacıyla yeterli oksijenin bulunduğu ortamlarda dahi m</w:t>
      </w:r>
      <w:r w:rsidR="00F61651">
        <w:rPr>
          <w:szCs w:val="24"/>
        </w:rPr>
        <w:t xml:space="preserve">eydana gelir (Lu ve ark, 2015) </w:t>
      </w:r>
      <w:r w:rsidRPr="00020290">
        <w:rPr>
          <w:szCs w:val="24"/>
        </w:rPr>
        <w:t xml:space="preserve">(Şekil </w:t>
      </w:r>
      <w:r>
        <w:rPr>
          <w:szCs w:val="24"/>
        </w:rPr>
        <w:t>4</w:t>
      </w:r>
      <w:r w:rsidRPr="00020290">
        <w:rPr>
          <w:szCs w:val="24"/>
        </w:rPr>
        <w:t xml:space="preserve">). </w:t>
      </w:r>
    </w:p>
    <w:p w:rsidR="00276E20" w:rsidRPr="00020290" w:rsidRDefault="00276E20" w:rsidP="00276E20">
      <w:pPr>
        <w:autoSpaceDE w:val="0"/>
        <w:autoSpaceDN w:val="0"/>
        <w:adjustRightInd w:val="0"/>
        <w:rPr>
          <w:szCs w:val="24"/>
        </w:rPr>
      </w:pPr>
    </w:p>
    <w:p w:rsidR="00276E20" w:rsidRPr="00020290" w:rsidRDefault="00276E20" w:rsidP="00802FA6">
      <w:pPr>
        <w:pStyle w:val="AltKonuBal"/>
      </w:pPr>
      <w:r w:rsidRPr="00020290">
        <w:rPr>
          <w:noProof/>
          <w:lang w:eastAsia="tr-TR"/>
        </w:rPr>
        <w:lastRenderedPageBreak/>
        <w:drawing>
          <wp:inline distT="0" distB="0" distL="0" distR="0">
            <wp:extent cx="5616000" cy="3831021"/>
            <wp:effectExtent l="19050" t="0" r="3750" b="0"/>
            <wp:docPr id="37" name="Resi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616000" cy="3831021"/>
                    </a:xfrm>
                    <a:prstGeom prst="rect">
                      <a:avLst/>
                    </a:prstGeom>
                    <a:ln w="38100" cap="sq">
                      <a:noFill/>
                      <a:prstDash val="solid"/>
                      <a:miter lim="800000"/>
                    </a:ln>
                    <a:effectLst/>
                  </pic:spPr>
                </pic:pic>
              </a:graphicData>
            </a:graphic>
          </wp:inline>
        </w:drawing>
      </w:r>
    </w:p>
    <w:p w:rsidR="00276E20" w:rsidRPr="00020290" w:rsidRDefault="00276E20" w:rsidP="00276E20">
      <w:pPr>
        <w:autoSpaceDE w:val="0"/>
        <w:autoSpaceDN w:val="0"/>
        <w:adjustRightInd w:val="0"/>
        <w:rPr>
          <w:szCs w:val="24"/>
        </w:rPr>
      </w:pPr>
    </w:p>
    <w:p w:rsidR="00276E20" w:rsidRPr="00020290" w:rsidRDefault="00842900" w:rsidP="00276E20">
      <w:pPr>
        <w:autoSpaceDE w:val="0"/>
        <w:autoSpaceDN w:val="0"/>
        <w:adjustRightInd w:val="0"/>
        <w:rPr>
          <w:szCs w:val="24"/>
        </w:rPr>
      </w:pPr>
      <w:r>
        <w:rPr>
          <w:b/>
          <w:szCs w:val="24"/>
        </w:rPr>
        <w:t xml:space="preserve">Şekil </w:t>
      </w:r>
      <w:r w:rsidR="00276E20" w:rsidRPr="00210384">
        <w:rPr>
          <w:b/>
          <w:szCs w:val="24"/>
        </w:rPr>
        <w:t>4.</w:t>
      </w:r>
      <w:r w:rsidR="00276E20" w:rsidRPr="005E7243">
        <w:rPr>
          <w:szCs w:val="24"/>
        </w:rPr>
        <w:t xml:space="preserve"> </w:t>
      </w:r>
      <w:r w:rsidR="00276E20" w:rsidRPr="00020290">
        <w:rPr>
          <w:szCs w:val="24"/>
        </w:rPr>
        <w:t>Pasif ve çoğalan hücrelerde metabolik aktiviteye genel bakış (</w:t>
      </w:r>
      <w:r w:rsidR="00276E20" w:rsidRPr="00B70071">
        <w:rPr>
          <w:szCs w:val="24"/>
        </w:rPr>
        <w:t>Baenka, 2012</w:t>
      </w:r>
      <w:r w:rsidR="00276E20" w:rsidRPr="00020290">
        <w:rPr>
          <w:szCs w:val="24"/>
        </w:rPr>
        <w:t>’den değiştirilerek alınmıştır).</w:t>
      </w:r>
    </w:p>
    <w:p w:rsidR="00276E20" w:rsidRPr="00020290" w:rsidRDefault="00276E20" w:rsidP="00276E20">
      <w:pPr>
        <w:autoSpaceDE w:val="0"/>
        <w:autoSpaceDN w:val="0"/>
        <w:adjustRightInd w:val="0"/>
        <w:rPr>
          <w:szCs w:val="24"/>
        </w:rPr>
      </w:pPr>
    </w:p>
    <w:p w:rsidR="00276E20" w:rsidRPr="00020290" w:rsidRDefault="00276E20" w:rsidP="00901B81">
      <w:pPr>
        <w:pStyle w:val="Balk2"/>
      </w:pPr>
      <w:r w:rsidRPr="00020290">
        <w:t>2.</w:t>
      </w:r>
      <w:r w:rsidR="006F4696">
        <w:t>6</w:t>
      </w:r>
      <w:r w:rsidRPr="00020290">
        <w:t>.1</w:t>
      </w:r>
      <w:r w:rsidR="006A4185">
        <w:t>.</w:t>
      </w:r>
      <w:r w:rsidRPr="00020290">
        <w:t xml:space="preserve"> Crabtree Etkisi</w:t>
      </w:r>
    </w:p>
    <w:p w:rsidR="00276E20" w:rsidRPr="00020290" w:rsidRDefault="00276E20" w:rsidP="00276E20">
      <w:pPr>
        <w:rPr>
          <w:b/>
          <w:szCs w:val="24"/>
        </w:rPr>
      </w:pPr>
    </w:p>
    <w:p w:rsidR="00276E20" w:rsidRPr="00020290" w:rsidRDefault="00276E20" w:rsidP="00276E20">
      <w:pPr>
        <w:autoSpaceDE w:val="0"/>
        <w:autoSpaceDN w:val="0"/>
        <w:adjustRightInd w:val="0"/>
        <w:rPr>
          <w:szCs w:val="24"/>
        </w:rPr>
      </w:pPr>
      <w:r w:rsidRPr="00020290">
        <w:rPr>
          <w:szCs w:val="24"/>
        </w:rPr>
        <w:t xml:space="preserve">Herbert G. Crabtree 1926 yılında karbonhidratların tümörler tarafından kullanımı üzerine yaptığı bir gözlemde </w:t>
      </w:r>
      <w:r w:rsidRPr="00020290">
        <w:rPr>
          <w:color w:val="000000"/>
          <w:szCs w:val="24"/>
        </w:rPr>
        <w:t xml:space="preserve">normal hücreler için, glukoz varlığının solunumu az miktar arttırdığını veya oksijen tüketimini etkilemediğini, aksine glukozun, tümör hücrelerinde oksijen alımını azalttığını belirlemiştir (Crabtree, 1929). Glukoz tarafından kanser hücrelerinde solunum yolunun inhibisyonuna Crabtree etkisi denir. Kanser hücrelerinin bu metabolik dönüşümü, karsinogeneziste </w:t>
      </w:r>
      <w:proofErr w:type="gramStart"/>
      <w:r w:rsidRPr="00020290">
        <w:rPr>
          <w:color w:val="000000"/>
          <w:szCs w:val="24"/>
        </w:rPr>
        <w:t>spesifik</w:t>
      </w:r>
      <w:proofErr w:type="gramEnd"/>
      <w:r w:rsidRPr="00020290">
        <w:rPr>
          <w:color w:val="000000"/>
          <w:szCs w:val="24"/>
        </w:rPr>
        <w:t xml:space="preserve"> bir özellik değildir ancak hızla bölünen hücrelerin bir gereksinimi olarak görülebilir. </w:t>
      </w:r>
      <w:r w:rsidRPr="00020290">
        <w:rPr>
          <w:szCs w:val="24"/>
        </w:rPr>
        <w:t xml:space="preserve">Bu </w:t>
      </w:r>
      <w:proofErr w:type="gramStart"/>
      <w:r w:rsidRPr="00020290">
        <w:rPr>
          <w:szCs w:val="24"/>
        </w:rPr>
        <w:t>fenomen</w:t>
      </w:r>
      <w:proofErr w:type="gramEnd"/>
      <w:r w:rsidRPr="00020290">
        <w:rPr>
          <w:szCs w:val="24"/>
        </w:rPr>
        <w:t xml:space="preserve"> ayrıca bakteri ve mayada da rapor edilmiştir. </w:t>
      </w:r>
      <w:r w:rsidRPr="00020290">
        <w:rPr>
          <w:color w:val="000000"/>
          <w:szCs w:val="24"/>
        </w:rPr>
        <w:t xml:space="preserve">Hızlı çoğalmanın yanı sıra tüm bu hücreler tarafından paylaşılan ortak karakteristik özellik, solunumdaki bozulmadan beklenildiği üzere yüksek oranda glikolizistir. </w:t>
      </w:r>
      <w:r w:rsidRPr="00020290">
        <w:rPr>
          <w:szCs w:val="24"/>
        </w:rPr>
        <w:t>Crabtree etkisinin bir başka gözlemi ise glukozun sağlanmasının ardından solunumda ilk artışın gözlenmesidir. Aslında, diğer heksozların da kanser hücrelerinde bu etkiyi tetikleyebileceği görünmektedir (</w:t>
      </w:r>
      <w:r w:rsidRPr="00B70071">
        <w:rPr>
          <w:szCs w:val="24"/>
        </w:rPr>
        <w:t>Dakubo, 2010</w:t>
      </w:r>
      <w:r w:rsidRPr="00020290">
        <w:rPr>
          <w:szCs w:val="24"/>
        </w:rPr>
        <w:t xml:space="preserve">). Crabtree etkisine dayanılarak çeşitli mekanizmalar </w:t>
      </w:r>
      <w:r w:rsidRPr="00020290">
        <w:rPr>
          <w:szCs w:val="24"/>
        </w:rPr>
        <w:lastRenderedPageBreak/>
        <w:t xml:space="preserve">açıklanmıştır ancak moleküler mekanizma tam olarak anlaşılamamıştır. </w:t>
      </w:r>
      <w:proofErr w:type="gramStart"/>
      <w:r w:rsidRPr="00020290">
        <w:rPr>
          <w:szCs w:val="24"/>
        </w:rPr>
        <w:t>Bu mekanizmalar: (1) OXPHOS ve glikolizis arasındaki mevcut ADP+Pi yarışının, artan glukoz mevcudiyeti ile solunum anormalliklerine neden olabilirliği (2) azalan sitozolik pH ve oksidatif enzimlerin inhibisyonu ile laktat üretiminde artış (3) glukoz ile artan mitokondriyal kalsiyum seviyelerinin F</w:t>
      </w:r>
      <w:r w:rsidRPr="00020290">
        <w:rPr>
          <w:szCs w:val="24"/>
          <w:vertAlign w:val="subscript"/>
        </w:rPr>
        <w:t>1</w:t>
      </w:r>
      <w:r w:rsidRPr="00020290">
        <w:rPr>
          <w:szCs w:val="24"/>
        </w:rPr>
        <w:t>F</w:t>
      </w:r>
      <w:r w:rsidRPr="00020290">
        <w:rPr>
          <w:szCs w:val="24"/>
          <w:vertAlign w:val="subscript"/>
        </w:rPr>
        <w:t>0</w:t>
      </w:r>
      <w:r w:rsidRPr="00020290">
        <w:rPr>
          <w:szCs w:val="24"/>
        </w:rPr>
        <w:t xml:space="preserve"> inhibitör alt birimlerinin ATP sentaz ile birleşmesine neden olarak respirasyonu inhibe etmesi (4) glukoz metabolizmasının mitokondriyal membranlara zarar veren ve solunumu baskılayan ROS üretimini arttırması olarak sıralanabilir ( Wojtcza</w:t>
      </w:r>
      <w:r>
        <w:rPr>
          <w:szCs w:val="24"/>
        </w:rPr>
        <w:t>k, 1996; Yang ve ark, 1997</w:t>
      </w:r>
      <w:r w:rsidR="007F644A">
        <w:rPr>
          <w:szCs w:val="24"/>
        </w:rPr>
        <w:t xml:space="preserve">; </w:t>
      </w:r>
      <w:r w:rsidR="007F644A" w:rsidRPr="00020290">
        <w:rPr>
          <w:szCs w:val="24"/>
        </w:rPr>
        <w:t>Sussman ve ark, 1980</w:t>
      </w:r>
      <w:r>
        <w:rPr>
          <w:szCs w:val="24"/>
        </w:rPr>
        <w:t>).</w:t>
      </w:r>
      <w:r w:rsidRPr="00020290">
        <w:rPr>
          <w:szCs w:val="24"/>
        </w:rPr>
        <w:t xml:space="preserve"> </w:t>
      </w:r>
      <w:proofErr w:type="gramEnd"/>
      <w:r w:rsidRPr="00020290">
        <w:rPr>
          <w:szCs w:val="24"/>
        </w:rPr>
        <w:t>Ayrıca Crabtree etkisi, kanser hücrelerinde ATP/ADP oranı, Pi, G6P, sitozolik pH değerlerinde değişiklikler içeren çeşitli mekanizmalar tarafından düzenlenebilir (</w:t>
      </w:r>
      <w:hyperlink r:id="rId28" w:history="1">
        <w:r w:rsidRPr="00020290">
          <w:rPr>
            <w:szCs w:val="24"/>
          </w:rPr>
          <w:t>Rodríguez-Enríquez</w:t>
        </w:r>
      </w:hyperlink>
      <w:r w:rsidRPr="00020290">
        <w:rPr>
          <w:szCs w:val="24"/>
        </w:rPr>
        <w:t xml:space="preserve"> ve ark, 2001). Mekanizmadan bağımsız olarak, kanser hücreleri glikolitiktir ve bu kısmi mitokondriyal bozulma ile ilişkilidir (yani, bastırılmış solunum, daha az oksijen</w:t>
      </w:r>
      <w:r w:rsidR="001A74AB">
        <w:rPr>
          <w:szCs w:val="24"/>
        </w:rPr>
        <w:t xml:space="preserve"> tüketimi ve düşük ATP üretimi)</w:t>
      </w:r>
      <w:r w:rsidRPr="00020290">
        <w:rPr>
          <w:szCs w:val="24"/>
        </w:rPr>
        <w:t xml:space="preserve"> (</w:t>
      </w:r>
      <w:r w:rsidRPr="00B70071">
        <w:rPr>
          <w:szCs w:val="24"/>
        </w:rPr>
        <w:t>Dakubo, 2010</w:t>
      </w:r>
      <w:r w:rsidRPr="00020290">
        <w:rPr>
          <w:szCs w:val="24"/>
        </w:rPr>
        <w:t>).</w:t>
      </w:r>
    </w:p>
    <w:p w:rsidR="00276E20" w:rsidRPr="00020290" w:rsidRDefault="00276E20" w:rsidP="00276E20">
      <w:pPr>
        <w:autoSpaceDE w:val="0"/>
        <w:autoSpaceDN w:val="0"/>
        <w:adjustRightInd w:val="0"/>
        <w:rPr>
          <w:szCs w:val="24"/>
        </w:rPr>
      </w:pPr>
    </w:p>
    <w:p w:rsidR="00276E20" w:rsidRDefault="00276E20" w:rsidP="00901B81">
      <w:pPr>
        <w:pStyle w:val="Balk2"/>
      </w:pPr>
      <w:r w:rsidRPr="00020290">
        <w:t>2.</w:t>
      </w:r>
      <w:r w:rsidR="006F4696">
        <w:t>6</w:t>
      </w:r>
      <w:r w:rsidRPr="00020290">
        <w:t>.2</w:t>
      </w:r>
      <w:r w:rsidR="006A4185">
        <w:t>.</w:t>
      </w:r>
      <w:r w:rsidRPr="00020290">
        <w:t xml:space="preserve"> Warburg Fenomeni</w:t>
      </w:r>
    </w:p>
    <w:p w:rsidR="00276E20" w:rsidRPr="00020290" w:rsidRDefault="00276E20" w:rsidP="00276E20">
      <w:pPr>
        <w:rPr>
          <w:b/>
          <w:szCs w:val="24"/>
        </w:rPr>
      </w:pPr>
    </w:p>
    <w:p w:rsidR="00276E20" w:rsidRPr="00020290" w:rsidRDefault="00276E20" w:rsidP="00276E20">
      <w:pPr>
        <w:autoSpaceDE w:val="0"/>
        <w:autoSpaceDN w:val="0"/>
        <w:adjustRightInd w:val="0"/>
        <w:rPr>
          <w:szCs w:val="24"/>
        </w:rPr>
      </w:pPr>
      <w:r w:rsidRPr="00020290">
        <w:rPr>
          <w:szCs w:val="24"/>
        </w:rPr>
        <w:t>Kanser hücrelerinin gereksinimleri hızla çoğalan diğer hücrelerinkine benzer. Yani nispeten büyük miktarda Gibbs serbest enerjisi ve bi</w:t>
      </w:r>
      <w:r w:rsidR="001A74AB">
        <w:rPr>
          <w:szCs w:val="24"/>
        </w:rPr>
        <w:t>yomolekül kaynağı gerektirirler</w:t>
      </w:r>
      <w:r w:rsidRPr="00020290">
        <w:rPr>
          <w:szCs w:val="24"/>
        </w:rPr>
        <w:t xml:space="preserve"> (Tatum, 2006; Vazquez ve ark, 2010). Kanser hücreleri bu ihtiyaçlarını karşılamak için önemli miktarda glukoz ve hızlandırılmış glukoz metabolizmasına ihtiyaç duyarlar. 1920’li yıllarda Alman Biyokimyager Otto Warburg ve arkadaşları yaptıkları çalışmalarda tümörlerin çevrelerindeki dokulara kıyasla glukoz tüketimlerinin ve laktat üretimlerinin oldukça fazla olduğunu gözlemlemişlerdir. Tümör hücrelerinin glukozu laktik aside oksijen varlığında dahi metabolize edebilmelerinden dolayı bu metabolik </w:t>
      </w:r>
      <w:proofErr w:type="gramStart"/>
      <w:r w:rsidRPr="00020290">
        <w:rPr>
          <w:szCs w:val="24"/>
        </w:rPr>
        <w:t>fenomen</w:t>
      </w:r>
      <w:proofErr w:type="gramEnd"/>
      <w:r w:rsidRPr="00020290">
        <w:rPr>
          <w:szCs w:val="24"/>
        </w:rPr>
        <w:t xml:space="preserve"> "aerobik glikolizis" veya "Warburg Etkisi" olarak </w:t>
      </w:r>
      <w:r w:rsidR="007F644A">
        <w:rPr>
          <w:szCs w:val="24"/>
        </w:rPr>
        <w:t>adlandırılmıştır (</w:t>
      </w:r>
      <w:r w:rsidR="007F644A" w:rsidRPr="00020290">
        <w:rPr>
          <w:szCs w:val="24"/>
        </w:rPr>
        <w:t>Warburg ve ark, 1927</w:t>
      </w:r>
      <w:r w:rsidR="007F644A">
        <w:rPr>
          <w:szCs w:val="24"/>
        </w:rPr>
        <w:t>; Warburg, 1956</w:t>
      </w:r>
      <w:r w:rsidRPr="00020290">
        <w:rPr>
          <w:szCs w:val="24"/>
        </w:rPr>
        <w:t>). Bu normal olmayan enerji metabolizması, kanser hücrelerinin potansiyel bir özelliğini oluşturmaktadır ve tümör oluşumunun ve büyümesinin kökeni olduğu düşünülmektedir (Garber, 2006). Warburg hipotezine göre tümör hücrelerinde artan glikolize geri dönüşümsüz mitokondriyal solunum hasarı da katk</w:t>
      </w:r>
      <w:r w:rsidR="00F61651">
        <w:rPr>
          <w:szCs w:val="24"/>
        </w:rPr>
        <w:t>ı sağlamaktadır (Warburg, 1956)</w:t>
      </w:r>
      <w:r w:rsidR="001A74AB">
        <w:rPr>
          <w:szCs w:val="24"/>
        </w:rPr>
        <w:t xml:space="preserve"> </w:t>
      </w:r>
      <w:r w:rsidRPr="00020290">
        <w:rPr>
          <w:szCs w:val="24"/>
        </w:rPr>
        <w:t xml:space="preserve">(Şekil </w:t>
      </w:r>
      <w:r>
        <w:rPr>
          <w:szCs w:val="24"/>
        </w:rPr>
        <w:t>5</w:t>
      </w:r>
      <w:r w:rsidRPr="00020290">
        <w:rPr>
          <w:szCs w:val="24"/>
        </w:rPr>
        <w:t>)</w:t>
      </w:r>
      <w:r w:rsidR="00897312">
        <w:rPr>
          <w:szCs w:val="24"/>
        </w:rPr>
        <w:t>.</w:t>
      </w:r>
    </w:p>
    <w:p w:rsidR="00276E20" w:rsidRPr="00020290" w:rsidRDefault="00276E20" w:rsidP="00276E20">
      <w:pPr>
        <w:autoSpaceDE w:val="0"/>
        <w:autoSpaceDN w:val="0"/>
        <w:adjustRightInd w:val="0"/>
        <w:jc w:val="center"/>
        <w:rPr>
          <w:szCs w:val="24"/>
        </w:rPr>
      </w:pPr>
      <w:r>
        <w:rPr>
          <w:noProof/>
          <w:lang w:eastAsia="tr-TR"/>
        </w:rPr>
        <w:lastRenderedPageBreak/>
        <w:drawing>
          <wp:inline distT="0" distB="0" distL="0" distR="0">
            <wp:extent cx="4752975" cy="4181475"/>
            <wp:effectExtent l="19050" t="0" r="9525"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752975" cy="4181475"/>
                    </a:xfrm>
                    <a:prstGeom prst="rect">
                      <a:avLst/>
                    </a:prstGeom>
                    <a:noFill/>
                    <a:ln w="9525">
                      <a:noFill/>
                      <a:miter lim="800000"/>
                      <a:headEnd/>
                      <a:tailEnd/>
                    </a:ln>
                  </pic:spPr>
                </pic:pic>
              </a:graphicData>
            </a:graphic>
          </wp:inline>
        </w:drawing>
      </w:r>
    </w:p>
    <w:p w:rsidR="00276E20" w:rsidRDefault="00276E20" w:rsidP="00276E20">
      <w:pPr>
        <w:autoSpaceDE w:val="0"/>
        <w:autoSpaceDN w:val="0"/>
        <w:adjustRightInd w:val="0"/>
        <w:rPr>
          <w:szCs w:val="24"/>
        </w:rPr>
      </w:pPr>
    </w:p>
    <w:p w:rsidR="00276E20" w:rsidRPr="00020290" w:rsidRDefault="00842900" w:rsidP="00276E20">
      <w:pPr>
        <w:autoSpaceDE w:val="0"/>
        <w:autoSpaceDN w:val="0"/>
        <w:adjustRightInd w:val="0"/>
        <w:rPr>
          <w:noProof/>
          <w:szCs w:val="24"/>
          <w:lang w:eastAsia="tr-TR"/>
        </w:rPr>
      </w:pPr>
      <w:r>
        <w:rPr>
          <w:b/>
          <w:szCs w:val="24"/>
        </w:rPr>
        <w:t xml:space="preserve">Şekil </w:t>
      </w:r>
      <w:r w:rsidR="00276E20" w:rsidRPr="00210384">
        <w:rPr>
          <w:b/>
          <w:szCs w:val="24"/>
        </w:rPr>
        <w:t>5.</w:t>
      </w:r>
      <w:r w:rsidR="00276E20" w:rsidRPr="00020290">
        <w:rPr>
          <w:szCs w:val="24"/>
        </w:rPr>
        <w:t xml:space="preserve"> </w:t>
      </w:r>
      <w:r w:rsidR="00276E20">
        <w:rPr>
          <w:szCs w:val="24"/>
        </w:rPr>
        <w:t xml:space="preserve">Anaerobik glikolizis, aerobik glikolizis ve oksidatif fosforilasyon arasındaki farklılıklar (Kanser hücrelerinde </w:t>
      </w:r>
      <w:r w:rsidR="00276E20" w:rsidRPr="00020290">
        <w:rPr>
          <w:szCs w:val="24"/>
        </w:rPr>
        <w:t xml:space="preserve">Warburg </w:t>
      </w:r>
      <w:r w:rsidR="00276E20">
        <w:rPr>
          <w:szCs w:val="24"/>
        </w:rPr>
        <w:t>etkisi)</w:t>
      </w:r>
      <w:r w:rsidR="00276E20" w:rsidRPr="00020290">
        <w:rPr>
          <w:szCs w:val="24"/>
        </w:rPr>
        <w:t xml:space="preserve"> </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r w:rsidRPr="00020290">
        <w:rPr>
          <w:szCs w:val="24"/>
        </w:rPr>
        <w:t>Hızla büyümekte olan kanser hücrelerinin normal hücrelere göre daha fazla enerjiye ihtiyaç duyacakları düşünülürken, enerji üretmek için verimsiz bir reaksiyon olan aerobik glikolizisi tercih ederler. Bu biyoenerjetik değişimin olası bir nedeni, düşük oksijen gerilimi altında hızlı büyüme ve çoğalmalarını desteklemek için metabolik son ürünlerini üretmek ve toksik ortamlar veya sitotoksik ajanların neden olacağı ölümden kaçışı sağlamaktır. Glikolizisin biyoenerjetik açıdan daha verimsiz doğası kanser hücrelerinin enerji taleplerini karşılamak için artan glukoz alımı modelini benimsemeleri gerektiğini vurgular (Fadaka ve ark, 2017). Kanser hücrelerindeki glikolitik hız yaklaşık 100 misline kadar arttırılır ve bu durum, bu hücrelerin gelişimi ve büyümesi için gerekli olan yüksek ATP üretimini sa</w:t>
      </w:r>
      <w:r w:rsidR="00C70661">
        <w:rPr>
          <w:szCs w:val="24"/>
        </w:rPr>
        <w:t>ğlar (</w:t>
      </w:r>
      <w:r w:rsidR="00C70661" w:rsidRPr="00020290">
        <w:rPr>
          <w:szCs w:val="24"/>
        </w:rPr>
        <w:t>Pfeiffer ve ark, 2001</w:t>
      </w:r>
      <w:r w:rsidR="00C70661">
        <w:rPr>
          <w:szCs w:val="24"/>
        </w:rPr>
        <w:t>; Locasale ve Cantley, 2010</w:t>
      </w:r>
      <w:r w:rsidRPr="00020290">
        <w:rPr>
          <w:szCs w:val="24"/>
        </w:rPr>
        <w:t xml:space="preserve">). Hücre içine girdikten sonra glukoz glikojene dönüştürülür. Bu nedenle, artan bir glukoz alımı, güçlü bir glikojen sentezi de sağlayabilir. Yapılan çalışmalar tümörlerde belirgin bir glikojen içeriği olduğunu göstermiştir (Xu ve ark, 2015). </w:t>
      </w:r>
    </w:p>
    <w:p w:rsidR="00276E20" w:rsidRPr="00020290" w:rsidRDefault="00276E20" w:rsidP="00276E20">
      <w:pPr>
        <w:autoSpaceDE w:val="0"/>
        <w:autoSpaceDN w:val="0"/>
        <w:adjustRightInd w:val="0"/>
        <w:rPr>
          <w:szCs w:val="24"/>
        </w:rPr>
      </w:pPr>
      <w:r w:rsidRPr="00020290">
        <w:rPr>
          <w:szCs w:val="24"/>
        </w:rPr>
        <w:lastRenderedPageBreak/>
        <w:t>Tümör hücre proliferasyonu için ATP üretiminin yanında makromoleküllerin biyosentezi de esastır (</w:t>
      </w:r>
      <w:r w:rsidRPr="00020290">
        <w:rPr>
          <w:bCs/>
          <w:szCs w:val="24"/>
        </w:rPr>
        <w:t>Deberardinis ve ark, 2008</w:t>
      </w:r>
      <w:r w:rsidRPr="00020290">
        <w:rPr>
          <w:szCs w:val="24"/>
        </w:rPr>
        <w:t xml:space="preserve">). </w:t>
      </w:r>
      <w:proofErr w:type="gramStart"/>
      <w:r w:rsidRPr="00020290">
        <w:rPr>
          <w:szCs w:val="24"/>
        </w:rPr>
        <w:t xml:space="preserve">Kanser hücrelerinde anabolik reaksiyonlar için glikolitik yol ara maddeleri (örneğin glikojen ve riboz-5-fosfat sentezi için G6P, triaçilgliserid için DHAP ve fosfolipid sentezi ve alanin ile malat sentezi için piruvat gibi) dallanma yolaklarına gönderilirler ve nükleotidlerin, proteinlerin ve lipidlerin üretilmesi için kullanılırlar (Kroemer ve Pouyssegur, 2008; Liberti ve Locasale, 2016). </w:t>
      </w:r>
      <w:proofErr w:type="gramEnd"/>
    </w:p>
    <w:p w:rsidR="00276E20" w:rsidRPr="00020290" w:rsidRDefault="00276E20" w:rsidP="00276E20">
      <w:pPr>
        <w:autoSpaceDE w:val="0"/>
        <w:autoSpaceDN w:val="0"/>
        <w:adjustRightInd w:val="0"/>
        <w:rPr>
          <w:szCs w:val="24"/>
        </w:rPr>
      </w:pPr>
      <w:r w:rsidRPr="00020290">
        <w:rPr>
          <w:szCs w:val="24"/>
        </w:rPr>
        <w:t>Warburg etkisi, hücre metabolizması ve kanser hücrelerinin çoğalması için gerekli olan iki önemli nikotinamid kofaktörü NADPH, H</w:t>
      </w:r>
      <w:r w:rsidRPr="00020290">
        <w:rPr>
          <w:szCs w:val="24"/>
          <w:vertAlign w:val="superscript"/>
        </w:rPr>
        <w:t>+</w:t>
      </w:r>
      <w:r w:rsidRPr="00020290">
        <w:rPr>
          <w:szCs w:val="24"/>
        </w:rPr>
        <w:t xml:space="preserve"> ve NAD</w:t>
      </w:r>
      <w:r w:rsidRPr="00020290">
        <w:rPr>
          <w:szCs w:val="24"/>
          <w:vertAlign w:val="superscript"/>
        </w:rPr>
        <w:t>+</w:t>
      </w:r>
      <w:r w:rsidRPr="00020290">
        <w:rPr>
          <w:szCs w:val="24"/>
        </w:rPr>
        <w:t xml:space="preserve"> havuzunu etkiler (Icard ve ark, 2018).  Artan glikolitik ara ürün G6P’ın </w:t>
      </w:r>
      <w:r w:rsidR="00E51958">
        <w:rPr>
          <w:szCs w:val="24"/>
        </w:rPr>
        <w:t>PPP’</w:t>
      </w:r>
      <w:r w:rsidRPr="00020290">
        <w:rPr>
          <w:szCs w:val="24"/>
        </w:rPr>
        <w:t xml:space="preserve">na girmesi ile </w:t>
      </w:r>
      <w:r w:rsidR="00E51958">
        <w:rPr>
          <w:szCs w:val="24"/>
        </w:rPr>
        <w:t>r</w:t>
      </w:r>
      <w:r w:rsidRPr="00020290">
        <w:rPr>
          <w:szCs w:val="24"/>
        </w:rPr>
        <w:t>iboz-5-fosfat ve NADPH (nükleik asit ve lipid sentezi için gerekli) molekülleri üretilir. PPP, glukoz metabolizmasında glikolize paralel olarak önemli bir rol oynar. NADPH ve riboz 5-fosfat, çok önemli glikoliz ara ürünleridir (Xu ve ark, 2015).  NADPH, H</w:t>
      </w:r>
      <w:r w:rsidRPr="00020290">
        <w:rPr>
          <w:szCs w:val="24"/>
          <w:vertAlign w:val="superscript"/>
        </w:rPr>
        <w:t>+</w:t>
      </w:r>
      <w:r w:rsidRPr="00020290">
        <w:rPr>
          <w:szCs w:val="24"/>
        </w:rPr>
        <w:t xml:space="preserve">; PPP’nin oksidatif kısmı, </w:t>
      </w:r>
      <w:r w:rsidR="00095114">
        <w:rPr>
          <w:szCs w:val="24"/>
        </w:rPr>
        <w:t>malik enzim ve IDH gibi dehidrog</w:t>
      </w:r>
      <w:r w:rsidRPr="00020290">
        <w:rPr>
          <w:szCs w:val="24"/>
        </w:rPr>
        <w:t>enazlar tarafından rejenere edilir. Transmembran proteinleri NADPH-oksidazlar (NOX), nükleotidler ve de nova lipid biyosentezi, NADPH, H+’yı yoğun olarak tüketir. NADPH varlığında üretilen antioksidan glutatyon (GSH),  redoks seviyelerini dengeler ve kemoterapötik ajanlara karşı koyarak kanser hücrelerini korur. NADPH, H</w:t>
      </w:r>
      <w:r w:rsidRPr="00020290">
        <w:rPr>
          <w:szCs w:val="24"/>
          <w:vertAlign w:val="superscript"/>
        </w:rPr>
        <w:t xml:space="preserve"> +</w:t>
      </w:r>
      <w:r w:rsidRPr="00020290">
        <w:rPr>
          <w:szCs w:val="24"/>
        </w:rPr>
        <w:t xml:space="preserve"> eksikliği ise genomik lezyonları ve apoptoza karşı direnci desteklemektedir (Icard ve ark, 2018).</w:t>
      </w:r>
    </w:p>
    <w:p w:rsidR="00276E20" w:rsidRPr="00020290" w:rsidRDefault="00276E20" w:rsidP="00276E20">
      <w:pPr>
        <w:autoSpaceDE w:val="0"/>
        <w:autoSpaceDN w:val="0"/>
        <w:adjustRightInd w:val="0"/>
        <w:rPr>
          <w:szCs w:val="24"/>
        </w:rPr>
      </w:pPr>
      <w:r w:rsidRPr="00020290">
        <w:rPr>
          <w:szCs w:val="24"/>
        </w:rPr>
        <w:t>Warbur</w:t>
      </w:r>
      <w:r w:rsidR="00095114">
        <w:rPr>
          <w:szCs w:val="24"/>
        </w:rPr>
        <w:t>g etkisi; PDH, süksinat dehidrog</w:t>
      </w:r>
      <w:r w:rsidRPr="00020290">
        <w:rPr>
          <w:szCs w:val="24"/>
        </w:rPr>
        <w:t xml:space="preserve">enaz (SDH) ve Sirtuin-3 (SIRT-3) ile </w:t>
      </w:r>
      <w:r w:rsidR="00E51958">
        <w:rPr>
          <w:szCs w:val="24"/>
        </w:rPr>
        <w:t>Sirtuin-5 (</w:t>
      </w:r>
      <w:r w:rsidRPr="00020290">
        <w:rPr>
          <w:szCs w:val="24"/>
        </w:rPr>
        <w:t>SIRT-5</w:t>
      </w:r>
      <w:r w:rsidR="00E51958">
        <w:rPr>
          <w:szCs w:val="24"/>
        </w:rPr>
        <w:t>)</w:t>
      </w:r>
      <w:r w:rsidRPr="00020290">
        <w:rPr>
          <w:szCs w:val="24"/>
        </w:rPr>
        <w:t xml:space="preserve"> fonksiyonlarını inaktive eden mitokondriyal NAD</w:t>
      </w:r>
      <w:r w:rsidRPr="00020290">
        <w:rPr>
          <w:szCs w:val="24"/>
          <w:vertAlign w:val="superscript"/>
        </w:rPr>
        <w:t>+</w:t>
      </w:r>
      <w:r w:rsidRPr="00020290">
        <w:rPr>
          <w:szCs w:val="24"/>
        </w:rPr>
        <w:t>'ı azaltır. Aynı zamanda, malat dehidro</w:t>
      </w:r>
      <w:r w:rsidR="00095114">
        <w:rPr>
          <w:szCs w:val="24"/>
        </w:rPr>
        <w:t>g</w:t>
      </w:r>
      <w:r w:rsidRPr="00020290">
        <w:rPr>
          <w:szCs w:val="24"/>
        </w:rPr>
        <w:t>enaz ve LDH-5 gibi NAD</w:t>
      </w:r>
      <w:r w:rsidRPr="00020290">
        <w:rPr>
          <w:szCs w:val="24"/>
          <w:vertAlign w:val="superscript"/>
        </w:rPr>
        <w:t>+</w:t>
      </w:r>
      <w:r w:rsidRPr="00020290">
        <w:rPr>
          <w:szCs w:val="24"/>
        </w:rPr>
        <w:t xml:space="preserve"> yenileyici sitozolik dehidro</w:t>
      </w:r>
      <w:r w:rsidR="00095114">
        <w:rPr>
          <w:szCs w:val="24"/>
        </w:rPr>
        <w:t>g</w:t>
      </w:r>
      <w:r w:rsidRPr="00020290">
        <w:rPr>
          <w:szCs w:val="24"/>
        </w:rPr>
        <w:t>enazların aktivitelerini arttırır. NAD</w:t>
      </w:r>
      <w:r w:rsidRPr="00020290">
        <w:rPr>
          <w:szCs w:val="24"/>
          <w:vertAlign w:val="superscript"/>
        </w:rPr>
        <w:t>+</w:t>
      </w:r>
      <w:r w:rsidRPr="00020290">
        <w:rPr>
          <w:szCs w:val="24"/>
        </w:rPr>
        <w:t xml:space="preserve">, glikolizin oksidatif olmayan kısmı, pirimidin sentezi, histon deasetilasyonu gibi çeşitli işlemlerde ve </w:t>
      </w:r>
      <w:proofErr w:type="gramStart"/>
      <w:r w:rsidRPr="00020290">
        <w:rPr>
          <w:szCs w:val="24"/>
        </w:rPr>
        <w:t>siklik</w:t>
      </w:r>
      <w:proofErr w:type="gramEnd"/>
      <w:r w:rsidRPr="00020290">
        <w:rPr>
          <w:szCs w:val="24"/>
        </w:rPr>
        <w:t xml:space="preserve"> ADP riboz hidrolaz olarak görev yapan yüzey proteini CD38 tarafından, Poli (ADP-riboz) polimeraz 1 (PARP1) ile desteklenen DNA onarımı işeminde ve kaspazlann Sirtuin-1 (SIRT</w:t>
      </w:r>
      <w:r w:rsidR="00E51958">
        <w:rPr>
          <w:szCs w:val="24"/>
        </w:rPr>
        <w:t>-</w:t>
      </w:r>
      <w:r w:rsidRPr="00020290">
        <w:rPr>
          <w:szCs w:val="24"/>
        </w:rPr>
        <w:t>1) ile inaktivasyonunda tüketilir. NAD</w:t>
      </w:r>
      <w:r w:rsidRPr="00020290">
        <w:rPr>
          <w:szCs w:val="24"/>
          <w:vertAlign w:val="superscript"/>
        </w:rPr>
        <w:t>+</w:t>
      </w:r>
      <w:r w:rsidRPr="00020290">
        <w:rPr>
          <w:szCs w:val="24"/>
        </w:rPr>
        <w:t>'nin bu çeşitli üretim ve tüketim sistemleri, farklı hücre fenotiplerinin oluşumunu teşvik eder. NAD</w:t>
      </w:r>
      <w:r w:rsidRPr="00020290">
        <w:rPr>
          <w:szCs w:val="24"/>
          <w:vertAlign w:val="superscript"/>
        </w:rPr>
        <w:t>+</w:t>
      </w:r>
      <w:r w:rsidRPr="00020290">
        <w:rPr>
          <w:szCs w:val="24"/>
        </w:rPr>
        <w:t xml:space="preserve"> eksikliği (aşırı tüketim veya yetersiz geri dönüşüm nedeniyle) özellikle sirkadiyen kontrolün kaybı ve PARP1'in DNA hasarını teşvik eden ve / veya NAD</w:t>
      </w:r>
      <w:r w:rsidRPr="00020290">
        <w:rPr>
          <w:szCs w:val="24"/>
          <w:vertAlign w:val="superscript"/>
        </w:rPr>
        <w:t>+</w:t>
      </w:r>
      <w:r w:rsidRPr="00020290">
        <w:rPr>
          <w:szCs w:val="24"/>
        </w:rPr>
        <w:t xml:space="preserve">-bağımlı deasetilaz olan SIRT1'in (mitokondri downregülasyonunu teşvik eden) etkisiz hale getirilmesi gibi birçok işlemle karsinojenezi destekleyebilir (Icard ve ark, 2018). </w:t>
      </w:r>
    </w:p>
    <w:p w:rsidR="00276E20" w:rsidRPr="00020290" w:rsidRDefault="00276E20" w:rsidP="00276E20">
      <w:pPr>
        <w:autoSpaceDE w:val="0"/>
        <w:autoSpaceDN w:val="0"/>
        <w:adjustRightInd w:val="0"/>
        <w:rPr>
          <w:szCs w:val="24"/>
        </w:rPr>
      </w:pPr>
      <w:r w:rsidRPr="00020290">
        <w:rPr>
          <w:szCs w:val="24"/>
        </w:rPr>
        <w:t xml:space="preserve">Mitokondri yoluyla sitrat ve ATP’nin aşırı üretimi hücresel proliferasyona zararlıdır. Bu nedenle Warburg etkisi, çeşitli seviyelerde glikolizi (PFK1 ve PK enzimlerini) durdurduğu bilinen iki molekül olan ATP ve sitratın mitokondriyal aşırı üretimini engelleyen düzenleyici bir mekanizma olarak görülebilir (Icard ve ark, 2018). ATP sitrat liyazın (ACLY) upregülasyonu, ATP ve sitratın düşük </w:t>
      </w:r>
      <w:proofErr w:type="gramStart"/>
      <w:r w:rsidRPr="00020290">
        <w:rPr>
          <w:szCs w:val="24"/>
        </w:rPr>
        <w:t>konsantrasyonlarının</w:t>
      </w:r>
      <w:proofErr w:type="gramEnd"/>
      <w:r w:rsidRPr="00020290">
        <w:rPr>
          <w:szCs w:val="24"/>
        </w:rPr>
        <w:t xml:space="preserve"> sürdürülmesine katkı sağlayarak </w:t>
      </w:r>
      <w:r w:rsidRPr="00020290">
        <w:rPr>
          <w:szCs w:val="24"/>
        </w:rPr>
        <w:lastRenderedPageBreak/>
        <w:t>tümör agresifliğini, apoptoza ve dediferansiyasyona karşı direnci arttırır. Buna göre mitokondriyal ATP üretimi, kötü diferansiye kanser hücrelerinde %50’ye kadar azalmıştır. Kanser hücrelerinde ATP’nin üretimindeki azalma esas olarak ATPazda (</w:t>
      </w:r>
      <w:proofErr w:type="gramStart"/>
      <w:r w:rsidRPr="00020290">
        <w:rPr>
          <w:szCs w:val="24"/>
        </w:rPr>
        <w:t>kompleks</w:t>
      </w:r>
      <w:proofErr w:type="gramEnd"/>
      <w:r w:rsidRPr="00020290">
        <w:rPr>
          <w:szCs w:val="24"/>
        </w:rPr>
        <w:t xml:space="preserve"> V) meydana gelen solunum zinciri hasarı ile de ilişkili olabilir (Icard ve ark, 2018). </w:t>
      </w:r>
    </w:p>
    <w:p w:rsidR="00276E20" w:rsidRPr="00020290" w:rsidRDefault="00276E20" w:rsidP="00276E20">
      <w:pPr>
        <w:autoSpaceDE w:val="0"/>
        <w:autoSpaceDN w:val="0"/>
        <w:adjustRightInd w:val="0"/>
        <w:rPr>
          <w:szCs w:val="24"/>
        </w:rPr>
      </w:pPr>
      <w:r w:rsidRPr="00020290">
        <w:rPr>
          <w:szCs w:val="24"/>
        </w:rPr>
        <w:t>Azalan oksidatif metabolizma ayrıca C0</w:t>
      </w:r>
      <w:r w:rsidRPr="00020290">
        <w:rPr>
          <w:szCs w:val="24"/>
          <w:vertAlign w:val="subscript"/>
        </w:rPr>
        <w:t>2</w:t>
      </w:r>
      <w:r w:rsidRPr="00020290">
        <w:rPr>
          <w:szCs w:val="24"/>
        </w:rPr>
        <w:t xml:space="preserve"> üretimini de azaltır. İki temel kaynak olan ATP ve CO</w:t>
      </w:r>
      <w:r w:rsidRPr="00020290">
        <w:rPr>
          <w:szCs w:val="24"/>
          <w:vertAlign w:val="subscript"/>
        </w:rPr>
        <w:t>2</w:t>
      </w:r>
      <w:r w:rsidRPr="00020290">
        <w:rPr>
          <w:szCs w:val="24"/>
        </w:rPr>
        <w:t xml:space="preserve">'in azalması kanser hücrelerinde (7.12 ve 7.65 </w:t>
      </w:r>
      <w:proofErr w:type="gramStart"/>
      <w:r w:rsidRPr="00020290">
        <w:rPr>
          <w:szCs w:val="24"/>
        </w:rPr>
        <w:t>aralığında</w:t>
      </w:r>
      <w:proofErr w:type="gramEnd"/>
      <w:r w:rsidRPr="00020290">
        <w:rPr>
          <w:szCs w:val="24"/>
        </w:rPr>
        <w:t>), normal hücrelerinkinden (6.99-7.20) daha yüksek bir alkali hücre içi pH (pHi) oluşturulmasını destekler. pH’nın logaritmik bir değer olduğu ve hafif bir varyasyonunun H</w:t>
      </w:r>
      <w:r w:rsidRPr="00020290">
        <w:rPr>
          <w:szCs w:val="24"/>
          <w:vertAlign w:val="superscript"/>
        </w:rPr>
        <w:t>+</w:t>
      </w:r>
      <w:r w:rsidRPr="00020290">
        <w:rPr>
          <w:szCs w:val="24"/>
        </w:rPr>
        <w:t xml:space="preserve"> </w:t>
      </w:r>
      <w:proofErr w:type="gramStart"/>
      <w:r w:rsidRPr="00020290">
        <w:rPr>
          <w:szCs w:val="24"/>
        </w:rPr>
        <w:t>konsantrasyonunda</w:t>
      </w:r>
      <w:proofErr w:type="gramEnd"/>
      <w:r w:rsidRPr="00020290">
        <w:rPr>
          <w:szCs w:val="24"/>
        </w:rPr>
        <w:t xml:space="preserve"> potansiyel olarak büyük bir düşüşe işaret ettiği unutulmamalıdır. Hücre dışı çevreye H</w:t>
      </w:r>
      <w:r w:rsidRPr="00020290">
        <w:rPr>
          <w:szCs w:val="24"/>
          <w:vertAlign w:val="superscript"/>
        </w:rPr>
        <w:t>+</w:t>
      </w:r>
      <w:r w:rsidRPr="00020290">
        <w:rPr>
          <w:szCs w:val="24"/>
        </w:rPr>
        <w:t xml:space="preserve"> yayan tümör hücrelerindeki bazı membran değiştiriciler (özellikle Na</w:t>
      </w:r>
      <w:r w:rsidRPr="00020290">
        <w:rPr>
          <w:szCs w:val="24"/>
          <w:vertAlign w:val="superscript"/>
        </w:rPr>
        <w:t>+</w:t>
      </w:r>
      <w:r w:rsidRPr="00020290">
        <w:rPr>
          <w:szCs w:val="24"/>
        </w:rPr>
        <w:t>/H</w:t>
      </w:r>
      <w:r w:rsidRPr="00020290">
        <w:rPr>
          <w:szCs w:val="24"/>
          <w:vertAlign w:val="superscript"/>
        </w:rPr>
        <w:t>+</w:t>
      </w:r>
      <w:r w:rsidRPr="00020290">
        <w:rPr>
          <w:szCs w:val="24"/>
        </w:rPr>
        <w:t xml:space="preserve"> değiştirici (NHE1)) upregüle edilir. Karbonik anhidraz (CA) ile kolaylaştırılan CO</w:t>
      </w:r>
      <w:r w:rsidRPr="00020290">
        <w:rPr>
          <w:szCs w:val="24"/>
          <w:vertAlign w:val="subscript"/>
        </w:rPr>
        <w:t>2</w:t>
      </w:r>
      <w:r w:rsidRPr="00020290">
        <w:rPr>
          <w:szCs w:val="24"/>
        </w:rPr>
        <w:t>’in hidrasyonu ile alkali pH korunmuş olur bu denge, H</w:t>
      </w:r>
      <w:r w:rsidRPr="00020290">
        <w:rPr>
          <w:szCs w:val="24"/>
          <w:vertAlign w:val="superscript"/>
        </w:rPr>
        <w:t>+</w:t>
      </w:r>
      <w:r w:rsidRPr="00020290">
        <w:rPr>
          <w:szCs w:val="24"/>
        </w:rPr>
        <w:t xml:space="preserve"> atılırken bir sodyum bikarbonat ko-transporter tarafından bikarbonatın (HCO</w:t>
      </w:r>
      <w:r w:rsidRPr="00020290">
        <w:rPr>
          <w:szCs w:val="24"/>
          <w:vertAlign w:val="subscript"/>
        </w:rPr>
        <w:t>3</w:t>
      </w:r>
      <w:r w:rsidRPr="00020290">
        <w:rPr>
          <w:szCs w:val="24"/>
          <w:vertAlign w:val="superscript"/>
        </w:rPr>
        <w:t>-</w:t>
      </w:r>
      <w:r w:rsidRPr="00020290">
        <w:rPr>
          <w:szCs w:val="24"/>
        </w:rPr>
        <w:t>) yeniden yakalanması il</w:t>
      </w:r>
      <w:r w:rsidR="00A1363D">
        <w:rPr>
          <w:szCs w:val="24"/>
        </w:rPr>
        <w:t>e sağlanır (Icard ve ark, 2018)</w:t>
      </w:r>
      <w:r w:rsidRPr="00020290">
        <w:rPr>
          <w:szCs w:val="24"/>
        </w:rPr>
        <w:t xml:space="preserve"> (Şekil </w:t>
      </w:r>
      <w:r>
        <w:rPr>
          <w:szCs w:val="24"/>
        </w:rPr>
        <w:t>6</w:t>
      </w:r>
      <w:r w:rsidRPr="00020290">
        <w:rPr>
          <w:szCs w:val="24"/>
        </w:rPr>
        <w:t>).</w:t>
      </w:r>
    </w:p>
    <w:p w:rsidR="00276E20" w:rsidRPr="00020290" w:rsidRDefault="00276E20" w:rsidP="00276E20">
      <w:pPr>
        <w:autoSpaceDE w:val="0"/>
        <w:autoSpaceDN w:val="0"/>
        <w:adjustRightInd w:val="0"/>
        <w:rPr>
          <w:szCs w:val="24"/>
        </w:rPr>
      </w:pPr>
      <w:r w:rsidRPr="00020290">
        <w:rPr>
          <w:szCs w:val="24"/>
        </w:rPr>
        <w:t xml:space="preserve">Sitratı Asetil KoA’ya dönüştürmekten sorumlu enzim </w:t>
      </w:r>
      <w:r w:rsidR="008A6CAF">
        <w:rPr>
          <w:szCs w:val="24"/>
        </w:rPr>
        <w:t>ACLY’ın</w:t>
      </w:r>
      <w:r w:rsidRPr="00020290">
        <w:rPr>
          <w:szCs w:val="24"/>
        </w:rPr>
        <w:t xml:space="preserve"> etkinliği histon asetilasyon seviyelerini etkileyebilir. Glukozun uzaklaştırılması veya </w:t>
      </w:r>
      <w:r w:rsidR="008A6CAF">
        <w:rPr>
          <w:szCs w:val="24"/>
        </w:rPr>
        <w:t>ACLY’nin</w:t>
      </w:r>
      <w:r w:rsidRPr="00020290">
        <w:rPr>
          <w:szCs w:val="24"/>
        </w:rPr>
        <w:t xml:space="preserve"> redüksiyonu çeşitli histonlarda asetilasyonun kaybına neden olur ve glukoz metabolizmasında yer alan genlerin transkripsiyonunun azalmasına sebebiyet verir. Bu durum glukoz metabolizması ile histon asetilasyonu arasında bir miktar etkileşim olduğunu gösterir (Liberti ve Locasale, 2016). Bu fikirden destekle glikolitik metabolizmanın kromatin yapısını etkilediği belirlenmiştir (Liu ve ark, 2015). </w:t>
      </w:r>
    </w:p>
    <w:p w:rsidR="00276E20" w:rsidRPr="00020290" w:rsidRDefault="00276E20" w:rsidP="00276E20">
      <w:pPr>
        <w:autoSpaceDE w:val="0"/>
        <w:autoSpaceDN w:val="0"/>
        <w:adjustRightInd w:val="0"/>
        <w:rPr>
          <w:szCs w:val="24"/>
        </w:rPr>
      </w:pPr>
      <w:r w:rsidRPr="00020290">
        <w:rPr>
          <w:szCs w:val="24"/>
        </w:rPr>
        <w:t>Histonların deasetilasyonu alkali pH’sının korunmasına da yardımcı olur. Çünkü pHi yaklaşık 7’nin altına düştüğünde asetat kromatini terk eder ve aşırı yüksek H</w:t>
      </w:r>
      <w:r w:rsidRPr="00020290">
        <w:rPr>
          <w:szCs w:val="24"/>
          <w:vertAlign w:val="superscript"/>
        </w:rPr>
        <w:t>+</w:t>
      </w:r>
      <w:r w:rsidRPr="00020290">
        <w:rPr>
          <w:szCs w:val="24"/>
        </w:rPr>
        <w:t xml:space="preserve"> konsantrasyonlarını </w:t>
      </w:r>
      <w:proofErr w:type="gramStart"/>
      <w:r w:rsidRPr="00020290">
        <w:rPr>
          <w:szCs w:val="24"/>
        </w:rPr>
        <w:t>nötralize</w:t>
      </w:r>
      <w:proofErr w:type="gramEnd"/>
      <w:r w:rsidRPr="00020290">
        <w:rPr>
          <w:szCs w:val="24"/>
        </w:rPr>
        <w:t xml:space="preserve"> eder. Alkali pHi, PFK1 aktivitesini 100 kat arttırdığı, piruvat oksidasyonunu azalttığından hücre proliferasyonu için temel bir koşuldur. Dahası, hücre döngüsü kontrol noktalarının atlatılmasını sağlar ve sentrozom etrafında mitoz ve mikrotübül polimerizasyonunun başlatılmasına yardımcı olur. Alkali pHi apoptozisi sınırladığı için tümör </w:t>
      </w:r>
      <w:proofErr w:type="gramStart"/>
      <w:r w:rsidRPr="00020290">
        <w:rPr>
          <w:szCs w:val="24"/>
        </w:rPr>
        <w:t>agresifliğinin</w:t>
      </w:r>
      <w:proofErr w:type="gramEnd"/>
      <w:r w:rsidRPr="00020290">
        <w:rPr>
          <w:szCs w:val="24"/>
        </w:rPr>
        <w:t xml:space="preserve"> de bir faktörüdür ve normalde glikolitik aktivatör F2,6BP’ı düşük bir seviyede tutan bir faktör olan apoptoz düzenleyicisinin (TIGAR) ve TP53 indüklenebilir glikoliz inhibisyonuna yol açan p53 benzeri proteinleri inaktive eder (Icard ve ark, 2018).</w:t>
      </w:r>
    </w:p>
    <w:p w:rsidR="00276E20" w:rsidRPr="00020290" w:rsidRDefault="00276E20" w:rsidP="00276E20">
      <w:pPr>
        <w:autoSpaceDE w:val="0"/>
        <w:autoSpaceDN w:val="0"/>
        <w:adjustRightInd w:val="0"/>
        <w:rPr>
          <w:szCs w:val="24"/>
        </w:rPr>
      </w:pPr>
      <w:r w:rsidRPr="00020290">
        <w:rPr>
          <w:szCs w:val="24"/>
        </w:rPr>
        <w:t>Kanser hücrelerinde hücre zarının her bir tarafında oluşan ters akıştaki pH gradyanı, zayıf bazik anti-kanser ilaçlarının hücrelere difüzyonunu azaltır. Ayrıca ekstrasellüler asidite kemoterapötik ilaçları hücre dışına iten taşıma pompalarının fonksiyonunu güçlendirebilir (Icard ve ark, 2018)</w:t>
      </w:r>
      <w:r>
        <w:rPr>
          <w:szCs w:val="24"/>
        </w:rPr>
        <w:t>.</w:t>
      </w:r>
    </w:p>
    <w:p w:rsidR="00276E20" w:rsidRPr="00020290" w:rsidRDefault="00276E20" w:rsidP="00276E20">
      <w:pPr>
        <w:autoSpaceDE w:val="0"/>
        <w:autoSpaceDN w:val="0"/>
        <w:adjustRightInd w:val="0"/>
        <w:rPr>
          <w:szCs w:val="24"/>
        </w:rPr>
      </w:pPr>
      <w:r w:rsidRPr="00020290">
        <w:rPr>
          <w:szCs w:val="24"/>
        </w:rPr>
        <w:lastRenderedPageBreak/>
        <w:t>Hücresel OXPHOS, mitokondride önemli bir metabolik yoldur, ancak hücrelere zarar verebilen serbest radikaller olan ROS’ları da üretebilir (Xu ve ark, 2015).  Tümörlerin kısıtlı substrat kaynağı ile ya da glikolitik enzim laktat dehidrogenaz A</w:t>
      </w:r>
      <w:r w:rsidR="008A6CAF">
        <w:rPr>
          <w:szCs w:val="24"/>
        </w:rPr>
        <w:t xml:space="preserve"> </w:t>
      </w:r>
      <w:r w:rsidRPr="00020290">
        <w:rPr>
          <w:szCs w:val="24"/>
        </w:rPr>
        <w:t xml:space="preserve">(LDHA)’nın inhibisyonuyla yüksek bir OXPHOS hızı göstermesi daha yüksek bir ROS üretimine ve tümör büyümesinde önemli bir azalmaya neden olur (Herling ve ark, 2011).  Hücrelerde aşırı ROS hücre membranlarına ve nükleik asitlere zarar verir. Uygun ROS dengesini korumak esastır (Liberti ve Locasale, 2016). Warburg etkisi, kanser hücreleri için toksik veya ölümcül olmayan bir </w:t>
      </w:r>
      <w:proofErr w:type="gramStart"/>
      <w:r w:rsidRPr="00020290">
        <w:rPr>
          <w:szCs w:val="24"/>
        </w:rPr>
        <w:t>konsantrasyon</w:t>
      </w:r>
      <w:proofErr w:type="gramEnd"/>
      <w:r w:rsidRPr="00020290">
        <w:rPr>
          <w:szCs w:val="24"/>
        </w:rPr>
        <w:t xml:space="preserve"> aralığında ROS seviyelerini koruyucu bir proses olan mitokondri aktivitesini downregüle eder. Mitokondrinin bu azalan aktivitesi ayrıca sitozolde H</w:t>
      </w:r>
      <w:r w:rsidRPr="00020290">
        <w:rPr>
          <w:szCs w:val="24"/>
          <w:vertAlign w:val="subscript"/>
        </w:rPr>
        <w:t>2</w:t>
      </w:r>
      <w:r w:rsidRPr="00020290">
        <w:rPr>
          <w:szCs w:val="24"/>
        </w:rPr>
        <w:t xml:space="preserve">0’un üretimini de sınırlar: hafif bir ozmotik artış hücre proliferasyonunu ve göçünü arttırırken, aşırı artışı yıkıcı olabilir. Özetle Warburg etkisi hücresel sağkalım ve hücresel proliferasyon ile uyumlu bir </w:t>
      </w:r>
      <w:proofErr w:type="gramStart"/>
      <w:r w:rsidRPr="00020290">
        <w:rPr>
          <w:szCs w:val="24"/>
        </w:rPr>
        <w:t>konsantrasyon</w:t>
      </w:r>
      <w:proofErr w:type="gramEnd"/>
      <w:r w:rsidRPr="00020290">
        <w:rPr>
          <w:szCs w:val="24"/>
        </w:rPr>
        <w:t xml:space="preserve"> aralığında ATP, C0</w:t>
      </w:r>
      <w:r w:rsidRPr="00020290">
        <w:rPr>
          <w:szCs w:val="24"/>
          <w:vertAlign w:val="subscript"/>
        </w:rPr>
        <w:t>2</w:t>
      </w:r>
      <w:r w:rsidRPr="00020290">
        <w:rPr>
          <w:szCs w:val="24"/>
        </w:rPr>
        <w:t>, ROS, sitrat ve H</w:t>
      </w:r>
      <w:r w:rsidRPr="00020290">
        <w:rPr>
          <w:szCs w:val="24"/>
          <w:vertAlign w:val="subscript"/>
        </w:rPr>
        <w:t>2</w:t>
      </w:r>
      <w:r w:rsidRPr="00020290">
        <w:rPr>
          <w:szCs w:val="24"/>
        </w:rPr>
        <w:t xml:space="preserve">0 üretimini sınırlar. Ayrıca büyümeyi, invazivliği ve gelişmeyi destekleyen bir pH ortamı sağlar (Icard ve ark, 2018) (Şekil </w:t>
      </w:r>
      <w:r>
        <w:rPr>
          <w:szCs w:val="24"/>
        </w:rPr>
        <w:t>6</w:t>
      </w:r>
      <w:r w:rsidRPr="00020290">
        <w:rPr>
          <w:szCs w:val="24"/>
        </w:rPr>
        <w:t>).</w:t>
      </w:r>
    </w:p>
    <w:p w:rsidR="00276E20" w:rsidRPr="00020290" w:rsidRDefault="00276E20" w:rsidP="00276E20">
      <w:pPr>
        <w:autoSpaceDE w:val="0"/>
        <w:autoSpaceDN w:val="0"/>
        <w:adjustRightInd w:val="0"/>
        <w:rPr>
          <w:szCs w:val="24"/>
        </w:rPr>
      </w:pPr>
      <w:r w:rsidRPr="00020290">
        <w:rPr>
          <w:szCs w:val="24"/>
        </w:rPr>
        <w:t xml:space="preserve">Aerobik glikolizisin baskın bir şekilde kullanılması yoğun laktat oluşumuna neden olur ve tümör mikroçevresinde laktat birikimi hem komşu normal hücre </w:t>
      </w:r>
      <w:proofErr w:type="gramStart"/>
      <w:r w:rsidRPr="00020290">
        <w:rPr>
          <w:szCs w:val="24"/>
        </w:rPr>
        <w:t>popülasyonlarının</w:t>
      </w:r>
      <w:proofErr w:type="gramEnd"/>
      <w:r w:rsidRPr="00020290">
        <w:rPr>
          <w:szCs w:val="24"/>
        </w:rPr>
        <w:t xml:space="preserve"> tahribatını hem de ekstrasellüler matriksin asit kaynaklı degradasyonunu ve anjiyogenez oluşumu ile tümör invazyonunu kolaylaştırır (Bonuccelli ve ark, 2010). Yoğun miktarda oluşan laktik asit ve bikarbonik</w:t>
      </w:r>
      <w:r w:rsidR="00173CCF">
        <w:rPr>
          <w:szCs w:val="24"/>
        </w:rPr>
        <w:t xml:space="preserve"> asitler ortamı, tümör istilası</w:t>
      </w:r>
      <w:r w:rsidRPr="00020290">
        <w:rPr>
          <w:szCs w:val="24"/>
        </w:rPr>
        <w:t xml:space="preserve"> için koşullandırmanın yanı sıra antikanser immün efektörlerini baskılarlar (Koukourakis ve ark, 2006; Fischer ve ark, 2007</w:t>
      </w:r>
      <w:r w:rsidR="00D83A78">
        <w:rPr>
          <w:szCs w:val="24"/>
        </w:rPr>
        <w:t xml:space="preserve">; </w:t>
      </w:r>
      <w:r w:rsidR="00D83A78" w:rsidRPr="00020290">
        <w:rPr>
          <w:szCs w:val="24"/>
        </w:rPr>
        <w:t>Swietach ve ark, 2007</w:t>
      </w:r>
      <w:r w:rsidRPr="00020290">
        <w:rPr>
          <w:szCs w:val="24"/>
        </w:rPr>
        <w:t xml:space="preserve">). Kanser </w:t>
      </w:r>
      <w:r w:rsidR="002611B8">
        <w:rPr>
          <w:szCs w:val="24"/>
        </w:rPr>
        <w:t>odağı</w:t>
      </w:r>
      <w:r w:rsidRPr="00020290">
        <w:rPr>
          <w:szCs w:val="24"/>
        </w:rPr>
        <w:t xml:space="preserve"> çevresindeki sitotoksik T lenfositlerin birikiminden kaynaklanan hücre dışı laktatın artışı ise bağışıklıktan kaçışa neden olacak şekilde T hücrelerinin işlevini ve metabolizmasını bozar (Xu ve ark, 2015).  </w:t>
      </w:r>
    </w:p>
    <w:p w:rsidR="00276E20" w:rsidRPr="00020290" w:rsidRDefault="00276E20" w:rsidP="00276E20">
      <w:pPr>
        <w:autoSpaceDE w:val="0"/>
        <w:autoSpaceDN w:val="0"/>
        <w:adjustRightInd w:val="0"/>
        <w:rPr>
          <w:szCs w:val="24"/>
        </w:rPr>
      </w:pPr>
      <w:r w:rsidRPr="00020290">
        <w:rPr>
          <w:szCs w:val="24"/>
        </w:rPr>
        <w:t xml:space="preserve">Artan aerobik glikolizis ile laktat </w:t>
      </w:r>
      <w:proofErr w:type="gramStart"/>
      <w:r w:rsidRPr="00020290">
        <w:rPr>
          <w:szCs w:val="24"/>
        </w:rPr>
        <w:t>konsantrasyonunun</w:t>
      </w:r>
      <w:proofErr w:type="gramEnd"/>
      <w:r w:rsidRPr="00020290">
        <w:rPr>
          <w:szCs w:val="24"/>
        </w:rPr>
        <w:t xml:space="preserve"> artışı piruvat konsantrasyonundaki artış ile de paraleldir çünkü her iki metabolit doğrudan LDH tarafından katalizlenen bir denge reaksiyonu ile birleşir. Piruvat ve diğer ketoasitlerin ayrıca enzimatik olmayan bir kimyasal reaksiyon ile H</w:t>
      </w:r>
      <w:r w:rsidRPr="00020290">
        <w:rPr>
          <w:szCs w:val="24"/>
          <w:vertAlign w:val="subscript"/>
        </w:rPr>
        <w:t>2</w:t>
      </w:r>
      <w:r w:rsidRPr="00020290">
        <w:rPr>
          <w:szCs w:val="24"/>
        </w:rPr>
        <w:t>0</w:t>
      </w:r>
      <w:r w:rsidRPr="00020290">
        <w:rPr>
          <w:szCs w:val="24"/>
          <w:vertAlign w:val="subscript"/>
        </w:rPr>
        <w:t>2</w:t>
      </w:r>
      <w:r w:rsidRPr="00020290">
        <w:rPr>
          <w:szCs w:val="24"/>
        </w:rPr>
        <w:t xml:space="preserve">’i suya dönüştürerek etkili antioksidanlar olarak görev yaptıkları gösterilmiştir. Böylece artan piruvat seviyeleri tümörlerin </w:t>
      </w:r>
      <w:r w:rsidRPr="00AC3C6A">
        <w:rPr>
          <w:szCs w:val="24"/>
        </w:rPr>
        <w:t>ROS’a karşı yüksek hassasiyetinin</w:t>
      </w:r>
      <w:r w:rsidRPr="00020290">
        <w:rPr>
          <w:szCs w:val="24"/>
        </w:rPr>
        <w:t xml:space="preserve"> azaltılmasına katkıda bulunabilir (Herling ve ark, 2011). </w:t>
      </w:r>
    </w:p>
    <w:p w:rsidR="00276E20" w:rsidRPr="00020290" w:rsidRDefault="00276E20" w:rsidP="00276E20">
      <w:pPr>
        <w:autoSpaceDE w:val="0"/>
        <w:autoSpaceDN w:val="0"/>
        <w:adjustRightInd w:val="0"/>
        <w:rPr>
          <w:szCs w:val="24"/>
        </w:rPr>
      </w:pPr>
      <w:r w:rsidRPr="00020290">
        <w:rPr>
          <w:szCs w:val="24"/>
        </w:rPr>
        <w:t xml:space="preserve">Bunun yanında metabolizmanın mitokondriden sitoplazmaya doğru yönlendirilmesi malign hücrelerin apoptoza direnç göstermesini sağlar. Glikolitik enzimler, mitokondriye bağlı apoptozun çeşitli bileşenlerini inhibe ederek anti-apoptotik faktörler olarak görev yaparlar (Li ve ark, 2011). </w:t>
      </w:r>
    </w:p>
    <w:p w:rsidR="00276E20" w:rsidRPr="00020290" w:rsidRDefault="00276E20" w:rsidP="00210384">
      <w:pPr>
        <w:pStyle w:val="AltKonuBal"/>
      </w:pPr>
      <w:r w:rsidRPr="00020290">
        <w:rPr>
          <w:noProof/>
          <w:lang w:eastAsia="tr-TR"/>
        </w:rPr>
        <w:lastRenderedPageBreak/>
        <w:drawing>
          <wp:inline distT="0" distB="0" distL="0" distR="0">
            <wp:extent cx="5760085" cy="4759766"/>
            <wp:effectExtent l="0" t="0" r="0" b="3175"/>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60085" cy="4759766"/>
                    </a:xfrm>
                    <a:prstGeom prst="rect">
                      <a:avLst/>
                    </a:prstGeom>
                    <a:noFill/>
                    <a:ln w="9525">
                      <a:noFill/>
                      <a:miter lim="800000"/>
                      <a:headEnd/>
                      <a:tailEnd/>
                    </a:ln>
                  </pic:spPr>
                </pic:pic>
              </a:graphicData>
            </a:graphic>
          </wp:inline>
        </w:drawing>
      </w:r>
    </w:p>
    <w:p w:rsidR="00276E20" w:rsidRDefault="00276E20" w:rsidP="00276E20">
      <w:pPr>
        <w:autoSpaceDE w:val="0"/>
        <w:autoSpaceDN w:val="0"/>
        <w:adjustRightInd w:val="0"/>
        <w:rPr>
          <w:b/>
          <w:szCs w:val="24"/>
        </w:rPr>
      </w:pPr>
    </w:p>
    <w:p w:rsidR="00276E20" w:rsidRPr="00020290" w:rsidRDefault="00842900" w:rsidP="00276E20">
      <w:pPr>
        <w:autoSpaceDE w:val="0"/>
        <w:autoSpaceDN w:val="0"/>
        <w:adjustRightInd w:val="0"/>
        <w:jc w:val="center"/>
        <w:rPr>
          <w:szCs w:val="24"/>
        </w:rPr>
      </w:pPr>
      <w:r>
        <w:rPr>
          <w:b/>
          <w:szCs w:val="24"/>
        </w:rPr>
        <w:t xml:space="preserve">Şekil </w:t>
      </w:r>
      <w:r w:rsidR="00276E20" w:rsidRPr="00210384">
        <w:rPr>
          <w:b/>
          <w:szCs w:val="24"/>
        </w:rPr>
        <w:t>6.</w:t>
      </w:r>
      <w:r w:rsidR="00276E20" w:rsidRPr="00020290">
        <w:rPr>
          <w:b/>
          <w:szCs w:val="24"/>
        </w:rPr>
        <w:t xml:space="preserve"> </w:t>
      </w:r>
      <w:r w:rsidR="00276E20" w:rsidRPr="00020290">
        <w:rPr>
          <w:szCs w:val="24"/>
        </w:rPr>
        <w:t>Warburg etkisi ve hücrede yarattığı sonuçlar (Icard ve ark, 2018’den değiştirilerek alınmıştır).</w:t>
      </w:r>
    </w:p>
    <w:p w:rsidR="00276E20" w:rsidRPr="003E7E1B" w:rsidRDefault="00276E20" w:rsidP="00276E20">
      <w:pPr>
        <w:autoSpaceDE w:val="0"/>
        <w:autoSpaceDN w:val="0"/>
        <w:adjustRightInd w:val="0"/>
        <w:rPr>
          <w:sz w:val="20"/>
          <w:szCs w:val="20"/>
        </w:rPr>
      </w:pPr>
      <w:r w:rsidRPr="003E7E1B">
        <w:rPr>
          <w:sz w:val="20"/>
          <w:szCs w:val="20"/>
        </w:rPr>
        <w:t>Kısaltmalar: Ac: Asetil; ACLY: ATP Sitrat Liyaz; G: glukoz; GSH: Glutatyon; H</w:t>
      </w:r>
      <w:r w:rsidRPr="003E7E1B">
        <w:rPr>
          <w:sz w:val="20"/>
          <w:szCs w:val="20"/>
          <w:vertAlign w:val="superscript"/>
        </w:rPr>
        <w:t>+</w:t>
      </w:r>
      <w:r w:rsidRPr="003E7E1B">
        <w:rPr>
          <w:sz w:val="20"/>
          <w:szCs w:val="20"/>
        </w:rPr>
        <w:t>: proton; L: laktat; MDR: Multi İlaç Direnci; NAD</w:t>
      </w:r>
      <w:r w:rsidRPr="003E7E1B">
        <w:rPr>
          <w:sz w:val="20"/>
          <w:szCs w:val="20"/>
          <w:vertAlign w:val="superscript"/>
        </w:rPr>
        <w:t>+</w:t>
      </w:r>
      <w:r w:rsidRPr="003E7E1B">
        <w:rPr>
          <w:sz w:val="20"/>
          <w:szCs w:val="20"/>
        </w:rPr>
        <w:t xml:space="preserve">: Nikotinamid Adenin Dinükleotid; OXPHOS: </w:t>
      </w:r>
      <w:proofErr w:type="gramStart"/>
      <w:r w:rsidRPr="003E7E1B">
        <w:rPr>
          <w:sz w:val="20"/>
          <w:szCs w:val="20"/>
        </w:rPr>
        <w:t>Oksidatif  fosforilasyon</w:t>
      </w:r>
      <w:proofErr w:type="gramEnd"/>
      <w:r w:rsidRPr="003E7E1B">
        <w:rPr>
          <w:sz w:val="20"/>
          <w:szCs w:val="20"/>
        </w:rPr>
        <w:t>; P: Piruvat; PFK1: Fosfofruktokinaz 1; PPP: Pentoz Fosfat Yolu; ROS: Reaktif Oksijen Türleri; SIRTs: Sirtuinler; TCA: Trikarboksilik Asit Siklusu</w:t>
      </w:r>
    </w:p>
    <w:p w:rsidR="00276E20" w:rsidRDefault="00276E20" w:rsidP="00276E20">
      <w:pPr>
        <w:autoSpaceDE w:val="0"/>
        <w:autoSpaceDN w:val="0"/>
        <w:adjustRightInd w:val="0"/>
        <w:rPr>
          <w:szCs w:val="24"/>
        </w:rPr>
      </w:pPr>
    </w:p>
    <w:p w:rsidR="00276E20" w:rsidRDefault="00276E20" w:rsidP="00276E20">
      <w:pPr>
        <w:autoSpaceDE w:val="0"/>
        <w:autoSpaceDN w:val="0"/>
        <w:adjustRightInd w:val="0"/>
        <w:rPr>
          <w:szCs w:val="24"/>
        </w:rPr>
      </w:pPr>
    </w:p>
    <w:p w:rsidR="00276E20" w:rsidRDefault="00276E20" w:rsidP="00276E20">
      <w:pPr>
        <w:autoSpaceDE w:val="0"/>
        <w:autoSpaceDN w:val="0"/>
        <w:adjustRightInd w:val="0"/>
        <w:rPr>
          <w:szCs w:val="24"/>
        </w:rPr>
      </w:pPr>
    </w:p>
    <w:p w:rsidR="00276E20" w:rsidRDefault="00276E20" w:rsidP="00276E20">
      <w:pPr>
        <w:autoSpaceDE w:val="0"/>
        <w:autoSpaceDN w:val="0"/>
        <w:adjustRightInd w:val="0"/>
        <w:rPr>
          <w:szCs w:val="24"/>
        </w:rPr>
      </w:pPr>
    </w:p>
    <w:p w:rsidR="00210384" w:rsidRDefault="00210384"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Default="00276E20" w:rsidP="00276E20">
      <w:pPr>
        <w:rPr>
          <w:b/>
          <w:szCs w:val="24"/>
        </w:rPr>
      </w:pPr>
    </w:p>
    <w:p w:rsidR="00276E20" w:rsidRDefault="00276E20" w:rsidP="00901B81">
      <w:pPr>
        <w:pStyle w:val="Balk2"/>
      </w:pPr>
      <w:r w:rsidRPr="00020290">
        <w:lastRenderedPageBreak/>
        <w:t>2.</w:t>
      </w:r>
      <w:r w:rsidR="006F4696">
        <w:t>7</w:t>
      </w:r>
      <w:r w:rsidR="006A4185">
        <w:t>.</w:t>
      </w:r>
      <w:r w:rsidRPr="00020290">
        <w:t xml:space="preserve"> Hipoksi ve Kanser</w:t>
      </w:r>
    </w:p>
    <w:p w:rsidR="00276E20" w:rsidRPr="00020290" w:rsidRDefault="00276E20" w:rsidP="00901B81">
      <w:pPr>
        <w:pStyle w:val="Balk2"/>
      </w:pPr>
    </w:p>
    <w:p w:rsidR="00276E20" w:rsidRDefault="00276E20" w:rsidP="00901B81">
      <w:pPr>
        <w:pStyle w:val="Balk2"/>
      </w:pPr>
      <w:r w:rsidRPr="00020290">
        <w:t>2.</w:t>
      </w:r>
      <w:r w:rsidR="006F4696">
        <w:t>7</w:t>
      </w:r>
      <w:r w:rsidRPr="00020290">
        <w:t>.1</w:t>
      </w:r>
      <w:r w:rsidR="006A4185">
        <w:t>.</w:t>
      </w:r>
      <w:r w:rsidR="001A74AB">
        <w:t xml:space="preserve"> Organizmadaki Oksijenin Fizyolojik K</w:t>
      </w:r>
      <w:r w:rsidRPr="00020290">
        <w:t>onsantrasyonları</w:t>
      </w:r>
      <w:r>
        <w:t xml:space="preserve">  </w:t>
      </w:r>
    </w:p>
    <w:p w:rsidR="00276E20" w:rsidRPr="00020290" w:rsidRDefault="00276E20" w:rsidP="00276E20">
      <w:pPr>
        <w:rPr>
          <w:b/>
          <w:szCs w:val="24"/>
        </w:rPr>
      </w:pPr>
    </w:p>
    <w:p w:rsidR="00276E20" w:rsidRPr="00020290" w:rsidRDefault="00276E20" w:rsidP="00276E20">
      <w:pPr>
        <w:autoSpaceDE w:val="0"/>
        <w:autoSpaceDN w:val="0"/>
        <w:adjustRightInd w:val="0"/>
        <w:rPr>
          <w:szCs w:val="24"/>
        </w:rPr>
      </w:pPr>
      <w:r w:rsidRPr="00020290">
        <w:rPr>
          <w:szCs w:val="24"/>
        </w:rPr>
        <w:t xml:space="preserve">Oksijen, solunum sırasında kullanılmasından ötürü </w:t>
      </w:r>
      <w:r w:rsidR="00252011">
        <w:rPr>
          <w:szCs w:val="24"/>
        </w:rPr>
        <w:t>biyokimyasal reaksiyonlarda</w:t>
      </w:r>
      <w:r w:rsidRPr="00020290">
        <w:rPr>
          <w:szCs w:val="24"/>
        </w:rPr>
        <w:t xml:space="preserve"> merkezi bir öneme sahiptir. Yetişkinlerde fizyolojik oksijen </w:t>
      </w:r>
      <w:proofErr w:type="gramStart"/>
      <w:r w:rsidRPr="00020290">
        <w:rPr>
          <w:szCs w:val="24"/>
        </w:rPr>
        <w:t>konsantrasyonu</w:t>
      </w:r>
      <w:proofErr w:type="gramEnd"/>
      <w:r w:rsidRPr="00020290">
        <w:rPr>
          <w:szCs w:val="24"/>
        </w:rPr>
        <w:t xml:space="preserve"> dokuya ve hatta aynı organın bölgelerine göre bile değişir. İnsan vücudundaki normal O</w:t>
      </w:r>
      <w:r w:rsidRPr="00020290">
        <w:rPr>
          <w:szCs w:val="24"/>
          <w:vertAlign w:val="subscript"/>
        </w:rPr>
        <w:t>2</w:t>
      </w:r>
      <w:r w:rsidRPr="00020290">
        <w:rPr>
          <w:szCs w:val="24"/>
        </w:rPr>
        <w:t xml:space="preserve"> seviyeleri üst solunum yolunda %21’den [deniz seviyesinde ~150mmHg kısmi basınca (pO</w:t>
      </w:r>
      <w:r w:rsidRPr="00020290">
        <w:rPr>
          <w:szCs w:val="24"/>
          <w:vertAlign w:val="subscript"/>
        </w:rPr>
        <w:t>2</w:t>
      </w:r>
      <w:r w:rsidRPr="00020290">
        <w:rPr>
          <w:szCs w:val="24"/>
        </w:rPr>
        <w:t>) karşılık gelir] böbrekte kortikomedüller bileşimde ~1’e kadar değişir (Semenza, 2010). İnsan vücudundaki birçok hücre daha düşük O</w:t>
      </w:r>
      <w:r w:rsidRPr="00020290">
        <w:rPr>
          <w:szCs w:val="24"/>
          <w:vertAlign w:val="subscript"/>
        </w:rPr>
        <w:t>2</w:t>
      </w:r>
      <w:r w:rsidRPr="00020290">
        <w:rPr>
          <w:szCs w:val="24"/>
        </w:rPr>
        <w:t xml:space="preserve"> seviyelerine maruz kalmasına rağmen </w:t>
      </w:r>
      <w:r w:rsidR="004D23FB" w:rsidRPr="004D23FB">
        <w:rPr>
          <w:i/>
          <w:szCs w:val="24"/>
        </w:rPr>
        <w:t>in vitro</w:t>
      </w:r>
      <w:r w:rsidRPr="00020290">
        <w:rPr>
          <w:szCs w:val="24"/>
        </w:rPr>
        <w:t xml:space="preserve"> kültür hücreleri genellikle %20 O</w:t>
      </w:r>
      <w:r w:rsidRPr="00020290">
        <w:rPr>
          <w:szCs w:val="24"/>
          <w:vertAlign w:val="subscript"/>
        </w:rPr>
        <w:t>2</w:t>
      </w:r>
      <w:r w:rsidRPr="00020290">
        <w:rPr>
          <w:szCs w:val="24"/>
        </w:rPr>
        <w:t xml:space="preserve"> (%95 hava ve %5 CO</w:t>
      </w:r>
      <w:r w:rsidRPr="00020290">
        <w:rPr>
          <w:szCs w:val="24"/>
          <w:vertAlign w:val="subscript"/>
        </w:rPr>
        <w:t>2</w:t>
      </w:r>
      <w:r w:rsidRPr="00020290">
        <w:rPr>
          <w:szCs w:val="24"/>
        </w:rPr>
        <w:t xml:space="preserve">) içinde tutulur ve bu </w:t>
      </w:r>
      <w:proofErr w:type="gramStart"/>
      <w:r w:rsidRPr="00020290">
        <w:rPr>
          <w:szCs w:val="24"/>
        </w:rPr>
        <w:t>konsantrasyon</w:t>
      </w:r>
      <w:proofErr w:type="gramEnd"/>
      <w:r w:rsidRPr="00020290">
        <w:rPr>
          <w:szCs w:val="24"/>
        </w:rPr>
        <w:t xml:space="preserve"> "normoksi" olarak tanımlanır (Semenza, 2010). </w:t>
      </w:r>
    </w:p>
    <w:p w:rsidR="00276E20" w:rsidRPr="00020290" w:rsidRDefault="00276E20" w:rsidP="00276E20">
      <w:pPr>
        <w:autoSpaceDE w:val="0"/>
        <w:autoSpaceDN w:val="0"/>
        <w:adjustRightInd w:val="0"/>
        <w:rPr>
          <w:szCs w:val="24"/>
        </w:rPr>
      </w:pPr>
      <w:r w:rsidRPr="00020290">
        <w:rPr>
          <w:szCs w:val="24"/>
        </w:rPr>
        <w:t>O</w:t>
      </w:r>
      <w:r w:rsidRPr="00020290">
        <w:rPr>
          <w:szCs w:val="24"/>
          <w:vertAlign w:val="subscript"/>
        </w:rPr>
        <w:t>2</w:t>
      </w:r>
      <w:r w:rsidRPr="00020290">
        <w:rPr>
          <w:szCs w:val="24"/>
        </w:rPr>
        <w:t>'nin her hücrede basit moleküler difüzyonuna izin veren ilkel çok hücreli organizmaların aksine, karmaşık çok hücreli organizmalar, O</w:t>
      </w:r>
      <w:r w:rsidRPr="00020290">
        <w:rPr>
          <w:szCs w:val="24"/>
          <w:vertAlign w:val="subscript"/>
        </w:rPr>
        <w:t>2</w:t>
      </w:r>
      <w:r w:rsidRPr="00020290">
        <w:rPr>
          <w:szCs w:val="24"/>
        </w:rPr>
        <w:t>'ni (solunum sistemi) etkili bir şekilde yakalamak ve dokulara dağıtmak için çeşitli stratejiler geliştirmiştir. Ayrıca, esasen eritropoietin (EPO) ile temsil edilen bir nöroendokrin sistemi, O</w:t>
      </w:r>
      <w:r w:rsidRPr="00020290">
        <w:rPr>
          <w:szCs w:val="24"/>
          <w:vertAlign w:val="subscript"/>
        </w:rPr>
        <w:t>2</w:t>
      </w:r>
      <w:r w:rsidRPr="00020290">
        <w:rPr>
          <w:szCs w:val="24"/>
        </w:rPr>
        <w:t xml:space="preserve"> </w:t>
      </w:r>
      <w:proofErr w:type="gramStart"/>
      <w:r w:rsidRPr="00020290">
        <w:rPr>
          <w:szCs w:val="24"/>
        </w:rPr>
        <w:t>konsantrasyonunun</w:t>
      </w:r>
      <w:proofErr w:type="gramEnd"/>
      <w:r w:rsidRPr="00020290">
        <w:rPr>
          <w:szCs w:val="24"/>
        </w:rPr>
        <w:t xml:space="preserve"> etkin bir şekilde düzenlenmesini ve organizmanın bütün hücrelerine verilmesini sağlar (Brahimi-Horn ve Pouyssegur, 2007; Hsia ve ark, 2013). Bu güçlü sistemlere rağmen, insan vücudundaki oksije</w:t>
      </w:r>
      <w:r w:rsidR="001A74AB">
        <w:rPr>
          <w:szCs w:val="24"/>
        </w:rPr>
        <w:t>n dağılımı oldukça heterojendir</w:t>
      </w:r>
      <w:r w:rsidRPr="00020290">
        <w:rPr>
          <w:szCs w:val="24"/>
        </w:rPr>
        <w:t xml:space="preserve"> (Van Den Brenk ve Jamieson, 1962</w:t>
      </w:r>
      <w:r w:rsidR="004B4695">
        <w:rPr>
          <w:szCs w:val="24"/>
        </w:rPr>
        <w:t xml:space="preserve">; </w:t>
      </w:r>
      <w:r w:rsidR="004B4695" w:rsidRPr="00020290">
        <w:rPr>
          <w:szCs w:val="24"/>
        </w:rPr>
        <w:t>B</w:t>
      </w:r>
      <w:r w:rsidR="004B4695">
        <w:rPr>
          <w:szCs w:val="24"/>
        </w:rPr>
        <w:t>rahimi-Horn ve Pouyssegur, 2007</w:t>
      </w:r>
      <w:r w:rsidRPr="00020290">
        <w:rPr>
          <w:szCs w:val="24"/>
        </w:rPr>
        <w:t>). Pulmoner, kardiyak ve vasküler sistemlerde art arda dirençler nedeniyle bir O</w:t>
      </w:r>
      <w:r w:rsidRPr="00020290">
        <w:rPr>
          <w:szCs w:val="24"/>
          <w:vertAlign w:val="subscript"/>
        </w:rPr>
        <w:t>2</w:t>
      </w:r>
      <w:r w:rsidRPr="00020290">
        <w:rPr>
          <w:szCs w:val="24"/>
        </w:rPr>
        <w:t xml:space="preserve"> kaskadı oluşur. Bu kaskad deniz seviyesindeki atmosferik bir O</w:t>
      </w:r>
      <w:r w:rsidRPr="00020290">
        <w:rPr>
          <w:szCs w:val="24"/>
          <w:vertAlign w:val="subscript"/>
        </w:rPr>
        <w:t>2</w:t>
      </w:r>
      <w:r w:rsidRPr="00020290">
        <w:rPr>
          <w:szCs w:val="24"/>
        </w:rPr>
        <w:t xml:space="preserve"> kon</w:t>
      </w:r>
      <w:r w:rsidR="00A1363D">
        <w:rPr>
          <w:szCs w:val="24"/>
        </w:rPr>
        <w:t>santrasyonundan (%</w:t>
      </w:r>
      <w:proofErr w:type="gramStart"/>
      <w:r w:rsidRPr="00020290">
        <w:rPr>
          <w:szCs w:val="24"/>
        </w:rPr>
        <w:t>21.1</w:t>
      </w:r>
      <w:proofErr w:type="gramEnd"/>
      <w:r w:rsidRPr="00020290">
        <w:rPr>
          <w:szCs w:val="24"/>
        </w:rPr>
        <w:t>; 160 mmHg</w:t>
      </w:r>
      <w:r w:rsidR="00A1363D">
        <w:rPr>
          <w:szCs w:val="24"/>
        </w:rPr>
        <w:t>), akciğerlerin alveollerine (%</w:t>
      </w:r>
      <w:r w:rsidRPr="00020290">
        <w:rPr>
          <w:szCs w:val="24"/>
        </w:rPr>
        <w:t>1</w:t>
      </w:r>
      <w:r w:rsidR="00A1363D">
        <w:rPr>
          <w:szCs w:val="24"/>
        </w:rPr>
        <w:t>4.5; 110 mmHg), arter kanına (%</w:t>
      </w:r>
      <w:r w:rsidRPr="00020290">
        <w:rPr>
          <w:szCs w:val="24"/>
        </w:rPr>
        <w:t>13.2; 100 mmHg) ve venöz kana doğru azalan bir gradient oluşturur (%</w:t>
      </w:r>
      <w:r w:rsidR="004B4695">
        <w:rPr>
          <w:szCs w:val="24"/>
        </w:rPr>
        <w:t>5.3; 40 mmHg) (</w:t>
      </w:r>
      <w:r w:rsidR="004B4695" w:rsidRPr="00020290">
        <w:rPr>
          <w:szCs w:val="24"/>
        </w:rPr>
        <w:t>Leach ve Treacher, 1998</w:t>
      </w:r>
      <w:r w:rsidR="004B4695">
        <w:rPr>
          <w:szCs w:val="24"/>
        </w:rPr>
        <w:t>; Le ve ark, 2006</w:t>
      </w:r>
      <w:r w:rsidRPr="00020290">
        <w:rPr>
          <w:szCs w:val="24"/>
        </w:rPr>
        <w:t xml:space="preserve">). Oksijen seviyesi dokuların interstisyel boşluklarında (% </w:t>
      </w:r>
      <w:proofErr w:type="gramStart"/>
      <w:r w:rsidRPr="00020290">
        <w:rPr>
          <w:szCs w:val="24"/>
        </w:rPr>
        <w:t>1.5</w:t>
      </w:r>
      <w:proofErr w:type="gramEnd"/>
      <w:r w:rsidRPr="00020290">
        <w:rPr>
          <w:szCs w:val="24"/>
        </w:rPr>
        <w:t>-5</w:t>
      </w:r>
      <w:r w:rsidR="00A1363D">
        <w:rPr>
          <w:szCs w:val="24"/>
        </w:rPr>
        <w:t>; 12-38mmHg) ve mitokondride (%</w:t>
      </w:r>
      <w:r w:rsidRPr="00020290">
        <w:rPr>
          <w:szCs w:val="24"/>
        </w:rPr>
        <w:t>1; 7.5mmHg) daha da düşer (Gnaiger ve ark, 199</w:t>
      </w:r>
      <w:r w:rsidR="004B4695">
        <w:rPr>
          <w:szCs w:val="24"/>
        </w:rPr>
        <w:t>5</w:t>
      </w:r>
      <w:r w:rsidRPr="00020290">
        <w:rPr>
          <w:szCs w:val="24"/>
        </w:rPr>
        <w:t>; Gnaiger ve ark, 199</w:t>
      </w:r>
      <w:r w:rsidR="004B4695">
        <w:rPr>
          <w:szCs w:val="24"/>
        </w:rPr>
        <w:t>8</w:t>
      </w:r>
      <w:r w:rsidRPr="00020290">
        <w:rPr>
          <w:szCs w:val="24"/>
        </w:rPr>
        <w:t xml:space="preserve">). Bu kaskadın çok düşük seviyelerde </w:t>
      </w:r>
      <w:proofErr w:type="gramStart"/>
      <w:r w:rsidRPr="00020290">
        <w:rPr>
          <w:szCs w:val="24"/>
        </w:rPr>
        <w:t>lokal</w:t>
      </w:r>
      <w:proofErr w:type="gramEnd"/>
      <w:r w:rsidRPr="00020290">
        <w:rPr>
          <w:szCs w:val="24"/>
        </w:rPr>
        <w:t xml:space="preserve"> O</w:t>
      </w:r>
      <w:r w:rsidRPr="00020290">
        <w:rPr>
          <w:szCs w:val="24"/>
          <w:vertAlign w:val="subscript"/>
        </w:rPr>
        <w:t>2</w:t>
      </w:r>
      <w:r w:rsidRPr="00020290">
        <w:rPr>
          <w:szCs w:val="24"/>
        </w:rPr>
        <w:t xml:space="preserve"> konsantrasyonunu koruyarak, “enerji üretici fabrikası” olan mitokondriyi oksidatif strese karşı koruduğuna inanılmaktadır (Halliwell, 1999; Hsia ve ark, 2013).</w:t>
      </w:r>
    </w:p>
    <w:p w:rsidR="00276E2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Pr="00020290" w:rsidRDefault="00276E20" w:rsidP="00901B81">
      <w:pPr>
        <w:pStyle w:val="Balk2"/>
      </w:pPr>
      <w:r w:rsidRPr="00020290">
        <w:t>2.</w:t>
      </w:r>
      <w:r w:rsidR="006F4696">
        <w:t>7</w:t>
      </w:r>
      <w:r w:rsidRPr="00020290">
        <w:t>.2</w:t>
      </w:r>
      <w:r w:rsidR="006A4185">
        <w:t>.</w:t>
      </w:r>
      <w:r w:rsidRPr="00020290">
        <w:t xml:space="preserve"> Hipoksinin Tanımı</w:t>
      </w:r>
      <w:r>
        <w:t xml:space="preserve">  </w:t>
      </w:r>
    </w:p>
    <w:p w:rsidR="00276E20" w:rsidRPr="00020290" w:rsidRDefault="00276E20" w:rsidP="00276E20">
      <w:pPr>
        <w:autoSpaceDE w:val="0"/>
        <w:autoSpaceDN w:val="0"/>
        <w:adjustRightInd w:val="0"/>
        <w:rPr>
          <w:b/>
          <w:szCs w:val="24"/>
        </w:rPr>
      </w:pPr>
    </w:p>
    <w:p w:rsidR="00276E20" w:rsidRPr="00020290" w:rsidRDefault="00276E20" w:rsidP="00276E20">
      <w:pPr>
        <w:autoSpaceDE w:val="0"/>
        <w:autoSpaceDN w:val="0"/>
        <w:adjustRightInd w:val="0"/>
        <w:rPr>
          <w:szCs w:val="24"/>
        </w:rPr>
      </w:pPr>
      <w:r w:rsidRPr="00020290">
        <w:rPr>
          <w:szCs w:val="24"/>
        </w:rPr>
        <w:t>Hipoksi, oksijen seviyelerinin normalin (normoksi) altına (örneğin %5’in altına) düşmesi olarak tanımlanır.</w:t>
      </w:r>
      <w:r w:rsidR="00A1363D">
        <w:rPr>
          <w:szCs w:val="24"/>
        </w:rPr>
        <w:t xml:space="preserve"> Şiddetli hipoksi genellikle &lt;%</w:t>
      </w:r>
      <w:r w:rsidRPr="00020290">
        <w:rPr>
          <w:szCs w:val="24"/>
        </w:rPr>
        <w:t>1 O</w:t>
      </w:r>
      <w:r w:rsidRPr="00020290">
        <w:rPr>
          <w:szCs w:val="24"/>
          <w:vertAlign w:val="subscript"/>
        </w:rPr>
        <w:t>2</w:t>
      </w:r>
      <w:r w:rsidRPr="00020290">
        <w:rPr>
          <w:szCs w:val="24"/>
        </w:rPr>
        <w:t xml:space="preserve"> </w:t>
      </w:r>
      <w:r w:rsidR="00A1363D">
        <w:rPr>
          <w:szCs w:val="24"/>
        </w:rPr>
        <w:t>(</w:t>
      </w:r>
      <w:proofErr w:type="gramStart"/>
      <w:r w:rsidR="00A1363D">
        <w:rPr>
          <w:szCs w:val="24"/>
        </w:rPr>
        <w:t>7.5</w:t>
      </w:r>
      <w:proofErr w:type="gramEnd"/>
      <w:r w:rsidR="00A1363D">
        <w:rPr>
          <w:szCs w:val="24"/>
        </w:rPr>
        <w:t xml:space="preserve"> mmHg) veya &lt;%</w:t>
      </w:r>
      <w:r w:rsidRPr="00020290">
        <w:rPr>
          <w:szCs w:val="24"/>
        </w:rPr>
        <w:t>0.1 O</w:t>
      </w:r>
      <w:r w:rsidRPr="00020290">
        <w:rPr>
          <w:szCs w:val="24"/>
          <w:vertAlign w:val="subscript"/>
        </w:rPr>
        <w:t>2</w:t>
      </w:r>
      <w:r w:rsidRPr="00020290">
        <w:rPr>
          <w:szCs w:val="24"/>
        </w:rPr>
        <w:t xml:space="preserve"> </w:t>
      </w:r>
      <w:r w:rsidRPr="00020290">
        <w:rPr>
          <w:szCs w:val="24"/>
        </w:rPr>
        <w:lastRenderedPageBreak/>
        <w:t>(0.75 mmHg) koşullarında oluşur. Bununla birlikte, normal fizyolojik koşullar altında, birçok doku düşük ve değişken O</w:t>
      </w:r>
      <w:r w:rsidRPr="00020290">
        <w:rPr>
          <w:szCs w:val="24"/>
          <w:vertAlign w:val="subscript"/>
        </w:rPr>
        <w:t>2</w:t>
      </w:r>
      <w:r w:rsidR="00A1363D">
        <w:rPr>
          <w:szCs w:val="24"/>
        </w:rPr>
        <w:t xml:space="preserve"> seviyeleri sergiler (%</w:t>
      </w:r>
      <w:r w:rsidRPr="00020290">
        <w:rPr>
          <w:szCs w:val="24"/>
        </w:rPr>
        <w:t xml:space="preserve">3-7; </w:t>
      </w:r>
      <w:proofErr w:type="gramStart"/>
      <w:r w:rsidRPr="00020290">
        <w:rPr>
          <w:szCs w:val="24"/>
        </w:rPr>
        <w:t>22.6</w:t>
      </w:r>
      <w:proofErr w:type="gramEnd"/>
      <w:r w:rsidRPr="00020290">
        <w:rPr>
          <w:szCs w:val="24"/>
        </w:rPr>
        <w:t xml:space="preserve">-39.6 mmHg), bu da hipoksik eşik değerinin dokular arasında farklılık gösterebileceğini kanıtlar (Jiang ve ark, 1996). Hipoksi; anemi, böbrek, koroner arter, pulmoner ve hematolojik hastalıklar, yara iyileşmesi, inflamasyon ve kanser patofizyolojisinde önemli rol oynar (Adamaki ve ark, 2012). Bununla birlikte hipoksi, memelilerin embriyogenezi esnasında anjiyogenezin düzenlenmesinde, kök hücre farklılaşmasının ve hücre kaderinin kontrolünü sağlamada önemli bir etkiye sahiptir. Kanser progresyonu ve kanser hücresi sağ kalımı üzerine önemli etkilerin çoğu; örneğin anjiyogenez, metastatik potansiyelde artış, hücre döngüsü progresyonunun devamı ve apoptozise karşı direnç, hipoksi ile sürdürülür (Bertout ve ark, 2008). </w:t>
      </w:r>
    </w:p>
    <w:p w:rsidR="00276E20" w:rsidRPr="00020290" w:rsidRDefault="00276E20" w:rsidP="00276E20">
      <w:pPr>
        <w:autoSpaceDE w:val="0"/>
        <w:autoSpaceDN w:val="0"/>
        <w:adjustRightInd w:val="0"/>
        <w:rPr>
          <w:szCs w:val="24"/>
        </w:rPr>
      </w:pPr>
    </w:p>
    <w:p w:rsidR="00276E20" w:rsidRDefault="00276E20" w:rsidP="00901B81">
      <w:pPr>
        <w:pStyle w:val="Balk2"/>
      </w:pPr>
      <w:r w:rsidRPr="00020290">
        <w:t>2.</w:t>
      </w:r>
      <w:r w:rsidR="006F4696">
        <w:t>7</w:t>
      </w:r>
      <w:r w:rsidRPr="00020290">
        <w:t>.3</w:t>
      </w:r>
      <w:r w:rsidR="006A4185">
        <w:t>.</w:t>
      </w:r>
      <w:r w:rsidRPr="00020290">
        <w:t xml:space="preserve"> Kanser Gelişiminde Hipoksinin Rolü</w:t>
      </w:r>
    </w:p>
    <w:p w:rsidR="00276E20" w:rsidRPr="00020290" w:rsidRDefault="00276E20" w:rsidP="00276E20">
      <w:pPr>
        <w:rPr>
          <w:b/>
          <w:szCs w:val="24"/>
        </w:rPr>
      </w:pPr>
    </w:p>
    <w:p w:rsidR="00276E20" w:rsidRPr="00020290" w:rsidRDefault="00276E20" w:rsidP="00276E20">
      <w:pPr>
        <w:autoSpaceDE w:val="0"/>
        <w:autoSpaceDN w:val="0"/>
        <w:adjustRightInd w:val="0"/>
        <w:rPr>
          <w:szCs w:val="24"/>
        </w:rPr>
      </w:pPr>
      <w:r w:rsidRPr="00020290">
        <w:rPr>
          <w:szCs w:val="24"/>
        </w:rPr>
        <w:t xml:space="preserve">Hipoksi, hem malign </w:t>
      </w:r>
      <w:proofErr w:type="gramStart"/>
      <w:r w:rsidRPr="00020290">
        <w:rPr>
          <w:szCs w:val="24"/>
        </w:rPr>
        <w:t>transformasyon</w:t>
      </w:r>
      <w:proofErr w:type="gramEnd"/>
      <w:r w:rsidRPr="00020290">
        <w:rPr>
          <w:szCs w:val="24"/>
        </w:rPr>
        <w:t xml:space="preserve"> sürecinin tetiklenmesinde hem de tümör mikroçevresi içinde adaptif hücre yanıtlarının sağlanmasında çok önemli bir rol oynamaktadır (Adamaki ve ark, 2012). Kanser hücrelerinin hızlı çoğalması nedeniyle tümör, normal damar sistemindeki besin ve oksijen ihtiyacını hızla tüketir ve hipoksik hale gelir (Eales ve ark, 2016). Bu durum, tümörün vaskülarizasyonunu tetikleyen hipoksik tümör bölgelerinde anjiyogenik faktörlerin upregülasyonunu sağlar. Çoğu solid tümörler oldukça düşük oksijen </w:t>
      </w:r>
      <w:proofErr w:type="gramStart"/>
      <w:r w:rsidRPr="00020290">
        <w:rPr>
          <w:szCs w:val="24"/>
        </w:rPr>
        <w:t>konsantrasyonlu</w:t>
      </w:r>
      <w:proofErr w:type="gramEnd"/>
      <w:r w:rsidRPr="00020290">
        <w:rPr>
          <w:szCs w:val="24"/>
        </w:rPr>
        <w:t xml:space="preserve"> bölgeler içerir, bu da kanserin ilerlemesi için ön şarttır. Tümör mikroçevresindeki hipoksi, kan damarlarından uzak hücrelerin, genellikle onlardan 100-200 µm uzakta hızlı hücre proliferasyonu sonucunda meydana gelir (Adamaki ve ark, 2012). Tümör kan damarları düzensiz kan akışı ve oksijen dağıtımı ile sonuçlanan ciddi yapısal ve fonksiyonel anormalliklere s</w:t>
      </w:r>
      <w:r w:rsidR="004B4695">
        <w:rPr>
          <w:szCs w:val="24"/>
        </w:rPr>
        <w:t>ahiptir (</w:t>
      </w:r>
      <w:r w:rsidR="004B4695" w:rsidRPr="00020290">
        <w:rPr>
          <w:szCs w:val="24"/>
        </w:rPr>
        <w:t>Vaupel ve ark, 1989</w:t>
      </w:r>
      <w:r w:rsidR="004B4695">
        <w:rPr>
          <w:szCs w:val="24"/>
        </w:rPr>
        <w:t>; Brown ve Giaccia, 1998</w:t>
      </w:r>
      <w:r w:rsidRPr="00020290">
        <w:rPr>
          <w:szCs w:val="24"/>
        </w:rPr>
        <w:t xml:space="preserve">). Çoğalan kanser hücrelerinde yeni oluşan bu damarlar artan beslenme gereksinimlerini karşılayamaz veya tümör büyümesi ile baskılanabilir ve tıkanabilir (Harris, 2002). Bu durum, tümör hücrelerini hipoksik koşullar altında sağ kalmaya ve proliferasyona teşvik edecek yanıtlar geliştirmeye zorlar (Adamaki ve ark, 2012). </w:t>
      </w:r>
    </w:p>
    <w:p w:rsidR="00276E20" w:rsidRPr="00020290" w:rsidRDefault="00276E20" w:rsidP="00276E20">
      <w:pPr>
        <w:autoSpaceDE w:val="0"/>
        <w:autoSpaceDN w:val="0"/>
        <w:adjustRightInd w:val="0"/>
        <w:rPr>
          <w:szCs w:val="24"/>
        </w:rPr>
      </w:pPr>
      <w:r w:rsidRPr="00020290">
        <w:rPr>
          <w:szCs w:val="24"/>
        </w:rPr>
        <w:t>Hipoksi, mTOR ve PERK sinyalizasyonları gibi bazı önemli hücre sağ kalım yollarını aktive eder (Bertout ve ark, 2008). Bununla birlikte, hipoksi ile aktive edilen işlemlerin çoğu, hipoksi ile indüklenebilir faktörlerin (HIF’ler) bir ailesi ile ve özellikle hipoksik yanıtların en iyi tanımlanan mekanizmalarına aracılık eden HIF-1 izoformu ile düzenlenir (Wigerup ve ark, 2016</w:t>
      </w:r>
      <w:r w:rsidR="004B4695">
        <w:rPr>
          <w:szCs w:val="24"/>
        </w:rPr>
        <w:t>)</w:t>
      </w:r>
      <w:r w:rsidRPr="00020290">
        <w:rPr>
          <w:szCs w:val="24"/>
        </w:rPr>
        <w:t xml:space="preserve"> (Şekil </w:t>
      </w:r>
      <w:r>
        <w:rPr>
          <w:szCs w:val="24"/>
        </w:rPr>
        <w:t>7</w:t>
      </w:r>
      <w:r w:rsidRPr="00020290">
        <w:rPr>
          <w:szCs w:val="24"/>
        </w:rPr>
        <w:t xml:space="preserve">). Tümör hipoksisi ve HIF'ler; kanser proliferasyonu, apoptoz, metabolizma, immün yanıtlar, genomik instabilite, vaskülarizasyon, istila ve metastazın içinde olduğu </w:t>
      </w:r>
      <w:r w:rsidRPr="00020290">
        <w:rPr>
          <w:szCs w:val="24"/>
        </w:rPr>
        <w:lastRenderedPageBreak/>
        <w:t xml:space="preserve">kanser “belirteçleri” nin birçoğunu etkiler. HIF’lerin ayrıca çoklu mekanizmalar yoluyla kemo- ve </w:t>
      </w:r>
      <w:proofErr w:type="gramStart"/>
      <w:r w:rsidRPr="00020290">
        <w:rPr>
          <w:szCs w:val="24"/>
        </w:rPr>
        <w:t>radyoterapi</w:t>
      </w:r>
      <w:proofErr w:type="gramEnd"/>
      <w:r w:rsidRPr="00020290">
        <w:rPr>
          <w:szCs w:val="24"/>
        </w:rPr>
        <w:t xml:space="preserve"> direncine katkıda bulunduğu belirlenmiştir. Klinik tümör örneklerinde HIF ekspresyonu, kötü prognozlarla ve tedavide nüksetme ile ilişkilidir. HIF'ler, mevcut metastatik ve tedaviye dirençli kanserlerin üstesinden gelebilmek için kullanılabilecek önemli moleküler hedefler gibi görünm</w:t>
      </w:r>
      <w:r w:rsidR="00A1363D">
        <w:rPr>
          <w:szCs w:val="24"/>
        </w:rPr>
        <w:t xml:space="preserve">ektedir (Wigerup ve ark, 2016) </w:t>
      </w:r>
      <w:r w:rsidRPr="00020290">
        <w:rPr>
          <w:szCs w:val="24"/>
        </w:rPr>
        <w:t xml:space="preserve">(Şekil </w:t>
      </w:r>
      <w:r>
        <w:rPr>
          <w:szCs w:val="24"/>
        </w:rPr>
        <w:t>7</w:t>
      </w:r>
      <w:r w:rsidRPr="00020290">
        <w:rPr>
          <w:szCs w:val="24"/>
        </w:rPr>
        <w:t xml:space="preserve">). </w:t>
      </w:r>
    </w:p>
    <w:p w:rsidR="00276E20" w:rsidRPr="00020290" w:rsidRDefault="00276E20" w:rsidP="00276E20">
      <w:pPr>
        <w:autoSpaceDE w:val="0"/>
        <w:autoSpaceDN w:val="0"/>
        <w:adjustRightInd w:val="0"/>
        <w:rPr>
          <w:szCs w:val="24"/>
        </w:rPr>
      </w:pPr>
    </w:p>
    <w:p w:rsidR="00276E20" w:rsidRDefault="00276E20" w:rsidP="00276E20">
      <w:pPr>
        <w:autoSpaceDE w:val="0"/>
        <w:autoSpaceDN w:val="0"/>
        <w:adjustRightInd w:val="0"/>
        <w:jc w:val="center"/>
        <w:rPr>
          <w:b/>
          <w:szCs w:val="24"/>
        </w:rPr>
      </w:pPr>
      <w:r>
        <w:rPr>
          <w:noProof/>
          <w:lang w:eastAsia="tr-TR"/>
        </w:rPr>
        <w:drawing>
          <wp:inline distT="0" distB="0" distL="0" distR="0">
            <wp:extent cx="4813300" cy="4831080"/>
            <wp:effectExtent l="0" t="0" r="6350" b="7620"/>
            <wp:docPr id="3" name="Resim 1"/>
            <wp:cNvGraphicFramePr/>
            <a:graphic xmlns:a="http://schemas.openxmlformats.org/drawingml/2006/main">
              <a:graphicData uri="http://schemas.openxmlformats.org/drawingml/2006/picture">
                <pic:pic xmlns:pic="http://schemas.openxmlformats.org/drawingml/2006/picture">
                  <pic:nvPicPr>
                    <pic:cNvPr id="4" name="Resim 1"/>
                    <pic:cNvPicPr/>
                  </pic:nvPicPr>
                  <pic:blipFill>
                    <a:blip r:embed="rId31" cstate="print"/>
                    <a:srcRect/>
                    <a:stretch>
                      <a:fillRect/>
                    </a:stretch>
                  </pic:blipFill>
                  <pic:spPr bwMode="auto">
                    <a:xfrm>
                      <a:off x="0" y="0"/>
                      <a:ext cx="4813300" cy="4831080"/>
                    </a:xfrm>
                    <a:prstGeom prst="rect">
                      <a:avLst/>
                    </a:prstGeom>
                    <a:noFill/>
                    <a:ln w="9525">
                      <a:noFill/>
                      <a:miter lim="800000"/>
                      <a:headEnd/>
                      <a:tailEnd/>
                    </a:ln>
                  </pic:spPr>
                </pic:pic>
              </a:graphicData>
            </a:graphic>
          </wp:inline>
        </w:drawing>
      </w:r>
    </w:p>
    <w:p w:rsidR="00210384" w:rsidRPr="00020290" w:rsidRDefault="00210384" w:rsidP="00276E20">
      <w:pPr>
        <w:autoSpaceDE w:val="0"/>
        <w:autoSpaceDN w:val="0"/>
        <w:adjustRightInd w:val="0"/>
        <w:jc w:val="center"/>
        <w:rPr>
          <w:b/>
          <w:szCs w:val="24"/>
        </w:rPr>
      </w:pPr>
    </w:p>
    <w:p w:rsidR="00276E20" w:rsidRPr="00020290" w:rsidRDefault="00842900" w:rsidP="00276E20">
      <w:pPr>
        <w:autoSpaceDE w:val="0"/>
        <w:autoSpaceDN w:val="0"/>
        <w:adjustRightInd w:val="0"/>
        <w:rPr>
          <w:szCs w:val="24"/>
        </w:rPr>
      </w:pPr>
      <w:r>
        <w:rPr>
          <w:b/>
          <w:szCs w:val="24"/>
        </w:rPr>
        <w:t xml:space="preserve">Şekil </w:t>
      </w:r>
      <w:r w:rsidR="00276E20" w:rsidRPr="00210384">
        <w:rPr>
          <w:b/>
          <w:szCs w:val="24"/>
        </w:rPr>
        <w:t>7.</w:t>
      </w:r>
      <w:r w:rsidR="00276E20" w:rsidRPr="00020290">
        <w:rPr>
          <w:b/>
          <w:szCs w:val="24"/>
        </w:rPr>
        <w:t xml:space="preserve"> </w:t>
      </w:r>
      <w:r w:rsidR="00276E20" w:rsidRPr="00020290">
        <w:rPr>
          <w:szCs w:val="24"/>
        </w:rPr>
        <w:t>Hipoksi ve HIF’ler tarafından re</w:t>
      </w:r>
      <w:r w:rsidR="00276E20">
        <w:rPr>
          <w:szCs w:val="24"/>
        </w:rPr>
        <w:t>güle edilen kanser belirteçleri</w:t>
      </w:r>
      <w:r w:rsidR="00276E20" w:rsidRPr="00020290">
        <w:rPr>
          <w:szCs w:val="24"/>
        </w:rPr>
        <w:t xml:space="preserve"> (W</w:t>
      </w:r>
      <w:r w:rsidR="00276E20">
        <w:rPr>
          <w:szCs w:val="24"/>
        </w:rPr>
        <w:t>igerup ve ark, 2016’dan değiştir</w:t>
      </w:r>
      <w:r w:rsidR="00276E20" w:rsidRPr="00020290">
        <w:rPr>
          <w:szCs w:val="24"/>
        </w:rPr>
        <w:t>ilerek alınmıştır)</w:t>
      </w:r>
      <w:r w:rsidR="00276E20">
        <w:rPr>
          <w:szCs w:val="24"/>
        </w:rPr>
        <w:t>.</w:t>
      </w:r>
    </w:p>
    <w:p w:rsidR="00276E20" w:rsidRDefault="00276E20" w:rsidP="00276E20">
      <w:pPr>
        <w:autoSpaceDE w:val="0"/>
        <w:autoSpaceDN w:val="0"/>
        <w:adjustRightInd w:val="0"/>
        <w:jc w:val="center"/>
        <w:rPr>
          <w:b/>
          <w:szCs w:val="24"/>
        </w:rPr>
      </w:pPr>
    </w:p>
    <w:p w:rsidR="00276E20" w:rsidRPr="00020290" w:rsidRDefault="00276E20" w:rsidP="00276E20">
      <w:pPr>
        <w:autoSpaceDE w:val="0"/>
        <w:autoSpaceDN w:val="0"/>
        <w:adjustRightInd w:val="0"/>
        <w:jc w:val="center"/>
        <w:rPr>
          <w:b/>
          <w:szCs w:val="24"/>
        </w:rPr>
      </w:pPr>
    </w:p>
    <w:p w:rsidR="00276E20" w:rsidRPr="00020290" w:rsidRDefault="00276E20" w:rsidP="00901B81">
      <w:pPr>
        <w:pStyle w:val="Balk2"/>
      </w:pPr>
      <w:r w:rsidRPr="00020290">
        <w:t>2.</w:t>
      </w:r>
      <w:r w:rsidR="006F4696">
        <w:t>8</w:t>
      </w:r>
      <w:r w:rsidR="006A4185">
        <w:t>.</w:t>
      </w:r>
      <w:r w:rsidRPr="00020290">
        <w:t xml:space="preserve"> HIF-1 Ailesi</w:t>
      </w:r>
    </w:p>
    <w:p w:rsidR="00276E20" w:rsidRPr="00020290" w:rsidRDefault="00276E20" w:rsidP="00276E20">
      <w:pPr>
        <w:autoSpaceDE w:val="0"/>
        <w:autoSpaceDN w:val="0"/>
        <w:adjustRightInd w:val="0"/>
        <w:rPr>
          <w:b/>
          <w:szCs w:val="24"/>
        </w:rPr>
      </w:pPr>
    </w:p>
    <w:p w:rsidR="00276E20" w:rsidRPr="00020290" w:rsidRDefault="00276E20" w:rsidP="00276E20">
      <w:pPr>
        <w:autoSpaceDE w:val="0"/>
        <w:autoSpaceDN w:val="0"/>
        <w:adjustRightInd w:val="0"/>
        <w:rPr>
          <w:szCs w:val="24"/>
        </w:rPr>
      </w:pPr>
      <w:r w:rsidRPr="00020290">
        <w:rPr>
          <w:szCs w:val="24"/>
        </w:rPr>
        <w:t xml:space="preserve">  HIF-1, ilk olarak 1991 yılında Semenza ve arkadaşları tarafından, kırmızı kan hücrelerinin üretimi için eritropoietin hormonunun kodlanmasından sorumlu bir gen olan EPO </w:t>
      </w:r>
      <w:r w:rsidRPr="00020290">
        <w:rPr>
          <w:szCs w:val="24"/>
        </w:rPr>
        <w:lastRenderedPageBreak/>
        <w:t>geni üzerinde yapılan bir çalışma sırasında keşfedilm</w:t>
      </w:r>
      <w:r>
        <w:rPr>
          <w:szCs w:val="24"/>
        </w:rPr>
        <w:t>iştir (Semenza ve ark, 1991).</w:t>
      </w:r>
      <w:r w:rsidRPr="00020290">
        <w:rPr>
          <w:szCs w:val="24"/>
        </w:rPr>
        <w:t xml:space="preserve"> EPO geninin belli bir bölgesinde cis-etkili DNA sekansları (5′-RCGTG-3′) tanımlanmıştır. Bu DNA sekanslarının, EPO geninin hipoksiye cevap olarak transkripsiyonel aktivasyonu için gerekli olduğu tespit edilmiş ve bu nedenle hipoksi cevap elemanları (HRE) olarak adlandırılmıştır (Beck ve ark, 1991; Pugh ve ark, 1991; Semenza ve ark, 1991</w:t>
      </w:r>
      <w:r w:rsidR="001E6939">
        <w:rPr>
          <w:szCs w:val="24"/>
        </w:rPr>
        <w:t xml:space="preserve">; </w:t>
      </w:r>
      <w:r w:rsidR="001E6939" w:rsidRPr="00553DD3">
        <w:rPr>
          <w:szCs w:val="24"/>
        </w:rPr>
        <w:t>Rajendran</w:t>
      </w:r>
      <w:r w:rsidR="001E6939">
        <w:rPr>
          <w:szCs w:val="24"/>
        </w:rPr>
        <w:t>, 2011</w:t>
      </w:r>
      <w:r w:rsidRPr="00020290">
        <w:rPr>
          <w:szCs w:val="24"/>
        </w:rPr>
        <w:t xml:space="preserve">). İlerleyen çalışmalarla, birçok düzenleyici genin transkripsiyonel aktivasyonunun, hipoksi koşulları altında indüklenen </w:t>
      </w:r>
      <w:proofErr w:type="gramStart"/>
      <w:r w:rsidRPr="00020290">
        <w:rPr>
          <w:szCs w:val="24"/>
        </w:rPr>
        <w:t>spesifik</w:t>
      </w:r>
      <w:proofErr w:type="gramEnd"/>
      <w:r w:rsidRPr="00020290">
        <w:rPr>
          <w:szCs w:val="24"/>
        </w:rPr>
        <w:t xml:space="preserve"> bir proteinin HRE'ye bağlanması yoluyla başlatıldığı keşfedilmiştir. Bu </w:t>
      </w:r>
      <w:proofErr w:type="gramStart"/>
      <w:r w:rsidRPr="00020290">
        <w:rPr>
          <w:szCs w:val="24"/>
        </w:rPr>
        <w:t>spesifik</w:t>
      </w:r>
      <w:proofErr w:type="gramEnd"/>
      <w:r w:rsidRPr="00020290">
        <w:rPr>
          <w:szCs w:val="24"/>
        </w:rPr>
        <w:t xml:space="preserve"> protein HIF-1 olarak tanımlanmıştır (Masoud ve Li, 2015). </w:t>
      </w:r>
    </w:p>
    <w:p w:rsidR="00276E20" w:rsidRPr="009B2F2A" w:rsidRDefault="00276E20" w:rsidP="00276E20">
      <w:pPr>
        <w:autoSpaceDE w:val="0"/>
        <w:autoSpaceDN w:val="0"/>
        <w:adjustRightInd w:val="0"/>
        <w:rPr>
          <w:szCs w:val="24"/>
        </w:rPr>
      </w:pPr>
      <w:r w:rsidRPr="00020290">
        <w:rPr>
          <w:szCs w:val="24"/>
        </w:rPr>
        <w:t xml:space="preserve">   HIF’ler O</w:t>
      </w:r>
      <w:r w:rsidRPr="00020290">
        <w:rPr>
          <w:szCs w:val="24"/>
          <w:vertAlign w:val="subscript"/>
        </w:rPr>
        <w:t>2</w:t>
      </w:r>
      <w:r w:rsidRPr="00020290">
        <w:rPr>
          <w:szCs w:val="24"/>
        </w:rPr>
        <w:t xml:space="preserve"> homeostazının ana düzenleyicisidirler; metabolizma, apoptozis ve anjiyogenez gibi çeşitli </w:t>
      </w:r>
      <w:proofErr w:type="gramStart"/>
      <w:r w:rsidRPr="00020290">
        <w:rPr>
          <w:szCs w:val="24"/>
        </w:rPr>
        <w:t>proseslerde</w:t>
      </w:r>
      <w:proofErr w:type="gramEnd"/>
      <w:r w:rsidRPr="00020290">
        <w:rPr>
          <w:szCs w:val="24"/>
        </w:rPr>
        <w:t xml:space="preserve"> yer alan çok sayıda geni düzenleyerek hem O</w:t>
      </w:r>
      <w:r w:rsidRPr="00020290">
        <w:rPr>
          <w:szCs w:val="24"/>
          <w:vertAlign w:val="subscript"/>
        </w:rPr>
        <w:t>2</w:t>
      </w:r>
      <w:r w:rsidRPr="00020290">
        <w:rPr>
          <w:szCs w:val="24"/>
        </w:rPr>
        <w:t xml:space="preserve"> dağıtımını hem de O</w:t>
      </w:r>
      <w:r w:rsidRPr="00020290">
        <w:rPr>
          <w:szCs w:val="24"/>
          <w:vertAlign w:val="subscript"/>
        </w:rPr>
        <w:t>2</w:t>
      </w:r>
      <w:r w:rsidRPr="00020290">
        <w:rPr>
          <w:szCs w:val="24"/>
        </w:rPr>
        <w:t xml:space="preserve"> yoksunluğuna uyum sağlayabilmeyi kolaylaştırırlar (Semenza, 2012). HIF-1, HIF-1α (veya analogları HIF-2α ve HIF-3α) ve HIF-1β adlı iki alt birimden oluşan heterodimerik bir transkripsiyon faktörüdür (Xie ve Simon, 2017). HIF-1α, oksijene duyarlı bir alt birimdir ve ekspresyonu hipoksik koşullar altında indüklenir. Aksine, HIF-1β yapısal olarak eksprese edilir (Masoud ve Li, 2015). HIF-2α, HIF-1α ile belirgin bir derece </w:t>
      </w:r>
      <w:proofErr w:type="gramStart"/>
      <w:r w:rsidRPr="00020290">
        <w:rPr>
          <w:szCs w:val="24"/>
        </w:rPr>
        <w:t>amino</w:t>
      </w:r>
      <w:proofErr w:type="gramEnd"/>
      <w:r w:rsidRPr="00020290">
        <w:rPr>
          <w:szCs w:val="24"/>
        </w:rPr>
        <w:t xml:space="preserve"> asit dizisi benzerliği gösterir (% 48 dizi benzerliği). Bu kimlik benzerliği, HIF-1β ile hetero-dimerizasyonu ve HRE'lerle bağlanma yeteneklerini açıklayabilir (Masoud ve Li, 2015).   Bunun yanında birçok dokuda her yerde eksprese edilen HIF-1α’nın aksine HIF-2α’nın dağılımı çeşitli vasküler yapılar ve beyin, kalp, akciğer, böbrek ve karaciğer dokuları ile sınırlıdır (Wiesener ve ark, 2003).</w:t>
      </w:r>
    </w:p>
    <w:p w:rsidR="00276E20" w:rsidRDefault="00276E20" w:rsidP="00276E20">
      <w:pPr>
        <w:autoSpaceDE w:val="0"/>
        <w:autoSpaceDN w:val="0"/>
        <w:adjustRightInd w:val="0"/>
        <w:rPr>
          <w:szCs w:val="24"/>
        </w:rPr>
      </w:pPr>
      <w:r w:rsidRPr="00020290">
        <w:rPr>
          <w:szCs w:val="24"/>
        </w:rPr>
        <w:t>HIF-1α proteininin aktivitesi ve birikiminin, hücrelerdeki yaşam döngüsü boyunca farklı şekillerde regüle olduğu tespit edilmiştir. O</w:t>
      </w:r>
      <w:r w:rsidRPr="00020290">
        <w:rPr>
          <w:szCs w:val="24"/>
          <w:vertAlign w:val="subscript"/>
        </w:rPr>
        <w:t>2</w:t>
      </w:r>
      <w:r w:rsidRPr="00020290">
        <w:rPr>
          <w:szCs w:val="24"/>
        </w:rPr>
        <w:t xml:space="preserve"> seviyelerinden bağımsız olarak HIF-l α, çeşitli büyüme faktörleri ve sinyal moleküllerinin içinde bulunduğı bir dizi sinyalizasyon olayı vasıtasıyla yapısal olarak kopyalanır ve sen</w:t>
      </w:r>
      <w:r w:rsidR="00A1363D">
        <w:rPr>
          <w:szCs w:val="24"/>
        </w:rPr>
        <w:t xml:space="preserve">tezlenir (Kallio ve ark, 1997) </w:t>
      </w:r>
      <w:r w:rsidRPr="00020290">
        <w:rPr>
          <w:szCs w:val="24"/>
        </w:rPr>
        <w:t>(Şekil</w:t>
      </w:r>
      <w:r w:rsidR="00842900">
        <w:rPr>
          <w:szCs w:val="24"/>
        </w:rPr>
        <w:t xml:space="preserve"> </w:t>
      </w:r>
      <w:r>
        <w:rPr>
          <w:szCs w:val="24"/>
        </w:rPr>
        <w:t>8</w:t>
      </w:r>
      <w:r w:rsidRPr="00020290">
        <w:rPr>
          <w:szCs w:val="24"/>
        </w:rPr>
        <w:t xml:space="preserve">).   </w:t>
      </w:r>
    </w:p>
    <w:p w:rsidR="00276E20" w:rsidRDefault="00276E20" w:rsidP="00276E20">
      <w:pPr>
        <w:autoSpaceDE w:val="0"/>
        <w:autoSpaceDN w:val="0"/>
        <w:adjustRightInd w:val="0"/>
        <w:rPr>
          <w:szCs w:val="24"/>
        </w:rPr>
      </w:pPr>
      <w:r w:rsidRPr="00020290">
        <w:rPr>
          <w:szCs w:val="24"/>
        </w:rPr>
        <w:t xml:space="preserve">HIF-1α normoksik koşullar altında hızlı bir degredasyona uğrar ve çok kısa bir yarı ömre sahiptir (yaklaşık 5 dakika). Hem HIF-1α hem de HIF-1β subunitleri normoksik ve hipoksik koşullarda yapısal olarak eksprese edilse de, hipoksik koşullarda sadece HIF-1α protein </w:t>
      </w:r>
      <w:proofErr w:type="gramStart"/>
      <w:r w:rsidRPr="00020290">
        <w:rPr>
          <w:szCs w:val="24"/>
        </w:rPr>
        <w:t>stabilizasyonu</w:t>
      </w:r>
      <w:proofErr w:type="gramEnd"/>
      <w:r w:rsidRPr="00020290">
        <w:rPr>
          <w:szCs w:val="24"/>
        </w:rPr>
        <w:t xml:space="preserve"> ve artan DNA bağlama aktivitesi mevcuttur. Bu durum HIF-1α alt biriminin düşük oksijen </w:t>
      </w:r>
      <w:proofErr w:type="gramStart"/>
      <w:r w:rsidRPr="00020290">
        <w:rPr>
          <w:szCs w:val="24"/>
        </w:rPr>
        <w:t>konsantrasyonlarına</w:t>
      </w:r>
      <w:proofErr w:type="gramEnd"/>
      <w:r w:rsidRPr="00020290">
        <w:rPr>
          <w:szCs w:val="24"/>
        </w:rPr>
        <w:t xml:space="preserve"> duyarlı olduğunu gösterir (Kallio ve ark, 1997). </w:t>
      </w:r>
      <w:r w:rsidRPr="005B2122">
        <w:rPr>
          <w:szCs w:val="24"/>
        </w:rPr>
        <w:t xml:space="preserve">HIF-1α’nın stabilitesinin ve sonraki etkilerinin sıkı bir şekilde </w:t>
      </w:r>
      <w:proofErr w:type="gramStart"/>
      <w:r w:rsidRPr="005B2122">
        <w:rPr>
          <w:szCs w:val="24"/>
        </w:rPr>
        <w:t>regülasyonu</w:t>
      </w:r>
      <w:proofErr w:type="gramEnd"/>
      <w:r w:rsidRPr="005B2122">
        <w:rPr>
          <w:szCs w:val="24"/>
        </w:rPr>
        <w:t xml:space="preserve"> başlıca hidroksilasyon, ubikitasyon ve fosforilasyon gibi post-translasyonel modifikasyonlar ile kontrol edilir (Kallio ve ark, 1997</w:t>
      </w:r>
      <w:r w:rsidR="001E6939">
        <w:rPr>
          <w:szCs w:val="24"/>
        </w:rPr>
        <w:t xml:space="preserve">; </w:t>
      </w:r>
      <w:r w:rsidR="001E6939" w:rsidRPr="005B2122">
        <w:rPr>
          <w:szCs w:val="24"/>
        </w:rPr>
        <w:t>Brahimi-Horn ve Pouyssegur, 2007</w:t>
      </w:r>
      <w:r w:rsidRPr="005B2122">
        <w:rPr>
          <w:szCs w:val="24"/>
        </w:rPr>
        <w:t>).</w:t>
      </w:r>
      <w:r>
        <w:rPr>
          <w:szCs w:val="24"/>
        </w:rPr>
        <w:t xml:space="preserve"> </w:t>
      </w:r>
    </w:p>
    <w:p w:rsidR="00276E20" w:rsidRPr="00432DE3" w:rsidRDefault="00276E20" w:rsidP="00276E20">
      <w:pPr>
        <w:autoSpaceDE w:val="0"/>
        <w:autoSpaceDN w:val="0"/>
        <w:adjustRightInd w:val="0"/>
        <w:rPr>
          <w:szCs w:val="24"/>
          <w:highlight w:val="yellow"/>
        </w:rPr>
      </w:pPr>
      <w:r w:rsidRPr="005B2122">
        <w:rPr>
          <w:szCs w:val="24"/>
        </w:rPr>
        <w:lastRenderedPageBreak/>
        <w:t>Normoksik koşullar altında (≥ 5% O</w:t>
      </w:r>
      <w:r w:rsidRPr="005B2122">
        <w:rPr>
          <w:szCs w:val="24"/>
          <w:vertAlign w:val="subscript"/>
        </w:rPr>
        <w:t>2</w:t>
      </w:r>
      <w:r w:rsidRPr="005B2122">
        <w:rPr>
          <w:szCs w:val="24"/>
        </w:rPr>
        <w:t xml:space="preserve">) </w:t>
      </w:r>
      <w:proofErr w:type="gramStart"/>
      <w:r w:rsidRPr="005B2122">
        <w:rPr>
          <w:szCs w:val="24"/>
        </w:rPr>
        <w:t>spesifik</w:t>
      </w:r>
      <w:proofErr w:type="gramEnd"/>
      <w:r w:rsidRPr="005B2122">
        <w:rPr>
          <w:szCs w:val="24"/>
        </w:rPr>
        <w:t xml:space="preserve"> prolil hidroksilaz domain proteinleri (PHD)  adı verilen özel sensörler HIF-1 α’daki ODD domaininin hidroksilasyonunu katalizler ve von Hippel-Lindau (pVHL) tümör baskılayıcı protein tarafından HIF-1α bir sinyal olarak hareket eder (Adamaki ve ark, 2012). </w:t>
      </w:r>
      <w:r w:rsidRPr="00D72A65">
        <w:rPr>
          <w:szCs w:val="24"/>
        </w:rPr>
        <w:t xml:space="preserve">pVHL; Elongin C, Elongin B, cullin-2 ve RBX1’i içeren bir E3 ubikitin ligaz </w:t>
      </w:r>
      <w:proofErr w:type="gramStart"/>
      <w:r w:rsidRPr="00D72A65">
        <w:rPr>
          <w:szCs w:val="24"/>
        </w:rPr>
        <w:t>kompleksinin</w:t>
      </w:r>
      <w:proofErr w:type="gramEnd"/>
      <w:r w:rsidRPr="00D72A65">
        <w:rPr>
          <w:szCs w:val="24"/>
        </w:rPr>
        <w:t xml:space="preserve"> tanıma bileşenidir. HIF-1α’nın bir multiprotein E3 </w:t>
      </w:r>
      <w:proofErr w:type="gramStart"/>
      <w:r w:rsidRPr="00D72A65">
        <w:rPr>
          <w:szCs w:val="24"/>
        </w:rPr>
        <w:t>kompleksinin</w:t>
      </w:r>
      <w:proofErr w:type="gramEnd"/>
      <w:r w:rsidRPr="00D72A65">
        <w:rPr>
          <w:szCs w:val="24"/>
        </w:rPr>
        <w:t xml:space="preserve"> tanıma bileşeni olan bağlanması poliubikitasyonuna neden olur ve sonuç olarak 26S proteazomu tarafından parçalanmasına yol açar (Kallio ve ark, 1999; Sutter ve ark</w:t>
      </w:r>
      <w:r w:rsidR="00A1363D">
        <w:rPr>
          <w:szCs w:val="24"/>
        </w:rPr>
        <w:t>, 2000)</w:t>
      </w:r>
      <w:r>
        <w:rPr>
          <w:szCs w:val="24"/>
        </w:rPr>
        <w:t xml:space="preserve"> (Ş</w:t>
      </w:r>
      <w:r w:rsidRPr="00D72A65">
        <w:rPr>
          <w:szCs w:val="24"/>
        </w:rPr>
        <w:t>ekil</w:t>
      </w:r>
      <w:r w:rsidR="00842900">
        <w:rPr>
          <w:szCs w:val="24"/>
        </w:rPr>
        <w:t xml:space="preserve"> </w:t>
      </w:r>
      <w:r>
        <w:rPr>
          <w:szCs w:val="24"/>
        </w:rPr>
        <w:t>8</w:t>
      </w:r>
      <w:r w:rsidRPr="00D72A65">
        <w:rPr>
          <w:szCs w:val="24"/>
        </w:rPr>
        <w:t>)</w:t>
      </w:r>
      <w:r>
        <w:rPr>
          <w:szCs w:val="24"/>
        </w:rPr>
        <w:t>.</w:t>
      </w:r>
    </w:p>
    <w:p w:rsidR="00276E20" w:rsidRPr="009B2F2A" w:rsidRDefault="00276E20" w:rsidP="00276E20">
      <w:pPr>
        <w:autoSpaceDE w:val="0"/>
        <w:autoSpaceDN w:val="0"/>
        <w:adjustRightInd w:val="0"/>
        <w:rPr>
          <w:szCs w:val="24"/>
        </w:rPr>
      </w:pPr>
      <w:r w:rsidRPr="00D72A65">
        <w:rPr>
          <w:szCs w:val="24"/>
        </w:rPr>
        <w:t xml:space="preserve">Ancak hipokside, PHD’lerin enzimatik aktivitesi inhibe edilir ve bu durumda HIF-1 α proteini VHL yakalama ve proteazomal degredasyondan kaçar. Oksijene-bağlı hidroksilasyonun engellendiği akut olarak hipoksik bir ortamda HIF- 1α, HIF1β (ARNT) ile dimerize edildiği çekirdeğe transloke olur ve böylece degredasyonu önler (Jiang ve ark, 1996). Sonuç olarak, HIF- 1α/ARNT </w:t>
      </w:r>
      <w:proofErr w:type="gramStart"/>
      <w:r w:rsidRPr="00D72A65">
        <w:rPr>
          <w:szCs w:val="24"/>
        </w:rPr>
        <w:t>kompleksi</w:t>
      </w:r>
      <w:proofErr w:type="gramEnd"/>
      <w:r w:rsidRPr="00D72A65">
        <w:rPr>
          <w:szCs w:val="24"/>
        </w:rPr>
        <w:t xml:space="preserve"> histon asetilasyonu yoluyla kromatin yapısını değiştirmek için gerekli p300/CBP koaktivatörlerini görevlendirir ve tanıma dizisi 5’-(A/G)CGTG-3’ vasıtasıyla hedef genlere bağlanabilir ve böylelikle hedef sekansların</w:t>
      </w:r>
      <w:r>
        <w:rPr>
          <w:szCs w:val="24"/>
        </w:rPr>
        <w:t xml:space="preserve"> transkripsiyonunu arttırabilir</w:t>
      </w:r>
      <w:r w:rsidRPr="00D72A65">
        <w:rPr>
          <w:szCs w:val="24"/>
        </w:rPr>
        <w:t xml:space="preserve"> (Adamaki ve ark, 2012</w:t>
      </w:r>
      <w:r>
        <w:rPr>
          <w:szCs w:val="24"/>
        </w:rPr>
        <w:t>) (Ş</w:t>
      </w:r>
      <w:r w:rsidRPr="00D72A65">
        <w:rPr>
          <w:szCs w:val="24"/>
        </w:rPr>
        <w:t>ekil</w:t>
      </w:r>
      <w:r w:rsidR="00842900">
        <w:rPr>
          <w:szCs w:val="24"/>
        </w:rPr>
        <w:t xml:space="preserve"> </w:t>
      </w:r>
      <w:r>
        <w:rPr>
          <w:szCs w:val="24"/>
        </w:rPr>
        <w:t>8</w:t>
      </w:r>
      <w:r w:rsidRPr="00D72A65">
        <w:rPr>
          <w:szCs w:val="24"/>
        </w:rPr>
        <w:t>)</w:t>
      </w:r>
      <w:r>
        <w:rPr>
          <w:szCs w:val="24"/>
        </w:rPr>
        <w:t>.</w:t>
      </w:r>
    </w:p>
    <w:p w:rsidR="00276E20" w:rsidRDefault="00276E20" w:rsidP="00276E20">
      <w:pPr>
        <w:autoSpaceDE w:val="0"/>
        <w:autoSpaceDN w:val="0"/>
        <w:adjustRightInd w:val="0"/>
        <w:rPr>
          <w:szCs w:val="24"/>
        </w:rPr>
      </w:pPr>
      <w:r w:rsidRPr="00020290">
        <w:rPr>
          <w:szCs w:val="24"/>
        </w:rPr>
        <w:t xml:space="preserve">Yüzlerce gen, HIF bağlanması ve transaktivasyonunun direkt hedefleri olarak kabul edilmiştir. Eritropoez, anjiyogenez, glikoliz, vasküler gelişme, mitokondriyal fonksiyon, enerji metabolizması, hücresel proliferasyon, hücre göçü gibi önemli </w:t>
      </w:r>
      <w:proofErr w:type="gramStart"/>
      <w:r w:rsidRPr="00020290">
        <w:rPr>
          <w:szCs w:val="24"/>
        </w:rPr>
        <w:t>proseslerde</w:t>
      </w:r>
      <w:proofErr w:type="gramEnd"/>
      <w:r w:rsidRPr="00020290">
        <w:rPr>
          <w:szCs w:val="24"/>
        </w:rPr>
        <w:t xml:space="preserve"> yer alan 90’ın </w:t>
      </w:r>
      <w:r>
        <w:rPr>
          <w:szCs w:val="24"/>
        </w:rPr>
        <w:t>üzerinde hedef gen mevcuttur. EPO</w:t>
      </w:r>
      <w:r w:rsidRPr="00020290">
        <w:rPr>
          <w:szCs w:val="24"/>
        </w:rPr>
        <w:t>, vasküler endotelyal büyüme faktörü (VEGF), trombosit kö</w:t>
      </w:r>
      <w:r w:rsidR="008A6CAF">
        <w:rPr>
          <w:szCs w:val="24"/>
        </w:rPr>
        <w:t>kenli büyüme faktörü (PDGF), glu</w:t>
      </w:r>
      <w:r w:rsidRPr="00020290">
        <w:rPr>
          <w:szCs w:val="24"/>
        </w:rPr>
        <w:t xml:space="preserve">koz taşıyıcı-1 (GLUT1), GAPDH, LDHA bunlara örnektir  (Adamaki ve ark, 2012) (Şekil </w:t>
      </w:r>
      <w:r>
        <w:rPr>
          <w:szCs w:val="24"/>
        </w:rPr>
        <w:t>8</w:t>
      </w:r>
      <w:r w:rsidRPr="00020290">
        <w:rPr>
          <w:szCs w:val="24"/>
        </w:rPr>
        <w:t>).</w:t>
      </w:r>
    </w:p>
    <w:p w:rsidR="00276E2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Pr="00020290" w:rsidRDefault="00276E20" w:rsidP="00210384">
      <w:pPr>
        <w:pStyle w:val="AltKonuBal"/>
      </w:pPr>
      <w:r>
        <w:rPr>
          <w:noProof/>
          <w:lang w:eastAsia="tr-TR"/>
        </w:rPr>
        <w:lastRenderedPageBreak/>
        <w:drawing>
          <wp:inline distT="0" distB="0" distL="0" distR="0">
            <wp:extent cx="5745415" cy="3888000"/>
            <wp:effectExtent l="19050" t="0" r="7685" b="0"/>
            <wp:docPr id="5"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45415" cy="3888000"/>
                    </a:xfrm>
                    <a:prstGeom prst="rect">
                      <a:avLst/>
                    </a:prstGeom>
                    <a:noFill/>
                    <a:ln w="9525">
                      <a:noFill/>
                      <a:miter lim="800000"/>
                      <a:headEnd/>
                      <a:tailEnd/>
                    </a:ln>
                  </pic:spPr>
                </pic:pic>
              </a:graphicData>
            </a:graphic>
          </wp:inline>
        </w:drawing>
      </w:r>
    </w:p>
    <w:p w:rsidR="00276E20" w:rsidRDefault="00276E20" w:rsidP="00276E20">
      <w:pPr>
        <w:autoSpaceDE w:val="0"/>
        <w:autoSpaceDN w:val="0"/>
        <w:adjustRightInd w:val="0"/>
        <w:rPr>
          <w:b/>
          <w:szCs w:val="24"/>
        </w:rPr>
      </w:pPr>
    </w:p>
    <w:p w:rsidR="00276E20" w:rsidRPr="00020290" w:rsidRDefault="00842900" w:rsidP="00276E20">
      <w:pPr>
        <w:autoSpaceDE w:val="0"/>
        <w:autoSpaceDN w:val="0"/>
        <w:adjustRightInd w:val="0"/>
        <w:jc w:val="center"/>
        <w:rPr>
          <w:szCs w:val="24"/>
        </w:rPr>
      </w:pPr>
      <w:r>
        <w:rPr>
          <w:b/>
          <w:szCs w:val="24"/>
        </w:rPr>
        <w:t xml:space="preserve">Şekil </w:t>
      </w:r>
      <w:r w:rsidR="00276E20" w:rsidRPr="00210384">
        <w:rPr>
          <w:b/>
          <w:szCs w:val="24"/>
        </w:rPr>
        <w:t>8</w:t>
      </w:r>
      <w:r w:rsidR="00210384">
        <w:rPr>
          <w:b/>
          <w:szCs w:val="24"/>
        </w:rPr>
        <w:t xml:space="preserve">. </w:t>
      </w:r>
      <w:r w:rsidR="00276E20" w:rsidRPr="00020290">
        <w:rPr>
          <w:szCs w:val="24"/>
        </w:rPr>
        <w:t xml:space="preserve"> Normoksik ve hipoksik koşullarda HIF-1α </w:t>
      </w:r>
      <w:proofErr w:type="gramStart"/>
      <w:r w:rsidR="00276E20" w:rsidRPr="00020290">
        <w:rPr>
          <w:szCs w:val="24"/>
        </w:rPr>
        <w:t>regülasyonu</w:t>
      </w:r>
      <w:proofErr w:type="gramEnd"/>
      <w:r w:rsidR="00276E20" w:rsidRPr="00020290">
        <w:rPr>
          <w:szCs w:val="24"/>
        </w:rPr>
        <w:t xml:space="preserve"> ve doğrudan HIF-1α tarafından regüle edilen biyolojik fonksiyonlarına göre gruplandırılmış genler (Favaro ve ark, 2011’den değiştirilerek alınmıştır).</w:t>
      </w:r>
    </w:p>
    <w:p w:rsidR="00276E20" w:rsidRDefault="00276E20" w:rsidP="00276E20">
      <w:pPr>
        <w:autoSpaceDE w:val="0"/>
        <w:autoSpaceDN w:val="0"/>
        <w:adjustRightInd w:val="0"/>
        <w:rPr>
          <w:sz w:val="20"/>
          <w:szCs w:val="20"/>
        </w:rPr>
      </w:pPr>
      <w:r w:rsidRPr="00686B9D">
        <w:rPr>
          <w:sz w:val="20"/>
          <w:szCs w:val="20"/>
        </w:rPr>
        <w:t xml:space="preserve">(Kısaltmalar: ANG-1: Anjiyopietin-1; CA9: Karbonik anhidraz 9; CBP: CREB bağlı protein; CCND1: </w:t>
      </w:r>
      <w:proofErr w:type="gramStart"/>
      <w:r w:rsidRPr="00686B9D">
        <w:rPr>
          <w:sz w:val="20"/>
          <w:szCs w:val="20"/>
        </w:rPr>
        <w:t>Siklin</w:t>
      </w:r>
      <w:proofErr w:type="gramEnd"/>
      <w:r w:rsidRPr="00686B9D">
        <w:rPr>
          <w:sz w:val="20"/>
          <w:szCs w:val="20"/>
        </w:rPr>
        <w:t xml:space="preserve"> D1; CKCR4: C-X-C kemokin reseptör tipi 4; c-MET: Mezenkimal-epitel geçiş faktörü;  ENOI: Enolaz I; EPO: Eritropoietin; FLK-1: Fetal karaciğer kinaz-1; FLT-1: FMS-benzeri tirozin kinaz-1; GAPDH: Gliseraldehid 3-fosfat dehidro</w:t>
      </w:r>
      <w:r w:rsidR="00095114">
        <w:rPr>
          <w:sz w:val="20"/>
          <w:szCs w:val="20"/>
        </w:rPr>
        <w:t>g</w:t>
      </w:r>
      <w:r w:rsidRPr="00686B9D">
        <w:rPr>
          <w:sz w:val="20"/>
          <w:szCs w:val="20"/>
        </w:rPr>
        <w:t>enaz; GYS1: Glikojen sentaz 1; HK1: Hekzokinaz 1; HRE: hipoksik cevap elementi; IGF2: İnsülin benzeri büyüme faktörü 2; IGF-BP2: IGF-bağlı protein 2; JARID1B: Jumonji AT-zengin etkileşimli domain 1B; LOX: Lizil oksidaz; MMP-2: Matriks metaloproteinaz 2; OCT4: Oktamer-bağlayıcı transkripsiyon faktörü 4; PAI-1: Plazminojen aktivatör inhibitörü-1; PDGF-B: Trombosit kaynaklı büyüme faktörü-B; PDK1: Piruvat dehidrogenaz kinaz-1; PFKFB3: 6-fosfruktokinaz-2-kinaz/fruktoz-2, 6-bifosfataz 3; PGK1: Fosfogliseratkinaz 1; PKM2: Piruvat kinaz M2; SDF-1: Stromal-türevi faktör 1; TGF-α: Transforme edici büyüme faktörü α; TIE-2: Tie-benzeri reseptör kinaz 2; Ub: Ubikitin; UPAR: Ürokinaz plazminojen aktivatör reseptörü )</w:t>
      </w:r>
    </w:p>
    <w:p w:rsidR="00276E20" w:rsidRDefault="00276E20" w:rsidP="00276E20">
      <w:pPr>
        <w:autoSpaceDE w:val="0"/>
        <w:autoSpaceDN w:val="0"/>
        <w:adjustRightInd w:val="0"/>
        <w:rPr>
          <w:sz w:val="20"/>
          <w:szCs w:val="20"/>
        </w:rPr>
      </w:pPr>
    </w:p>
    <w:p w:rsidR="00276E20" w:rsidRDefault="00276E20" w:rsidP="00276E20">
      <w:pPr>
        <w:autoSpaceDE w:val="0"/>
        <w:autoSpaceDN w:val="0"/>
        <w:adjustRightInd w:val="0"/>
        <w:rPr>
          <w:sz w:val="20"/>
          <w:szCs w:val="20"/>
        </w:rPr>
      </w:pPr>
    </w:p>
    <w:p w:rsidR="00276E20" w:rsidRDefault="00276E20" w:rsidP="00276E20">
      <w:pPr>
        <w:autoSpaceDE w:val="0"/>
        <w:autoSpaceDN w:val="0"/>
        <w:adjustRightInd w:val="0"/>
        <w:rPr>
          <w:sz w:val="20"/>
          <w:szCs w:val="20"/>
        </w:rPr>
      </w:pPr>
    </w:p>
    <w:p w:rsidR="00276E20" w:rsidRDefault="00276E20" w:rsidP="00276E20">
      <w:pPr>
        <w:autoSpaceDE w:val="0"/>
        <w:autoSpaceDN w:val="0"/>
        <w:adjustRightInd w:val="0"/>
        <w:rPr>
          <w:sz w:val="20"/>
          <w:szCs w:val="20"/>
        </w:rPr>
      </w:pPr>
    </w:p>
    <w:p w:rsidR="00276E20" w:rsidRDefault="00276E20" w:rsidP="00276E20">
      <w:pPr>
        <w:autoSpaceDE w:val="0"/>
        <w:autoSpaceDN w:val="0"/>
        <w:adjustRightInd w:val="0"/>
        <w:rPr>
          <w:sz w:val="20"/>
          <w:szCs w:val="20"/>
        </w:rPr>
      </w:pPr>
    </w:p>
    <w:p w:rsidR="00276E20" w:rsidRPr="00AC3C6A" w:rsidRDefault="00276E20" w:rsidP="00276E20">
      <w:pPr>
        <w:autoSpaceDE w:val="0"/>
        <w:autoSpaceDN w:val="0"/>
        <w:adjustRightInd w:val="0"/>
        <w:rPr>
          <w:sz w:val="20"/>
          <w:szCs w:val="24"/>
        </w:rPr>
      </w:pPr>
    </w:p>
    <w:p w:rsidR="00276E20" w:rsidRDefault="00276E20" w:rsidP="000C080A">
      <w:pPr>
        <w:pStyle w:val="Balk2"/>
      </w:pPr>
      <w:r w:rsidRPr="00020290">
        <w:lastRenderedPageBreak/>
        <w:t>2.</w:t>
      </w:r>
      <w:r w:rsidR="006F4696">
        <w:t>9</w:t>
      </w:r>
      <w:r w:rsidR="006A4185">
        <w:t>.</w:t>
      </w:r>
      <w:r w:rsidRPr="00020290">
        <w:t xml:space="preserve"> Warburg Etkisinin Regülasyonu</w:t>
      </w:r>
    </w:p>
    <w:p w:rsidR="00276E20" w:rsidRPr="00020290" w:rsidRDefault="00276E20" w:rsidP="000C080A">
      <w:pPr>
        <w:pStyle w:val="Balk2"/>
      </w:pPr>
    </w:p>
    <w:p w:rsidR="00276E20" w:rsidRPr="00020290" w:rsidRDefault="00276E20" w:rsidP="000C080A">
      <w:pPr>
        <w:pStyle w:val="Balk2"/>
      </w:pPr>
      <w:r w:rsidRPr="00020290">
        <w:t>2.</w:t>
      </w:r>
      <w:r w:rsidR="006F4696">
        <w:t>9</w:t>
      </w:r>
      <w:r w:rsidRPr="00020290">
        <w:t>.1</w:t>
      </w:r>
      <w:r w:rsidR="006A4185">
        <w:t>.</w:t>
      </w:r>
      <w:r w:rsidRPr="00020290">
        <w:t xml:space="preserve"> Warburg Etkisinin Hipoksi ve HIF-1α ile Regülasyonu</w:t>
      </w:r>
    </w:p>
    <w:p w:rsidR="00276E20" w:rsidRPr="00020290" w:rsidRDefault="00276E20" w:rsidP="00276E20">
      <w:pPr>
        <w:autoSpaceDE w:val="0"/>
        <w:autoSpaceDN w:val="0"/>
        <w:adjustRightInd w:val="0"/>
        <w:rPr>
          <w:b/>
          <w:szCs w:val="24"/>
        </w:rPr>
      </w:pPr>
    </w:p>
    <w:p w:rsidR="00276E20" w:rsidRPr="00020290" w:rsidRDefault="00276E20" w:rsidP="00276E20">
      <w:pPr>
        <w:autoSpaceDE w:val="0"/>
        <w:autoSpaceDN w:val="0"/>
        <w:adjustRightInd w:val="0"/>
        <w:rPr>
          <w:szCs w:val="24"/>
        </w:rPr>
      </w:pPr>
      <w:r w:rsidRPr="00AC3C6A">
        <w:rPr>
          <w:szCs w:val="24"/>
        </w:rPr>
        <w:t>Birçok insan tümörü verimsiz/bozuk veya yaygın olarak yetersiz vasküler sistemlerden dolayı şiddetli derecede hipoksiktir.</w:t>
      </w:r>
      <w:r w:rsidRPr="00020290">
        <w:rPr>
          <w:szCs w:val="24"/>
        </w:rPr>
        <w:t xml:space="preserve"> Hipoksik koşullarda, normal hücreler, enerji üretmek için OXPHOS'tan glikolize geçiş yaparlar ve oksijen tekrar mevcut olduğunda, OXPHOS'a geri dönerler. Bu durum, oksijen varlığında bile glikolize uyum sağlayan kanser hücreleri için geçerli değildir (Warburg, 1956). HIF-1α bu metabolik yeniden programlanmada kritik rol oynamaktadır çünkü glukoz taşıyıcıları ve glukozu piruvata ve ardından da laktata dönüştüren glikolitik enzimleri kodlayıcı genlerin ekspresyonunu aktive eder (Seagroves ve ark, 2001).</w:t>
      </w:r>
    </w:p>
    <w:p w:rsidR="00276E20" w:rsidRPr="00020290" w:rsidRDefault="00276E20" w:rsidP="00276E20">
      <w:pPr>
        <w:autoSpaceDE w:val="0"/>
        <w:autoSpaceDN w:val="0"/>
        <w:adjustRightInd w:val="0"/>
        <w:rPr>
          <w:szCs w:val="24"/>
        </w:rPr>
      </w:pPr>
      <w:r w:rsidRPr="00020290">
        <w:rPr>
          <w:szCs w:val="24"/>
        </w:rPr>
        <w:t xml:space="preserve">Hipoksik ortamda, HIF1α </w:t>
      </w:r>
      <w:proofErr w:type="gramStart"/>
      <w:r w:rsidRPr="00020290">
        <w:rPr>
          <w:szCs w:val="24"/>
        </w:rPr>
        <w:t>stabilize</w:t>
      </w:r>
      <w:proofErr w:type="gramEnd"/>
      <w:r w:rsidRPr="00020290">
        <w:rPr>
          <w:szCs w:val="24"/>
        </w:rPr>
        <w:t xml:space="preserve"> edilir ve HIF1'in düşük moleküler oksijen seviyelerine metabolik adaptasyonu modüle etmesine izin verilir. Bu koşullar altında, HIF1 α hücresel glikolizi arttırırken, aynı zamanda TCA döngüsüne piruvat akışını, OXPHOS hızını ve oksijen tüketimini azaltır. HIF-1'in sıklıkla insan kanserlerinde yüksek oranda eksprese olduğu bulunmuştur (Bartrons ve Caro, 2007).</w:t>
      </w:r>
    </w:p>
    <w:p w:rsidR="00276E20" w:rsidRPr="00020290" w:rsidRDefault="00276E20" w:rsidP="00276E20">
      <w:pPr>
        <w:autoSpaceDE w:val="0"/>
        <w:autoSpaceDN w:val="0"/>
        <w:adjustRightInd w:val="0"/>
        <w:rPr>
          <w:szCs w:val="24"/>
        </w:rPr>
      </w:pPr>
      <w:r w:rsidRPr="00020290">
        <w:rPr>
          <w:szCs w:val="24"/>
        </w:rPr>
        <w:t xml:space="preserve">HIF-1, glukoz taşıyıcılarının ve glikolitik enzimlerin çoğunun ekspresyonunu arttırır.  Kanser hücrelerinde HIF-1α’nın hipoksik koşullar altında yeterli glukoz alımını sağlayan GLUT1 ve GLUT3’ün ekspresyonunu aktive ettiği kanıtlanmıştır (Huang ve ark, 2014).  </w:t>
      </w:r>
      <w:proofErr w:type="gramStart"/>
      <w:r w:rsidRPr="00020290">
        <w:rPr>
          <w:szCs w:val="24"/>
        </w:rPr>
        <w:t>HIF-1, hücreler tarafından glukoz alımını teşvik eden glukoz taşıyıcıları GLUT1 ve GLUT3'ü kodlayan genler olan SLC2A1 ve SLC2A3 gen ekspresyonlarını uyarır (Iyer ve ark, 1998) Ayrıca, glukozun hücreler tarafından hızlı bir şekilde kullanılması; HK, PFK1, aldolaz, trioz fosfat izomeraz, GAPDH, fosfo gliserat kinaz, enolaz ve LDH gibi glikolitik enzimlerin HIF-1 aracılı indüksiyonu ile desteklenir (</w:t>
      </w:r>
      <w:r w:rsidR="001E6939" w:rsidRPr="00020290">
        <w:rPr>
          <w:szCs w:val="24"/>
        </w:rPr>
        <w:t>Semenza ve ark, 1994</w:t>
      </w:r>
      <w:r w:rsidR="001E6939">
        <w:rPr>
          <w:szCs w:val="24"/>
        </w:rPr>
        <w:t>;</w:t>
      </w:r>
      <w:r>
        <w:rPr>
          <w:szCs w:val="24"/>
        </w:rPr>
        <w:t xml:space="preserve">  </w:t>
      </w:r>
      <w:r w:rsidRPr="00020290">
        <w:rPr>
          <w:szCs w:val="24"/>
        </w:rPr>
        <w:t>Dang ve Semenza, 1999;</w:t>
      </w:r>
      <w:r w:rsidR="001E6939" w:rsidRPr="001E6939">
        <w:rPr>
          <w:szCs w:val="24"/>
        </w:rPr>
        <w:t xml:space="preserve"> </w:t>
      </w:r>
      <w:r w:rsidR="001E6939" w:rsidRPr="00020290">
        <w:rPr>
          <w:szCs w:val="24"/>
        </w:rPr>
        <w:t>Minchenko ve ark, 2003</w:t>
      </w:r>
      <w:r w:rsidR="001E6939">
        <w:rPr>
          <w:szCs w:val="24"/>
        </w:rPr>
        <w:t>;</w:t>
      </w:r>
      <w:r w:rsidRPr="00020290">
        <w:rPr>
          <w:szCs w:val="24"/>
        </w:rPr>
        <w:t xml:space="preserve"> Gess ve ark, 2004; Marín-Hernández ve ark, 2006;</w:t>
      </w:r>
      <w:r w:rsidR="001E6939" w:rsidRPr="001E6939">
        <w:rPr>
          <w:szCs w:val="24"/>
        </w:rPr>
        <w:t xml:space="preserve"> </w:t>
      </w:r>
      <w:r w:rsidR="001E6939" w:rsidRPr="00553DD3">
        <w:rPr>
          <w:szCs w:val="24"/>
        </w:rPr>
        <w:t>Rajendran</w:t>
      </w:r>
      <w:r w:rsidR="001E6939">
        <w:rPr>
          <w:szCs w:val="24"/>
        </w:rPr>
        <w:t>, 2011</w:t>
      </w:r>
      <w:r w:rsidRPr="00020290">
        <w:rPr>
          <w:szCs w:val="24"/>
        </w:rPr>
        <w:t xml:space="preserve">). </w:t>
      </w:r>
      <w:proofErr w:type="gramEnd"/>
    </w:p>
    <w:p w:rsidR="00276E20" w:rsidRPr="00020290" w:rsidRDefault="00276E20" w:rsidP="00276E20">
      <w:pPr>
        <w:autoSpaceDE w:val="0"/>
        <w:autoSpaceDN w:val="0"/>
        <w:adjustRightInd w:val="0"/>
        <w:rPr>
          <w:szCs w:val="24"/>
        </w:rPr>
      </w:pPr>
      <w:r w:rsidRPr="00020290">
        <w:rPr>
          <w:szCs w:val="24"/>
        </w:rPr>
        <w:t>HIF-1 aracılı metabolik yeniden program</w:t>
      </w:r>
      <w:r>
        <w:rPr>
          <w:szCs w:val="24"/>
        </w:rPr>
        <w:t>lanma ile özellikle GLUT1 ve HK</w:t>
      </w:r>
      <w:r w:rsidR="009D7747">
        <w:rPr>
          <w:szCs w:val="24"/>
        </w:rPr>
        <w:t>2</w:t>
      </w:r>
      <w:r w:rsidRPr="00020290">
        <w:rPr>
          <w:szCs w:val="24"/>
        </w:rPr>
        <w:t xml:space="preserve"> gibi glikolitik enzimlerin ekspresyonunun arttırılması, hücre içi seviyelerde glukoz ve G6P artışına neden olur. G6P, NADPH ve glutatyon antioksidanlarının biyolojik oluşumundan sorumlu olan PPP için bir substrat görevi görür. HIF-1 aracılı Warburg etkisi, antioksidan kapasitenin indüklenmesi ve kanser hücrelerinin nihayetinde radyorezistans özellikleri ile de ilişkilendirilmiştir (Harada, 2016).</w:t>
      </w:r>
    </w:p>
    <w:p w:rsidR="00276E20" w:rsidRPr="00020290" w:rsidRDefault="00276E20" w:rsidP="00276E20">
      <w:pPr>
        <w:autoSpaceDE w:val="0"/>
        <w:autoSpaceDN w:val="0"/>
        <w:adjustRightInd w:val="0"/>
        <w:rPr>
          <w:szCs w:val="24"/>
        </w:rPr>
      </w:pPr>
      <w:r w:rsidRPr="00020290">
        <w:rPr>
          <w:szCs w:val="24"/>
        </w:rPr>
        <w:t xml:space="preserve">Kilit enzimlerden biri olan PKM2'nin doğrudan HIF1α ile etkileşime girdiği ve hedef genlerin transaktivasyonunu teşvik etmek amacıyla HRE’lerine HIF1 bağlanışını arttırdığı </w:t>
      </w:r>
      <w:r w:rsidRPr="00020290">
        <w:rPr>
          <w:szCs w:val="24"/>
        </w:rPr>
        <w:lastRenderedPageBreak/>
        <w:t>göste</w:t>
      </w:r>
      <w:r>
        <w:rPr>
          <w:szCs w:val="24"/>
        </w:rPr>
        <w:t xml:space="preserve">rilmiştir (Huang ve ark, 2014). </w:t>
      </w:r>
      <w:r w:rsidRPr="00020290">
        <w:rPr>
          <w:szCs w:val="24"/>
        </w:rPr>
        <w:t>PKM2'nin prolil hidroksilaz 3 ile hidroksilasyonu,  HIF1'e bağlanmasını sağlar. Ayrıca, PKM2'nin kendisi bir HIF1 hedef genidir. Bu nedenle, bir glikolitik enzim rolüne ek olarak PKM2, HIF1 aktivitesini artıran ve kanser hücrelerinde metabolizmanın yeniden programlanmasını sağlayan pozitif geri besleme döngüsüne katılarak Warburg etkisini güçlendirmektedir (</w:t>
      </w:r>
      <w:r w:rsidR="001E6939" w:rsidRPr="00020290">
        <w:rPr>
          <w:szCs w:val="24"/>
        </w:rPr>
        <w:t>Luo ve ark, 2011</w:t>
      </w:r>
      <w:r w:rsidR="001E6939">
        <w:rPr>
          <w:szCs w:val="24"/>
        </w:rPr>
        <w:t xml:space="preserve">; </w:t>
      </w:r>
      <w:r w:rsidRPr="00020290">
        <w:rPr>
          <w:szCs w:val="24"/>
        </w:rPr>
        <w:t>Bensinger ve Christofk, 2012).</w:t>
      </w:r>
    </w:p>
    <w:p w:rsidR="00276E20" w:rsidRPr="00020290" w:rsidRDefault="00276E20" w:rsidP="00276E20">
      <w:pPr>
        <w:autoSpaceDE w:val="0"/>
        <w:autoSpaceDN w:val="0"/>
        <w:adjustRightInd w:val="0"/>
        <w:rPr>
          <w:szCs w:val="24"/>
        </w:rPr>
      </w:pPr>
      <w:r w:rsidRPr="00020290">
        <w:rPr>
          <w:szCs w:val="24"/>
        </w:rPr>
        <w:t>Bunun yanın</w:t>
      </w:r>
      <w:r w:rsidR="008A6CAF">
        <w:rPr>
          <w:szCs w:val="24"/>
        </w:rPr>
        <w:t>da HIF-1, PDH</w:t>
      </w:r>
      <w:r w:rsidRPr="00020290">
        <w:rPr>
          <w:szCs w:val="24"/>
        </w:rPr>
        <w:t xml:space="preserve"> aktivitesini inhibe eden PDK1’i indükleyerek hem TCA döngüsünü hem de solunumu baskılar (Şekil </w:t>
      </w:r>
      <w:r>
        <w:rPr>
          <w:szCs w:val="24"/>
        </w:rPr>
        <w:t>2</w:t>
      </w:r>
      <w:r w:rsidRPr="00020290">
        <w:rPr>
          <w:szCs w:val="24"/>
        </w:rPr>
        <w:t xml:space="preserve">.12, Şekil </w:t>
      </w:r>
      <w:r>
        <w:rPr>
          <w:szCs w:val="24"/>
        </w:rPr>
        <w:t>2</w:t>
      </w:r>
      <w:r w:rsidRPr="00020290">
        <w:rPr>
          <w:szCs w:val="24"/>
        </w:rPr>
        <w:t xml:space="preserve">.13). </w:t>
      </w:r>
      <w:r>
        <w:rPr>
          <w:szCs w:val="24"/>
        </w:rPr>
        <w:t xml:space="preserve">Böylece LDH enzimi ile piruvattan laktat oluşumu artar </w:t>
      </w:r>
      <w:r w:rsidRPr="00020290">
        <w:rPr>
          <w:szCs w:val="24"/>
        </w:rPr>
        <w:t>ve laktat hücre dışı boşluğa salınır. Bu reaksiyonla O</w:t>
      </w:r>
      <w:r w:rsidRPr="00020290">
        <w:rPr>
          <w:szCs w:val="24"/>
          <w:vertAlign w:val="subscript"/>
        </w:rPr>
        <w:t>2</w:t>
      </w:r>
      <w:r w:rsidRPr="00020290">
        <w:rPr>
          <w:szCs w:val="24"/>
        </w:rPr>
        <w:t xml:space="preserve"> yoksunluğu olan hücreler tarafından devam eden glikoliz için NAD</w:t>
      </w:r>
      <w:r w:rsidRPr="00020290">
        <w:rPr>
          <w:szCs w:val="24"/>
          <w:vertAlign w:val="superscript"/>
        </w:rPr>
        <w:t>+</w:t>
      </w:r>
      <w:r w:rsidRPr="00020290">
        <w:rPr>
          <w:szCs w:val="24"/>
        </w:rPr>
        <w:t xml:space="preserve"> üretilir. Mitokondriyal O</w:t>
      </w:r>
      <w:r w:rsidRPr="00020290">
        <w:rPr>
          <w:szCs w:val="24"/>
          <w:vertAlign w:val="subscript"/>
        </w:rPr>
        <w:t>2</w:t>
      </w:r>
      <w:r w:rsidRPr="00020290">
        <w:rPr>
          <w:szCs w:val="24"/>
        </w:rPr>
        <w:t xml:space="preserve"> tüketimine karşı bu HIF-1'e bağımlı blok, özellikle O</w:t>
      </w:r>
      <w:r w:rsidRPr="00020290">
        <w:rPr>
          <w:szCs w:val="24"/>
          <w:vertAlign w:val="subscript"/>
        </w:rPr>
        <w:t>2</w:t>
      </w:r>
      <w:r w:rsidRPr="00020290">
        <w:rPr>
          <w:szCs w:val="24"/>
        </w:rPr>
        <w:t xml:space="preserve"> yoksunluğu şiddetli ve uzun süreli olduğunda hücreni</w:t>
      </w:r>
      <w:r w:rsidR="00A65607">
        <w:rPr>
          <w:szCs w:val="24"/>
        </w:rPr>
        <w:t>n hayatta kalmasını teşvik eder</w:t>
      </w:r>
      <w:r w:rsidRPr="00020290">
        <w:rPr>
          <w:szCs w:val="24"/>
        </w:rPr>
        <w:t xml:space="preserve"> (Bartrons ve Caro, 2007).</w:t>
      </w:r>
    </w:p>
    <w:p w:rsidR="00210384" w:rsidRDefault="00276E20" w:rsidP="004E4F81">
      <w:pPr>
        <w:autoSpaceDE w:val="0"/>
        <w:autoSpaceDN w:val="0"/>
        <w:adjustRightInd w:val="0"/>
        <w:rPr>
          <w:szCs w:val="24"/>
        </w:rPr>
      </w:pPr>
      <w:r w:rsidRPr="00020290">
        <w:rPr>
          <w:szCs w:val="24"/>
        </w:rPr>
        <w:t>Hipoksi, besinsel ya da çevresel stres durumunda memeli hücreleri ve tüm ökaryotik hücrelerde bulunan yüksek oranda korunmuş bir hücresel enerji durumu sensörü olan AMP ile aktive protein kinazı (AMPK) algılar (Hardie, 2004). AMPK, hücresel AMP / ATP oranını artıran uyarılarla aktive edilir ve mTOR’un güçlü bir inhibitörü olarak işlev görür. Aktive edilmiş AMPK, hücresel enerji metabolizmasında ve p53 aktivasyonu ile hücre döngüsünü durdurmayı kontrol etmede doğrudan yer alan çeşitli hedef molekülleri fosforile eder (Jones ve ark, 2005). AMPK'nın hip</w:t>
      </w:r>
      <w:r>
        <w:rPr>
          <w:szCs w:val="24"/>
        </w:rPr>
        <w:t>oksi ile aktive edilmesi</w:t>
      </w:r>
      <w:r w:rsidR="003E38E0">
        <w:rPr>
          <w:szCs w:val="24"/>
        </w:rPr>
        <w:t xml:space="preserve"> F2,6BP</w:t>
      </w:r>
      <w:r w:rsidRPr="00020290">
        <w:rPr>
          <w:szCs w:val="24"/>
        </w:rPr>
        <w:t xml:space="preserve"> </w:t>
      </w:r>
      <w:r>
        <w:rPr>
          <w:szCs w:val="24"/>
        </w:rPr>
        <w:t>miktarı</w:t>
      </w:r>
      <w:r w:rsidRPr="00020290">
        <w:rPr>
          <w:szCs w:val="24"/>
        </w:rPr>
        <w:t xml:space="preserve"> ve glikolizde artışa neden olan PF</w:t>
      </w:r>
      <w:r w:rsidR="00A65607">
        <w:rPr>
          <w:szCs w:val="24"/>
        </w:rPr>
        <w:t>K-2'nin fosforilasyonunu sağlar</w:t>
      </w:r>
      <w:r w:rsidRPr="00020290">
        <w:rPr>
          <w:szCs w:val="24"/>
        </w:rPr>
        <w:t xml:space="preserve"> (Marsin ve ark, 2002). Bir tümör baskılayıcı olarak bilinen serin/treonin kinaz LKB1 (Karaciğer kinaz Bl; serin/treonin kinaz 11-STK11) hücre metabolizmasını, büyümenin kontrolü ve hücre polaritesi ile ilişkilendiren bir sinyal yoludur. LKB1, AMPK'yi doğrudan aktive eden bir serin/treonin kinazı kodlar (Shackelford ve Shaw, 2009). AMPK'nın hipoksik veya iskemik mikro ortamlarda aktivasyonu, hücrenin hayatta kalması için kritik öneme sahip olabilir ve bu nedenle metabolik olarak baskılanmış veya ATP eksikliği olan hücreler için koruyucu bir mekanizmayı temsil eder. Bu bulgular, HIF-1 ve AMPK'nın, düşük oksijenli veya iskemik doku mikro ortamlarında enerji homeostazını korumak için uyumlu bir hücresel cevabın bileşenleri olduğu anlamına gelmektedir (Bartrons ve Caro, 2007) (Şekil </w:t>
      </w:r>
      <w:r>
        <w:rPr>
          <w:szCs w:val="24"/>
        </w:rPr>
        <w:t>9</w:t>
      </w:r>
      <w:r w:rsidRPr="00020290">
        <w:rPr>
          <w:szCs w:val="24"/>
        </w:rPr>
        <w:t>).</w:t>
      </w:r>
    </w:p>
    <w:p w:rsidR="00210384" w:rsidRDefault="00210384" w:rsidP="00276E20">
      <w:pPr>
        <w:rPr>
          <w:szCs w:val="24"/>
        </w:rPr>
      </w:pPr>
    </w:p>
    <w:p w:rsidR="00276E20" w:rsidRDefault="00276E20" w:rsidP="00276E20">
      <w:pPr>
        <w:rPr>
          <w:szCs w:val="24"/>
        </w:rPr>
      </w:pPr>
    </w:p>
    <w:p w:rsidR="00276E20" w:rsidRDefault="00276E20" w:rsidP="000C080A">
      <w:pPr>
        <w:pStyle w:val="Balk2"/>
      </w:pPr>
      <w:r w:rsidRPr="00020290">
        <w:t>2.</w:t>
      </w:r>
      <w:r w:rsidR="006F4696">
        <w:t>9</w:t>
      </w:r>
      <w:r w:rsidRPr="00020290">
        <w:t>.2</w:t>
      </w:r>
      <w:r w:rsidR="006A4185">
        <w:t>.</w:t>
      </w:r>
      <w:r w:rsidRPr="00020290">
        <w:t xml:space="preserve"> Warburg Etkisi’nin Onkogenler ile Regülasyonu</w:t>
      </w:r>
      <w:r>
        <w:t xml:space="preserve">  </w:t>
      </w:r>
    </w:p>
    <w:p w:rsidR="00276E20" w:rsidRPr="00020290" w:rsidRDefault="00276E20" w:rsidP="00276E20">
      <w:pPr>
        <w:rPr>
          <w:b/>
          <w:szCs w:val="24"/>
        </w:rPr>
      </w:pPr>
    </w:p>
    <w:p w:rsidR="008F4C19" w:rsidRDefault="00276E20" w:rsidP="00276E20">
      <w:pPr>
        <w:autoSpaceDE w:val="0"/>
        <w:autoSpaceDN w:val="0"/>
        <w:adjustRightInd w:val="0"/>
        <w:rPr>
          <w:szCs w:val="24"/>
        </w:rPr>
      </w:pPr>
      <w:r w:rsidRPr="00020290">
        <w:rPr>
          <w:szCs w:val="24"/>
        </w:rPr>
        <w:t xml:space="preserve">Yüksek oranda glikolitik olan bir tümörün tüm bölgelerinin mutlaka hipoksik olmadığı açıktır. Bu nedenle, glikolitik fenotipi indükleyen başka düzenleyici mekanizmalar </w:t>
      </w:r>
      <w:r w:rsidRPr="00020290">
        <w:rPr>
          <w:szCs w:val="24"/>
        </w:rPr>
        <w:lastRenderedPageBreak/>
        <w:t>bulunmalıdır (Bartrons ve Caro, 2007). Normal oksijen koşulları altında</w:t>
      </w:r>
      <w:r>
        <w:rPr>
          <w:szCs w:val="24"/>
        </w:rPr>
        <w:t xml:space="preserve"> büyüyen birçok tümör hücresi,</w:t>
      </w:r>
      <w:r w:rsidRPr="00020290">
        <w:rPr>
          <w:szCs w:val="24"/>
        </w:rPr>
        <w:t xml:space="preserve"> glikolitik enzimlerin ve glukoz taşıyıcılarının ekspresyonunun artması ile ilişkili olan yüksek glikolitik oranlar sergilerler (Dang ve Semenza, 1999). Bunun nedeni, HIF-lα'nın hipoksi dışındaki faktörlerle </w:t>
      </w:r>
      <w:proofErr w:type="gramStart"/>
      <w:r w:rsidRPr="00020290">
        <w:rPr>
          <w:szCs w:val="24"/>
        </w:rPr>
        <w:t>stabilizasyonu</w:t>
      </w:r>
      <w:proofErr w:type="gramEnd"/>
      <w:r w:rsidRPr="00020290">
        <w:rPr>
          <w:szCs w:val="24"/>
        </w:rPr>
        <w:t>, örneğin VHL'nin inaktivasyonu veya HIF1'in büyüme faktörleri veya farklı onkogenler tarafından aktivasyonu olabilir. Onkogenlerin kendi başına da glikolizi aktive edebileceği gösterilmiştir. HIF-1'in RAS ve onun bozunmasına aracılık eden VHL kaybı ile artış gösterdiği belirle</w:t>
      </w:r>
      <w:r>
        <w:rPr>
          <w:szCs w:val="24"/>
        </w:rPr>
        <w:t>nmiştir (Kim ve Dang, 2006). RAS</w:t>
      </w:r>
      <w:r w:rsidRPr="00020290">
        <w:rPr>
          <w:szCs w:val="24"/>
        </w:rPr>
        <w:t xml:space="preserve"> onkogenleri bu sayede transforme hücrelerde glukoz taşınımı ve glikolizi artırabilir. Hedeflerden birinin PFK-1 olduğu gösteril</w:t>
      </w:r>
      <w:r w:rsidR="008F4C19">
        <w:rPr>
          <w:szCs w:val="24"/>
        </w:rPr>
        <w:t>miştir (Bartrons ve Caro, 2007)</w:t>
      </w:r>
      <w:r w:rsidR="001A74AB">
        <w:rPr>
          <w:szCs w:val="24"/>
        </w:rPr>
        <w:t>.</w:t>
      </w:r>
    </w:p>
    <w:p w:rsidR="00276E20" w:rsidRPr="00020290" w:rsidRDefault="00276E20" w:rsidP="00276E20">
      <w:pPr>
        <w:autoSpaceDE w:val="0"/>
        <w:autoSpaceDN w:val="0"/>
        <w:adjustRightInd w:val="0"/>
        <w:rPr>
          <w:szCs w:val="24"/>
        </w:rPr>
      </w:pPr>
      <w:r w:rsidRPr="00020290">
        <w:rPr>
          <w:szCs w:val="24"/>
        </w:rPr>
        <w:t>Fosfoinositid-3-kinaz (PI3K) sinyalizasyon yolu hem büyüme kontrolü hem de glukoz metabolizması ile bağlantılıdır. Mevcut aminoasitleri mTOR yoluyla protein sentezine yönlendirmedeki iyi tanımlanmış rolüne ek olarak PI3K yolu glukoz alımını ve kullanımını da düzenler. İnsüline bağımlı olmayan dokularda bile AKT ile PI3K sinyalizasyonu glukoz taşıyıcı ekspresyonunu düzenleyebilen HK ile glukoz tutulumunu arttırabilir ve PFK aktivitesini uyarabilir. PI3K yolu aktivasyonu, hücreleri yüksek glikolitik akış seviyelerine bağımlı hale getirebi</w:t>
      </w:r>
      <w:r w:rsidR="00D83A78">
        <w:rPr>
          <w:szCs w:val="24"/>
        </w:rPr>
        <w:t>lir (</w:t>
      </w:r>
      <w:r w:rsidR="00D83A78" w:rsidRPr="00020290">
        <w:rPr>
          <w:szCs w:val="24"/>
        </w:rPr>
        <w:t>Kim ve Dang, 2006</w:t>
      </w:r>
      <w:r w:rsidR="00D83A78">
        <w:rPr>
          <w:szCs w:val="24"/>
        </w:rPr>
        <w:t>; Vander Heiden ve ark, 2009</w:t>
      </w:r>
      <w:r w:rsidR="001D2358">
        <w:rPr>
          <w:szCs w:val="24"/>
        </w:rPr>
        <w:t>)</w:t>
      </w:r>
      <w:r w:rsidRPr="00020290">
        <w:rPr>
          <w:szCs w:val="24"/>
        </w:rPr>
        <w:t xml:space="preserve"> (Şekil </w:t>
      </w:r>
      <w:r>
        <w:rPr>
          <w:szCs w:val="24"/>
        </w:rPr>
        <w:t>9).</w:t>
      </w:r>
    </w:p>
    <w:p w:rsidR="00276E20" w:rsidRPr="00020290" w:rsidRDefault="00276E20" w:rsidP="00276E20">
      <w:pPr>
        <w:autoSpaceDE w:val="0"/>
        <w:autoSpaceDN w:val="0"/>
        <w:adjustRightInd w:val="0"/>
        <w:rPr>
          <w:szCs w:val="24"/>
        </w:rPr>
      </w:pPr>
      <w:r w:rsidRPr="00020290">
        <w:rPr>
          <w:szCs w:val="24"/>
        </w:rPr>
        <w:t xml:space="preserve">En iyi karakterize edilmiş onkogenler ve tümör baskılayıcılarının çoğu PI3K-AKT-mTOR yolağında bulunur ve bu sinyal yolağının anormal aktivasyonu çeşitli kanser türlerinde en sık görülen değişiklikler arasındadır (DeBerardinis ve Chandel, 2016) (Şekil </w:t>
      </w:r>
      <w:r>
        <w:rPr>
          <w:szCs w:val="24"/>
        </w:rPr>
        <w:t>9</w:t>
      </w:r>
      <w:r w:rsidRPr="00020290">
        <w:rPr>
          <w:szCs w:val="24"/>
        </w:rPr>
        <w:t>).  AKT kanser hücrelerinde glukoz alımını ve glukoz metabolizmasını uyarmasıyla hücre metabolizmasını kontrol eden en önemli sinyal moleküllerinden biridir. Bu nedenle AKT’nin habis hücrelerde genellikle yapısal olarak aktif olması şaşırtıcı değildir (Danhier ve ark, 2017). Normal ve kanser hücrelerinde makromoleküllerin biyosentezine yol açan birçok metabolik aktivitenin güçlendirilmesinden PI3K/AKT/mTOR yolağının sorumlu olduğu düşünülmektedir (DeBerardinis ve ark, 2008).  Özellikle AKT, glikolitik laktat üretimini arttırarak kanserli hücrelerdeki Warburg Etkisini indükleyebilmektedir (Danhier ve ark, 2017</w:t>
      </w:r>
      <w:r>
        <w:rPr>
          <w:szCs w:val="24"/>
        </w:rPr>
        <w:t>). Onkoprotein AKT’nin</w:t>
      </w:r>
      <w:r w:rsidRPr="00020290">
        <w:rPr>
          <w:szCs w:val="24"/>
        </w:rPr>
        <w:t xml:space="preserve"> GLUT4'ü aktive eder</w:t>
      </w:r>
      <w:r>
        <w:rPr>
          <w:szCs w:val="24"/>
        </w:rPr>
        <w:t>ek, glukoz alımını arttırdığı</w:t>
      </w:r>
      <w:r w:rsidRPr="00020290">
        <w:rPr>
          <w:szCs w:val="24"/>
        </w:rPr>
        <w:t xml:space="preserve"> ve glikolizisi d</w:t>
      </w:r>
      <w:r>
        <w:rPr>
          <w:szCs w:val="24"/>
        </w:rPr>
        <w:t>esteklemek için HK</w:t>
      </w:r>
      <w:r w:rsidR="009D7747">
        <w:rPr>
          <w:szCs w:val="24"/>
        </w:rPr>
        <w:t>2</w:t>
      </w:r>
      <w:r>
        <w:rPr>
          <w:szCs w:val="24"/>
        </w:rPr>
        <w:t>'yi indüklediği gösterilmiştir</w:t>
      </w:r>
      <w:r w:rsidR="00AB1F1F">
        <w:rPr>
          <w:szCs w:val="24"/>
        </w:rPr>
        <w:t xml:space="preserve"> (</w:t>
      </w:r>
      <w:r w:rsidR="00D83A78">
        <w:rPr>
          <w:szCs w:val="24"/>
        </w:rPr>
        <w:t xml:space="preserve">Elstrom ve ark, 2004; </w:t>
      </w:r>
      <w:r w:rsidR="00AB1F1F" w:rsidRPr="00020290">
        <w:rPr>
          <w:szCs w:val="24"/>
        </w:rPr>
        <w:t>Kim ve Dang, 2006</w:t>
      </w:r>
      <w:r w:rsidRPr="00020290">
        <w:rPr>
          <w:szCs w:val="24"/>
        </w:rPr>
        <w:t xml:space="preserve">) (Şekil </w:t>
      </w:r>
      <w:r>
        <w:rPr>
          <w:szCs w:val="24"/>
        </w:rPr>
        <w:t>9</w:t>
      </w:r>
      <w:r w:rsidRPr="00020290">
        <w:rPr>
          <w:szCs w:val="24"/>
        </w:rPr>
        <w:t>).</w:t>
      </w:r>
    </w:p>
    <w:p w:rsidR="00276E20" w:rsidRPr="00020290" w:rsidRDefault="00276E20" w:rsidP="00276E20">
      <w:pPr>
        <w:autoSpaceDE w:val="0"/>
        <w:autoSpaceDN w:val="0"/>
        <w:adjustRightInd w:val="0"/>
        <w:rPr>
          <w:szCs w:val="24"/>
        </w:rPr>
      </w:pPr>
      <w:r>
        <w:rPr>
          <w:szCs w:val="24"/>
        </w:rPr>
        <w:t>Sürekli AKT</w:t>
      </w:r>
      <w:r w:rsidRPr="00020290">
        <w:rPr>
          <w:szCs w:val="24"/>
        </w:rPr>
        <w:t xml:space="preserve">1 upegülasyonu, HIF moleküllerinin </w:t>
      </w:r>
      <w:r>
        <w:rPr>
          <w:szCs w:val="24"/>
        </w:rPr>
        <w:t>ekspresyonunun yanı sıra</w:t>
      </w:r>
      <w:r w:rsidRPr="00020290">
        <w:rPr>
          <w:szCs w:val="24"/>
        </w:rPr>
        <w:t xml:space="preserve"> FOXO (forkhead box subfamily O) transkripsiyonel faktörlerin</w:t>
      </w:r>
      <w:r>
        <w:rPr>
          <w:szCs w:val="24"/>
        </w:rPr>
        <w:t>in</w:t>
      </w:r>
      <w:r w:rsidRPr="00020290">
        <w:rPr>
          <w:szCs w:val="24"/>
        </w:rPr>
        <w:t xml:space="preserve"> translokasyon, ubikitinasyon ve degredasyonu ile sonuçlanır (Khatri ve ark, 2010) (Şekil </w:t>
      </w:r>
      <w:r>
        <w:rPr>
          <w:szCs w:val="24"/>
        </w:rPr>
        <w:t>9</w:t>
      </w:r>
      <w:r w:rsidRPr="00020290">
        <w:rPr>
          <w:szCs w:val="24"/>
        </w:rPr>
        <w:t xml:space="preserve">). FOXO’lar; apoptozis, hücre döngüsü süreçleri ve antioksidan yanıtlarını içeren çok çeşitli hücresel </w:t>
      </w:r>
      <w:proofErr w:type="gramStart"/>
      <w:r w:rsidRPr="00020290">
        <w:rPr>
          <w:szCs w:val="24"/>
        </w:rPr>
        <w:t>prosesler</w:t>
      </w:r>
      <w:proofErr w:type="gramEnd"/>
      <w:r w:rsidRPr="00020290">
        <w:rPr>
          <w:szCs w:val="24"/>
        </w:rPr>
        <w:t xml:space="preserve"> için önem taşıyan genlerin ekspresyonunu kontrol ederler (Cair</w:t>
      </w:r>
      <w:r>
        <w:rPr>
          <w:szCs w:val="24"/>
        </w:rPr>
        <w:t>ns ve ark, 2011). Aktive AKT</w:t>
      </w:r>
      <w:r w:rsidRPr="00020290">
        <w:rPr>
          <w:szCs w:val="24"/>
        </w:rPr>
        <w:t xml:space="preserve">1 ayrıca </w:t>
      </w:r>
      <w:r w:rsidRPr="00020290">
        <w:rPr>
          <w:szCs w:val="24"/>
        </w:rPr>
        <w:lastRenderedPageBreak/>
        <w:t xml:space="preserve">ektonükleozid trifosfat difosfohidrolaz 5 (ENTPD5)’in ekspresyonunu arttırır. ENTPD5, uridin 5’ difosfatın (UDP)  endoplazmik retikulumda (ER) proteinlerin N-glikolizasyonunu stimüle eden uridin 5’ monofosfata (UMP) dönüşümünü katalizler. ENTPD5 bir inhibitör enerji seviyesine ulaşarak intrasellüler enerji üretimini engelleyen ATP hidroliz döngüsü oluşturmak için adenilaz kinaz-1 ve sitidin monofosfat (CMP) ile uyum içinde çalışır (Fang ve ark, 2010). İlginç bir şekilde, ENTPD5’in artan ekspresyonu, PFK </w:t>
      </w:r>
      <w:r>
        <w:rPr>
          <w:szCs w:val="24"/>
        </w:rPr>
        <w:t xml:space="preserve">aktivasyonunu koruyarak AMP/ATP </w:t>
      </w:r>
      <w:r w:rsidRPr="00020290">
        <w:rPr>
          <w:szCs w:val="24"/>
        </w:rPr>
        <w:t xml:space="preserve">oranını arttırır ve bu </w:t>
      </w:r>
      <w:proofErr w:type="gramStart"/>
      <w:r w:rsidRPr="00020290">
        <w:rPr>
          <w:szCs w:val="24"/>
        </w:rPr>
        <w:t>sayede  Warburg</w:t>
      </w:r>
      <w:proofErr w:type="gramEnd"/>
      <w:r w:rsidRPr="00020290">
        <w:rPr>
          <w:szCs w:val="24"/>
        </w:rPr>
        <w:t xml:space="preserve"> etkisinine hizmet eder. PFK sırayla glikolizisi çalıştırır ve özellikle upregüle olan reseptörlerin glikolizasyonunu düzenler. Aynı zamanda, glukoz alımının artması sonucu alınan bu glukoz, büyüme faktör reseptörlerinin posttranslasyonel modifikasyonu için kullanılan heksozamin şekerler ve UDP-glukozun üretimi gibi diğer glukoz kullanım yollarına kanalize edilir (Cairns ve ark, 2011).</w:t>
      </w:r>
    </w:p>
    <w:p w:rsidR="00276E20" w:rsidRPr="00020290" w:rsidRDefault="00276E20" w:rsidP="00276E20">
      <w:pPr>
        <w:autoSpaceDE w:val="0"/>
        <w:autoSpaceDN w:val="0"/>
        <w:adjustRightInd w:val="0"/>
        <w:rPr>
          <w:szCs w:val="24"/>
        </w:rPr>
      </w:pPr>
      <w:r w:rsidRPr="00020290">
        <w:rPr>
          <w:szCs w:val="24"/>
        </w:rPr>
        <w:t xml:space="preserve">MYC onkogenleri, kanserlerde metabolik fenotipin önemli bir transkripsiyonel </w:t>
      </w:r>
      <w:proofErr w:type="gramStart"/>
      <w:r w:rsidRPr="00020290">
        <w:rPr>
          <w:szCs w:val="24"/>
        </w:rPr>
        <w:t>regülatörüdür</w:t>
      </w:r>
      <w:proofErr w:type="gramEnd"/>
      <w:r w:rsidRPr="00020290">
        <w:rPr>
          <w:szCs w:val="24"/>
        </w:rPr>
        <w:t xml:space="preserve">. </w:t>
      </w:r>
      <w:r>
        <w:rPr>
          <w:szCs w:val="24"/>
        </w:rPr>
        <w:t>Y</w:t>
      </w:r>
      <w:r w:rsidRPr="00020290">
        <w:rPr>
          <w:szCs w:val="24"/>
        </w:rPr>
        <w:t>apılan bir çalışmada, MYC aşırı ekspresyonunun, insan meme kanserinde yüksek Floro-D-Glukoz (FDG) alımı ile en fazla ilişkili moleküler değişikl</w:t>
      </w:r>
      <w:r>
        <w:rPr>
          <w:szCs w:val="24"/>
        </w:rPr>
        <w:t>ik olduğu bulunmuştur.  M</w:t>
      </w:r>
      <w:r w:rsidR="0088250B">
        <w:rPr>
          <w:szCs w:val="24"/>
        </w:rPr>
        <w:t>YC</w:t>
      </w:r>
      <w:r>
        <w:rPr>
          <w:szCs w:val="24"/>
        </w:rPr>
        <w:t>; HK</w:t>
      </w:r>
      <w:r w:rsidR="009D7747">
        <w:rPr>
          <w:szCs w:val="24"/>
        </w:rPr>
        <w:t>2</w:t>
      </w:r>
      <w:r w:rsidRPr="00020290">
        <w:rPr>
          <w:szCs w:val="24"/>
        </w:rPr>
        <w:t xml:space="preserve">, </w:t>
      </w:r>
      <w:r w:rsidR="003E38E0">
        <w:rPr>
          <w:szCs w:val="24"/>
        </w:rPr>
        <w:t>ENO</w:t>
      </w:r>
      <w:r w:rsidRPr="00020290">
        <w:rPr>
          <w:szCs w:val="24"/>
        </w:rPr>
        <w:t xml:space="preserve"> 1, LDH-A, PFK-M, GAPDH ve TPI gibi birçok anahtar glikolitik enzimin gen ekspresyonunu düzenleyerek kanser hücrelerinde Warburg etkisine katk</w:t>
      </w:r>
      <w:r w:rsidR="0088250B">
        <w:rPr>
          <w:szCs w:val="24"/>
        </w:rPr>
        <w:t xml:space="preserve">ıda bulunur (Kim ve ark, 2004). </w:t>
      </w:r>
      <w:r w:rsidRPr="00020290">
        <w:rPr>
          <w:szCs w:val="24"/>
        </w:rPr>
        <w:t>İnsan B hücre modelinde M</w:t>
      </w:r>
      <w:r w:rsidR="0088250B">
        <w:rPr>
          <w:szCs w:val="24"/>
        </w:rPr>
        <w:t>YC</w:t>
      </w:r>
      <w:r w:rsidRPr="00020290">
        <w:rPr>
          <w:szCs w:val="24"/>
        </w:rPr>
        <w:t xml:space="preserve"> aktivasyonunun, mitokondriyal biyogenez ile de ilişkili olduğu ve mitokondriyal DNA'da mutasyonlara neden olabilecek hücre içi ROS seviyelerini arttırdığı gösterilmiştir (Li ve ark, 2005; Kim ve Dang, 2006). </w:t>
      </w:r>
    </w:p>
    <w:p w:rsidR="00276E20" w:rsidRPr="00020290" w:rsidRDefault="00276E20" w:rsidP="00DA69D1">
      <w:pPr>
        <w:autoSpaceDE w:val="0"/>
        <w:autoSpaceDN w:val="0"/>
        <w:adjustRightInd w:val="0"/>
        <w:rPr>
          <w:szCs w:val="24"/>
        </w:rPr>
      </w:pPr>
      <w:r w:rsidRPr="00020290">
        <w:rPr>
          <w:szCs w:val="24"/>
        </w:rPr>
        <w:t>En iyi DNA hasar cevabı ve apoptozdaki rolü ile bilinen tümör baskılayıcı p53, metabolizmayı düzenleyen önemli bir transkripsiyon faktörüdür. p53, bir fruktoz-2,6-bisfosfataz olan TP53 kaynaklı glikoliz ve apoptoz düzenleyicisinin (TIGAR) ekspresyonunu</w:t>
      </w:r>
      <w:r>
        <w:rPr>
          <w:szCs w:val="24"/>
        </w:rPr>
        <w:t xml:space="preserve"> yükselterek glikolizi baskılar. </w:t>
      </w:r>
      <w:r w:rsidRPr="00020290">
        <w:rPr>
          <w:szCs w:val="24"/>
        </w:rPr>
        <w:t xml:space="preserve">Ek olarak, p53, elektron taşıma zinciri sitokrom c oksidaz (COX) </w:t>
      </w:r>
      <w:proofErr w:type="gramStart"/>
      <w:r w:rsidRPr="00020290">
        <w:rPr>
          <w:szCs w:val="24"/>
        </w:rPr>
        <w:t>kompleksinin</w:t>
      </w:r>
      <w:proofErr w:type="gramEnd"/>
      <w:r w:rsidRPr="00020290">
        <w:rPr>
          <w:szCs w:val="24"/>
        </w:rPr>
        <w:t xml:space="preserve"> kurulması için gerekli olan bir bakır taşıyıcısı sitokrom c oksidaz-2 (SCO2) sentezinin ekspresyonunu artırarak OXPHOS’u destekler (Şekil </w:t>
      </w:r>
      <w:r>
        <w:rPr>
          <w:szCs w:val="24"/>
        </w:rPr>
        <w:t>9</w:t>
      </w:r>
      <w:r w:rsidRPr="00020290">
        <w:rPr>
          <w:szCs w:val="24"/>
        </w:rPr>
        <w:t xml:space="preserve">). Bu nedenle, tümör hücrelerinde p53 ekspresyonunun kaybı, eş zamanlı olarak glikoliz yoluyla akışı artırarak ve OXPHOS’u azaltarak Warburg etkisini kolaylaştırabilir (Bensinger ve Christofk, 2012).  </w:t>
      </w:r>
      <w:r w:rsidR="00C55FB0" w:rsidRPr="00AB1F1F">
        <w:rPr>
          <w:szCs w:val="24"/>
        </w:rPr>
        <w:t>Oktamer-bağlayıcı transkripsiyon faktörü 1</w:t>
      </w:r>
      <w:r w:rsidR="00DA69D1" w:rsidRPr="00AB1F1F">
        <w:rPr>
          <w:szCs w:val="24"/>
        </w:rPr>
        <w:t xml:space="preserve"> (</w:t>
      </w:r>
      <w:r w:rsidRPr="00AB1F1F">
        <w:rPr>
          <w:szCs w:val="24"/>
        </w:rPr>
        <w:t>OCT1</w:t>
      </w:r>
      <w:r w:rsidR="00DA69D1" w:rsidRPr="00AB1F1F">
        <w:rPr>
          <w:szCs w:val="24"/>
        </w:rPr>
        <w:t>)</w:t>
      </w:r>
      <w:r w:rsidRPr="00AB1F1F">
        <w:rPr>
          <w:szCs w:val="24"/>
        </w:rPr>
        <w:t xml:space="preserve"> (POU2F1 olarak da bilinir) de, ekspresyonu bazı insan kanserlerinde artış gösteren bir transkripsiyon faktörüdür ve oksidatif ve glikolitik metabolizma arasındaki dengeyi düzenleyen p53 ile işbirliği yapabilir. Nakavt farelerinin ve insan kanser hücre hatlarının çalışmalarından elde edilen veriler, OCT1’in glukoz metabolizmasını arttıran ve mitokondriyal solunumu azaltan bir genler grubunu düzenlediğini gös</w:t>
      </w:r>
      <w:r w:rsidR="001D2358">
        <w:rPr>
          <w:szCs w:val="24"/>
        </w:rPr>
        <w:t>termiştir (Cairns ve ark, 2011)</w:t>
      </w:r>
      <w:r w:rsidRPr="00AB1F1F">
        <w:rPr>
          <w:szCs w:val="24"/>
        </w:rPr>
        <w:t xml:space="preserve"> (Şekil 9).</w:t>
      </w:r>
    </w:p>
    <w:p w:rsidR="00276E20" w:rsidRPr="00020290" w:rsidRDefault="00276E20" w:rsidP="00276E20">
      <w:pPr>
        <w:autoSpaceDE w:val="0"/>
        <w:autoSpaceDN w:val="0"/>
        <w:adjustRightInd w:val="0"/>
        <w:rPr>
          <w:szCs w:val="24"/>
        </w:rPr>
      </w:pPr>
      <w:r>
        <w:rPr>
          <w:szCs w:val="24"/>
        </w:rPr>
        <w:lastRenderedPageBreak/>
        <w:t xml:space="preserve">      </w:t>
      </w:r>
      <w:r>
        <w:rPr>
          <w:noProof/>
          <w:lang w:eastAsia="tr-TR"/>
        </w:rPr>
        <w:drawing>
          <wp:inline distT="0" distB="0" distL="0" distR="0">
            <wp:extent cx="5760720" cy="3923003"/>
            <wp:effectExtent l="0" t="0" r="0" b="1905"/>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760720" cy="3923003"/>
                    </a:xfrm>
                    <a:prstGeom prst="rect">
                      <a:avLst/>
                    </a:prstGeom>
                    <a:noFill/>
                    <a:ln w="9525">
                      <a:noFill/>
                      <a:miter lim="800000"/>
                      <a:headEnd/>
                      <a:tailEnd/>
                    </a:ln>
                  </pic:spPr>
                </pic:pic>
              </a:graphicData>
            </a:graphic>
          </wp:inline>
        </w:drawing>
      </w:r>
    </w:p>
    <w:p w:rsidR="00276E20" w:rsidRDefault="00276E20" w:rsidP="00276E20">
      <w:pPr>
        <w:autoSpaceDE w:val="0"/>
        <w:autoSpaceDN w:val="0"/>
        <w:adjustRightInd w:val="0"/>
        <w:rPr>
          <w:szCs w:val="24"/>
        </w:rPr>
      </w:pPr>
    </w:p>
    <w:p w:rsidR="00276E20" w:rsidRDefault="00842900" w:rsidP="00276E20">
      <w:pPr>
        <w:autoSpaceDE w:val="0"/>
        <w:autoSpaceDN w:val="0"/>
        <w:adjustRightInd w:val="0"/>
        <w:jc w:val="center"/>
        <w:rPr>
          <w:szCs w:val="24"/>
        </w:rPr>
      </w:pPr>
      <w:r>
        <w:rPr>
          <w:b/>
          <w:szCs w:val="24"/>
        </w:rPr>
        <w:t xml:space="preserve">Şekil </w:t>
      </w:r>
      <w:r w:rsidR="00276E20" w:rsidRPr="00802FA6">
        <w:rPr>
          <w:b/>
          <w:szCs w:val="24"/>
        </w:rPr>
        <w:t>9.</w:t>
      </w:r>
      <w:r w:rsidR="00276E20" w:rsidRPr="00020290">
        <w:rPr>
          <w:szCs w:val="24"/>
        </w:rPr>
        <w:t xml:space="preserve"> Onkogenik ve tümör baskılayıcı yolakların Warburg Etkisi’ne katkısı (Cairns ve ark, 2011’den değiştirilerek alınmıştır).</w:t>
      </w:r>
    </w:p>
    <w:p w:rsidR="00276E2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Default="00276E20" w:rsidP="000C080A">
      <w:pPr>
        <w:pStyle w:val="Balk2"/>
      </w:pPr>
      <w:r w:rsidRPr="00020290">
        <w:t>2.10</w:t>
      </w:r>
      <w:r w:rsidR="00861AA3">
        <w:t>.</w:t>
      </w:r>
      <w:r w:rsidRPr="00020290">
        <w:t xml:space="preserve"> Kanser </w:t>
      </w:r>
      <w:r>
        <w:t>Teşhis ve Prognozunda Warburg Etkisinin K</w:t>
      </w:r>
      <w:r w:rsidRPr="00020290">
        <w:t>ullanılması</w:t>
      </w:r>
    </w:p>
    <w:p w:rsidR="00276E20" w:rsidRPr="00020290" w:rsidRDefault="00276E20" w:rsidP="00276E20">
      <w:pPr>
        <w:rPr>
          <w:b/>
          <w:szCs w:val="24"/>
        </w:rPr>
      </w:pPr>
    </w:p>
    <w:p w:rsidR="00276E20" w:rsidRPr="00020290" w:rsidRDefault="00276E20" w:rsidP="00276E20">
      <w:pPr>
        <w:autoSpaceDE w:val="0"/>
        <w:autoSpaceDN w:val="0"/>
        <w:adjustRightInd w:val="0"/>
        <w:rPr>
          <w:szCs w:val="24"/>
        </w:rPr>
      </w:pPr>
      <w:r w:rsidRPr="00020290">
        <w:rPr>
          <w:szCs w:val="24"/>
        </w:rPr>
        <w:t xml:space="preserve">FDG-PET (2-deoksi-2- [18F] Floro-D-Glukoz Pozitron Emisyon Tomografisi), kanser hücrelerinin yüksek glukoz kullanımından yararlanan bir moleküler görüntüleme tekniğidir. FDG, glukoza benzer şekilde glukoz taşıyıcıları GLUT1 ve GLUT3 yoluyla kanser hücrelerine girer ve daha sonra HK ile FDG-6-fosfata fosforile edilir. G6P, pentoz fosfat yolunda 6-fosfoglukonolaktona oksidasyon veya glikolitik yoldaki F6P’a izomerizasyona tabi tutulurken, FDG-6-fosfat, C-2 konumunda bir oksijen atomunun bulunmamasından dolayı daha fazla katabolize edilemez. FDG-6-fosfat hücrelerden difüze edilememektedir ve defosforilasyon hızı yavaşça gerçekleşmektedir; bu nedenle, tuzağa düşürülür ve glukoz kullanımına orantılı bir oranda birikim gösterir. FDG alımı hem glukoz taşıyıcısı ekspresyonu hem de HK aktivitesine bağlıdır ve hücrelerde glukoz alım oranlarını değerlendirmek için </w:t>
      </w:r>
      <w:r w:rsidRPr="00020290">
        <w:rPr>
          <w:szCs w:val="24"/>
        </w:rPr>
        <w:lastRenderedPageBreak/>
        <w:t>olanak sağlar. Çevre dokulardan daha fazla glukoz alan tümörler FDG- kanser hastalarında PET ile non-invazif bir şekilde görüntülenebilir (Bensinger ve Christofk, 2012).</w:t>
      </w:r>
    </w:p>
    <w:p w:rsidR="00276E20" w:rsidRPr="00020290" w:rsidRDefault="00276E20" w:rsidP="00276E20">
      <w:pPr>
        <w:autoSpaceDE w:val="0"/>
        <w:autoSpaceDN w:val="0"/>
        <w:adjustRightInd w:val="0"/>
        <w:rPr>
          <w:szCs w:val="24"/>
        </w:rPr>
      </w:pPr>
      <w:r w:rsidRPr="00020290">
        <w:rPr>
          <w:szCs w:val="24"/>
        </w:rPr>
        <w:t xml:space="preserve">FDG-PET, 1980'lerden beri kanser hastalarında kullanılmaktadır ve şu anda onkoloji alanında kullanımı oldukça yaygındır. Çok sayıda tümör tipinde FDG-PET'in kullanımı; Warburg etkisine, bunun </w:t>
      </w:r>
      <w:proofErr w:type="gramStart"/>
      <w:r w:rsidRPr="00020290">
        <w:rPr>
          <w:szCs w:val="24"/>
        </w:rPr>
        <w:t>regülasyonu</w:t>
      </w:r>
      <w:proofErr w:type="gramEnd"/>
      <w:r w:rsidRPr="00020290">
        <w:rPr>
          <w:szCs w:val="24"/>
        </w:rPr>
        <w:t xml:space="preserve"> ve tümör biyolojisindeki rolüne ilgi gösterilmesine yol açmıştır (Bensinger ve Christofk, 2012).</w:t>
      </w:r>
    </w:p>
    <w:p w:rsidR="00276E2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Pr="00020290" w:rsidRDefault="00276E20" w:rsidP="000C080A">
      <w:pPr>
        <w:pStyle w:val="Balk2"/>
      </w:pPr>
      <w:r w:rsidRPr="00020290">
        <w:t>2.1</w:t>
      </w:r>
      <w:r w:rsidR="006F4696">
        <w:t>1</w:t>
      </w:r>
      <w:r w:rsidR="00861AA3">
        <w:t>.</w:t>
      </w:r>
      <w:r w:rsidRPr="00020290">
        <w:t xml:space="preserve"> Glukoz Taşıyıcıları </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r w:rsidRPr="00020290">
        <w:rPr>
          <w:szCs w:val="24"/>
        </w:rPr>
        <w:t xml:space="preserve">       Glukoz geniş bir metabolik ara ürün yelpazesi için bir öncü olarak hizmet eder ve çeşitli hücresel yollarda bir sinyal molekülü olarak işlev görür. Glukozun çok yönlü biyolojik işlevini yerine getirmesi için hücreye girmesi ön koşuldur. Yüksek derecede suda çözünebilen bu heksoz, hidrofobik lipid çift tabakasını geçmenin yollarını bulmak zorundadır (Yan, 2017). Plazma membranından glukoz alımı glukoz metabolizması için hız sınırlayıcı olarak kabul edilir (Barron ve ark, 2016). Glukozun hücreye taşınmasına aracılık eden membran ilişkili taşıyıcıların iki ailesi bulunur. Bunlar; kolaylaştırıcı glukoz taşıyıcı proteinler ve sodyum bağlı glukoz ko-transporter (SGLT) proteinleridir (Karim ve ark, 2012; Barron ve ark, 2016). Glukoz taşımak için enerji gerektiren SGLT proteinlerinden farklı olarak GLUT’lar şekerleri bir </w:t>
      </w:r>
      <w:proofErr w:type="gramStart"/>
      <w:r w:rsidRPr="00020290">
        <w:rPr>
          <w:szCs w:val="24"/>
        </w:rPr>
        <w:t>konsantrasyon</w:t>
      </w:r>
      <w:proofErr w:type="gramEnd"/>
      <w:r w:rsidRPr="00020290">
        <w:rPr>
          <w:szCs w:val="24"/>
        </w:rPr>
        <w:t xml:space="preserve"> gradientine göre taşırlar  (Barron ve ark, 2016). </w:t>
      </w:r>
    </w:p>
    <w:p w:rsidR="00276E20" w:rsidRPr="00020290" w:rsidRDefault="00276E20" w:rsidP="00276E20">
      <w:pPr>
        <w:autoSpaceDE w:val="0"/>
        <w:autoSpaceDN w:val="0"/>
        <w:adjustRightInd w:val="0"/>
        <w:ind w:firstLine="708"/>
        <w:rPr>
          <w:szCs w:val="24"/>
        </w:rPr>
      </w:pPr>
      <w:r w:rsidRPr="00020290">
        <w:rPr>
          <w:szCs w:val="24"/>
        </w:rPr>
        <w:t xml:space="preserve">GLUT’lar yaklaşık 500 aminoasitlik proteinlerdir ve 12 transmembran yayılımlı α- helikslere ve tek bir N-bağlı oligosakkarite sahip oldukları bilinir (Szablewski, 2013). GLUT’lar uzun ekstrasellüler loop pozisyonunda farklılık gösteren 3 gruba ayrılabilirler. Sınıf I ve II proteinlerinde N-bağlı bir glikozilasyon bölgesi içeren bu loop, transmembran alanları 1 ve 2 arasında bulunurken sınıf III proteinlerinde 9 ve 10 alanları arasındadır (Joost ve ark, 2001; Barron ve ark, 2016) (Şekil </w:t>
      </w:r>
      <w:r w:rsidR="00C34D58">
        <w:rPr>
          <w:szCs w:val="24"/>
        </w:rPr>
        <w:t>10</w:t>
      </w:r>
      <w:r w:rsidRPr="00020290">
        <w:rPr>
          <w:szCs w:val="24"/>
        </w:rPr>
        <w:t xml:space="preserve">). Sınıf I’de GLUT </w:t>
      </w:r>
      <w:proofErr w:type="gramStart"/>
      <w:r w:rsidRPr="00020290">
        <w:rPr>
          <w:szCs w:val="24"/>
        </w:rPr>
        <w:t>1/2/3/4/14</w:t>
      </w:r>
      <w:proofErr w:type="gramEnd"/>
      <w:r w:rsidRPr="00020290">
        <w:rPr>
          <w:szCs w:val="24"/>
        </w:rPr>
        <w:t xml:space="preserve">, sınıf II’de GLUT5/7/9/11 ve sınıf III’de GLUT6/8/10/12/13 olmak üzere insanlarda farklı substrat spesifiklikleri ve doku ekspresyonları gösteren 14 tane GLUT proteini tanımlanmıştır. Bu proteinler glukozun yanı sıra fruktoz, galaktoz, mannoz, glukozamin, ksiloz, dihidroksiaskorbik asit, ürat ve değişken afinitelere sahip miyoinositol gibi molekülleri de taşırlar (Barron ve ark, 2016). </w:t>
      </w:r>
    </w:p>
    <w:p w:rsidR="00276E20" w:rsidRPr="00020290" w:rsidRDefault="00276E20" w:rsidP="00276E20">
      <w:pPr>
        <w:autoSpaceDE w:val="0"/>
        <w:autoSpaceDN w:val="0"/>
        <w:adjustRightInd w:val="0"/>
        <w:rPr>
          <w:szCs w:val="24"/>
        </w:rPr>
      </w:pPr>
      <w:r w:rsidRPr="00020290">
        <w:rPr>
          <w:szCs w:val="24"/>
        </w:rPr>
        <w:lastRenderedPageBreak/>
        <w:t xml:space="preserve">     </w:t>
      </w:r>
      <w:r w:rsidRPr="00020290">
        <w:rPr>
          <w:noProof/>
          <w:szCs w:val="24"/>
          <w:lang w:eastAsia="tr-TR"/>
        </w:rPr>
        <w:drawing>
          <wp:inline distT="0" distB="0" distL="0" distR="0">
            <wp:extent cx="5760085" cy="1675270"/>
            <wp:effectExtent l="95250" t="95250" r="88265" b="965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60085" cy="1675270"/>
                    </a:xfrm>
                    <a:prstGeom prst="rect">
                      <a:avLst/>
                    </a:prstGeom>
                    <a:ln w="88900" cap="sq" cmpd="thickThin">
                      <a:solidFill>
                        <a:schemeClr val="bg1"/>
                      </a:solidFill>
                      <a:prstDash val="solid"/>
                      <a:miter lim="800000"/>
                    </a:ln>
                    <a:effectLst/>
                  </pic:spPr>
                </pic:pic>
              </a:graphicData>
            </a:graphic>
          </wp:inline>
        </w:drawing>
      </w:r>
    </w:p>
    <w:p w:rsidR="00276E20" w:rsidRPr="00020290" w:rsidRDefault="00276E20" w:rsidP="00276E20">
      <w:pPr>
        <w:autoSpaceDE w:val="0"/>
        <w:autoSpaceDN w:val="0"/>
        <w:adjustRightInd w:val="0"/>
        <w:jc w:val="center"/>
        <w:rPr>
          <w:szCs w:val="24"/>
        </w:rPr>
      </w:pPr>
      <w:proofErr w:type="gramStart"/>
      <w:r w:rsidRPr="00802FA6">
        <w:rPr>
          <w:b/>
          <w:szCs w:val="24"/>
        </w:rPr>
        <w:t>Şekil</w:t>
      </w:r>
      <w:r w:rsidR="00802FA6">
        <w:rPr>
          <w:b/>
          <w:szCs w:val="24"/>
        </w:rPr>
        <w:t xml:space="preserve">  </w:t>
      </w:r>
      <w:r w:rsidRPr="00802FA6">
        <w:rPr>
          <w:b/>
          <w:szCs w:val="24"/>
        </w:rPr>
        <w:t>10</w:t>
      </w:r>
      <w:proofErr w:type="gramEnd"/>
      <w:r w:rsidRPr="00802FA6">
        <w:rPr>
          <w:b/>
          <w:szCs w:val="24"/>
        </w:rPr>
        <w:t>.</w:t>
      </w:r>
      <w:r w:rsidRPr="00020290">
        <w:rPr>
          <w:szCs w:val="24"/>
        </w:rPr>
        <w:t xml:space="preserve"> Farklı sınıf  (I, II ve III)  GLUT’ların iki boyutlu modelleri (Barron ve ark, 2016’dan değiştirilerek alınmıştır).</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ind w:firstLine="708"/>
        <w:rPr>
          <w:szCs w:val="24"/>
        </w:rPr>
      </w:pPr>
      <w:r w:rsidRPr="00020290">
        <w:rPr>
          <w:szCs w:val="24"/>
        </w:rPr>
        <w:t>GLUT1 (insan SLC2A1:1p34.2) balık, tavuk, inek, sıçan, fare arasında %74-98 sekans özdeşliği gösteren yüksek oranda korunmuş bir izoformdur (Zhao ve Keating, 2007). Bu taşıyıcı, glukoza karşı yüksek bir afiniteye sahiptir (Km:3 mmol/L) ve ayrıca galaktoz, mannoz, glukozamin, DHA’yı da taşı</w:t>
      </w:r>
      <w:r>
        <w:rPr>
          <w:szCs w:val="24"/>
        </w:rPr>
        <w:t>yabilir (Barron ve ark, 2016</w:t>
      </w:r>
      <w:r w:rsidRPr="00020290">
        <w:rPr>
          <w:szCs w:val="24"/>
        </w:rPr>
        <w:t>). GLUT1 bazal glukoz alımından sorumludur ve normal koşullarda tüm dokularda eksprese edilir. Total membran proteininin %3-5’ini oluşturan eritrositlerdeki yüksek ekspresyonundan dolayı "eritrosit tipi Glukoz Taşıyıcı" olarak adlandırılır (Zhao ve Keating, 2007). Beyin, göz, periferik sinir, plesanta ve emziren meme bezindeki kan doku bariyerlerindeki endotel ve epitelyal hücrelerde de GLUT1’in yüksek seviyeleri bulunabilir (</w:t>
      </w:r>
      <w:r w:rsidR="00DD618D" w:rsidRPr="00020290">
        <w:rPr>
          <w:szCs w:val="24"/>
        </w:rPr>
        <w:t>Takata ve ark, 1990</w:t>
      </w:r>
      <w:r w:rsidR="00DD618D">
        <w:rPr>
          <w:szCs w:val="24"/>
        </w:rPr>
        <w:t xml:space="preserve">; </w:t>
      </w:r>
      <w:r w:rsidRPr="00020290">
        <w:rPr>
          <w:szCs w:val="24"/>
        </w:rPr>
        <w:t>Joost ve a</w:t>
      </w:r>
      <w:r w:rsidR="00DD618D">
        <w:rPr>
          <w:szCs w:val="24"/>
        </w:rPr>
        <w:t>rk, 2001; Zhao ve Keating, 2007</w:t>
      </w:r>
      <w:r w:rsidRPr="00020290">
        <w:rPr>
          <w:szCs w:val="24"/>
        </w:rPr>
        <w:t xml:space="preserve">). </w:t>
      </w:r>
    </w:p>
    <w:p w:rsidR="00276E20" w:rsidRPr="00020290" w:rsidRDefault="00276E20" w:rsidP="00276E20">
      <w:pPr>
        <w:autoSpaceDE w:val="0"/>
        <w:autoSpaceDN w:val="0"/>
        <w:adjustRightInd w:val="0"/>
        <w:ind w:firstLine="708"/>
        <w:rPr>
          <w:szCs w:val="24"/>
        </w:rPr>
      </w:pPr>
      <w:r w:rsidRPr="00020290">
        <w:rPr>
          <w:szCs w:val="24"/>
        </w:rPr>
        <w:t xml:space="preserve">GLUT1 ve GLUT3 farklı tipteki solid tümörlerde Warburg etkisine bağlı olarak önemli ölçüde arttırılan glukoz talebi sonucu aşırı eksprese edilir (Yan, 2017). Özellikle GLUT1 insanlarda en yaygın glukoz taşıyıcısıdır ve hepatik, pankreas, göğüs, yemek borusu, beyin, böbrek, akciğer, deri, kolorektal, endometriyal, yumurtalık ve servikal kanserler </w:t>
      </w:r>
      <w:proofErr w:type="gramStart"/>
      <w:r w:rsidRPr="00020290">
        <w:rPr>
          <w:szCs w:val="24"/>
        </w:rPr>
        <w:t>dahil</w:t>
      </w:r>
      <w:proofErr w:type="gramEnd"/>
      <w:r w:rsidRPr="00020290">
        <w:rPr>
          <w:szCs w:val="24"/>
        </w:rPr>
        <w:t xml:space="preserve"> olmak üzere birçok tümörde aşırı eksprese olduğu gözlenmiştir (Medina ve Owen, 2002). Artan GLUT mRNA’sı ve GLUT miktarı seviyeleri çeşitli orijinli insan kanser hücrelerinin ekstraktlarında bulunmuştur ve GLUT1 ekspresyon seviyesinin hipoksi ile glukoz metabolizmasının uygun bir belirteci olabileceği tespit edilmiştir (Yamamoto ve ark, 1990; Brown ve Wahl, 1993).</w:t>
      </w:r>
    </w:p>
    <w:p w:rsidR="00276E20" w:rsidRPr="00020290" w:rsidRDefault="00276E20" w:rsidP="00276E20">
      <w:pPr>
        <w:autoSpaceDE w:val="0"/>
        <w:autoSpaceDN w:val="0"/>
        <w:adjustRightInd w:val="0"/>
        <w:ind w:firstLine="708"/>
        <w:rPr>
          <w:szCs w:val="24"/>
        </w:rPr>
      </w:pPr>
      <w:r w:rsidRPr="00020290">
        <w:rPr>
          <w:szCs w:val="24"/>
        </w:rPr>
        <w:t>GLUT1 geni transkripsiyonunun HIF-1, c-</w:t>
      </w:r>
      <w:proofErr w:type="gramStart"/>
      <w:r w:rsidRPr="00020290">
        <w:rPr>
          <w:szCs w:val="24"/>
        </w:rPr>
        <w:t>MYC,</w:t>
      </w:r>
      <w:proofErr w:type="gramEnd"/>
      <w:r w:rsidRPr="00020290">
        <w:rPr>
          <w:szCs w:val="24"/>
        </w:rPr>
        <w:t xml:space="preserve"> ve serin/treonin kinaz Akt</w:t>
      </w:r>
      <w:r w:rsidR="00C94984">
        <w:rPr>
          <w:szCs w:val="24"/>
        </w:rPr>
        <w:t xml:space="preserve"> (</w:t>
      </w:r>
      <w:r w:rsidRPr="00020290">
        <w:rPr>
          <w:szCs w:val="24"/>
        </w:rPr>
        <w:t xml:space="preserve">PKB) ile kontrol altında olduğu gösterilmiştir (Herling ve ark, 2011). HIF-1’in glukoz taşıyıcılarını kodlayan bir dizi genin ve glikolitik enzimlerin transkripsiyonunu aktive ederek Warburg </w:t>
      </w:r>
      <w:r w:rsidRPr="00020290">
        <w:rPr>
          <w:szCs w:val="24"/>
        </w:rPr>
        <w:lastRenderedPageBreak/>
        <w:t>etkisine katkıda bulunduğu ve kanser metabolizmasının yeniden programlanmasında önemli bir rol oynadığı bilinmektedir (Chen ve Russo, 2012). Bazı çalışmalar hipoksinin HIF-1α yoluyla yüksek bir GLUT-1 ekspresyon seviyesini indüklediğini göstermiştir (Hayashi ve ark, 2004; Mobasheri ve ark, 2005; Baumann ve ark, 2007</w:t>
      </w:r>
      <w:r w:rsidR="00DD618D">
        <w:rPr>
          <w:szCs w:val="24"/>
        </w:rPr>
        <w:t xml:space="preserve">; </w:t>
      </w:r>
      <w:r w:rsidR="00DD618D" w:rsidRPr="00020290">
        <w:rPr>
          <w:szCs w:val="24"/>
        </w:rPr>
        <w:t>Ren ve ark, 2008</w:t>
      </w:r>
      <w:r w:rsidRPr="00020290">
        <w:rPr>
          <w:szCs w:val="24"/>
        </w:rPr>
        <w:t>).  Ren ve arkadaşları, hipoksinin kondrositlerde HIF-1α yoluyla GLUT-1 ve GLUT-3 ekspresyon düzeylerini arttırdığını belirlemiştir (Ren ve ark, 2008). Benzer şekilde BeWo korikarsinoma hücrelerinde ve trofoblast kaynaklı hücrelerde GLUT-1 ekspresyonunun indüksiyonunun HIF-1α yoluyla olduğu bulunmuştur (Hayashi ve ark, 2004</w:t>
      </w:r>
      <w:r w:rsidR="00DD618D">
        <w:rPr>
          <w:szCs w:val="24"/>
        </w:rPr>
        <w:t xml:space="preserve">; </w:t>
      </w:r>
      <w:r w:rsidR="00DD618D" w:rsidRPr="00020290">
        <w:rPr>
          <w:szCs w:val="24"/>
        </w:rPr>
        <w:t>Baumann ve ark, 2007</w:t>
      </w:r>
      <w:r w:rsidRPr="00020290">
        <w:rPr>
          <w:szCs w:val="24"/>
        </w:rPr>
        <w:t xml:space="preserve">). Son zamanlarda, GLUT1 ve HIF-1’in artan ekspresyonunun akut miyeloid lösemide kemoterapiye dirençle ilişkili olduğu ve her iki genin downregülasyonunun iyileşme yanıtıyla </w:t>
      </w:r>
      <w:proofErr w:type="gramStart"/>
      <w:r w:rsidRPr="00020290">
        <w:rPr>
          <w:szCs w:val="24"/>
        </w:rPr>
        <w:t>korelasyon</w:t>
      </w:r>
      <w:proofErr w:type="gramEnd"/>
      <w:r w:rsidRPr="00020290">
        <w:rPr>
          <w:szCs w:val="24"/>
        </w:rPr>
        <w:t xml:space="preserve"> gösterdiği belirlenmiştir (Song ve ark, 2014). </w:t>
      </w:r>
    </w:p>
    <w:p w:rsidR="00276E2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Default="00276E20" w:rsidP="000C080A">
      <w:pPr>
        <w:pStyle w:val="Balk2"/>
      </w:pPr>
      <w:r w:rsidRPr="00020290">
        <w:t>2.1</w:t>
      </w:r>
      <w:r w:rsidR="006F4696">
        <w:t>2</w:t>
      </w:r>
      <w:r w:rsidR="00861AA3">
        <w:t>.</w:t>
      </w:r>
      <w:r w:rsidRPr="00020290">
        <w:t xml:space="preserve"> Glikolizin Kontrolünde Rol Oynayan Bazı Metabolik Enzimler</w:t>
      </w:r>
    </w:p>
    <w:p w:rsidR="00276E20" w:rsidRPr="00020290" w:rsidRDefault="00276E20" w:rsidP="000C080A">
      <w:pPr>
        <w:pStyle w:val="Balk2"/>
      </w:pPr>
    </w:p>
    <w:p w:rsidR="00276E20" w:rsidRDefault="00276E20" w:rsidP="000C080A">
      <w:pPr>
        <w:pStyle w:val="Balk2"/>
      </w:pPr>
      <w:r w:rsidRPr="00020290">
        <w:t>2.1</w:t>
      </w:r>
      <w:r w:rsidR="006F4696">
        <w:t>2</w:t>
      </w:r>
      <w:r w:rsidRPr="00020290">
        <w:t>.1</w:t>
      </w:r>
      <w:r w:rsidR="00861AA3">
        <w:t>.</w:t>
      </w:r>
      <w:r w:rsidRPr="00020290">
        <w:t xml:space="preserve"> Hekzokinaz-</w:t>
      </w:r>
      <w:r w:rsidR="009D7747">
        <w:t>2</w:t>
      </w:r>
      <w:r w:rsidRPr="00020290">
        <w:t xml:space="preserve"> (HK</w:t>
      </w:r>
      <w:r w:rsidR="009D7747">
        <w:t>2</w:t>
      </w:r>
      <w:r w:rsidRPr="00020290">
        <w:t>)</w:t>
      </w:r>
    </w:p>
    <w:p w:rsidR="00276E20" w:rsidRPr="00020290" w:rsidRDefault="00276E20" w:rsidP="00276E20">
      <w:pPr>
        <w:rPr>
          <w:b/>
          <w:szCs w:val="24"/>
        </w:rPr>
      </w:pPr>
    </w:p>
    <w:p w:rsidR="00276E20" w:rsidRPr="00020290" w:rsidRDefault="00276E20" w:rsidP="00276E20">
      <w:pPr>
        <w:autoSpaceDE w:val="0"/>
        <w:autoSpaceDN w:val="0"/>
        <w:adjustRightInd w:val="0"/>
        <w:ind w:firstLine="708"/>
        <w:rPr>
          <w:szCs w:val="24"/>
        </w:rPr>
      </w:pPr>
      <w:r w:rsidRPr="00020290">
        <w:rPr>
          <w:szCs w:val="24"/>
        </w:rPr>
        <w:t>Hekzokinaz, glukozun ATP’den fosfat transferi yoluyla G6P’a fosforile edildiği glikolitik yolun esas olarak geri döndürülemez ilk adımını katalizleyen bir enzimdir (Mathupula ve ark, 2009). Oluşan ürün G6P, şekerin glikolitik yola, PPP’a veya glikojen sentezine girişi için bir başlangıç noktasıdır (Gill ve ark, 2016). HKII</w:t>
      </w:r>
      <w:r w:rsidR="00D8143F">
        <w:rPr>
          <w:szCs w:val="24"/>
        </w:rPr>
        <w:t xml:space="preserve"> (HK2)</w:t>
      </w:r>
      <w:r w:rsidRPr="00020290">
        <w:rPr>
          <w:szCs w:val="24"/>
        </w:rPr>
        <w:t xml:space="preserve">, glukoz alımı ve hücresel metabolizma içindeki bu ilk kararlı adımı katalizleyerek glukozun metabolik akışını, nihayetinde hücresel metabolizma </w:t>
      </w:r>
      <w:r w:rsidR="002611B8">
        <w:rPr>
          <w:szCs w:val="24"/>
        </w:rPr>
        <w:t>ile</w:t>
      </w:r>
      <w:r w:rsidRPr="00020290">
        <w:rPr>
          <w:szCs w:val="24"/>
        </w:rPr>
        <w:t xml:space="preserve"> büyümeyi başlatır ve kontrol eder (Ho ve Choomber, 2016). HKI, HKII</w:t>
      </w:r>
      <w:r w:rsidR="00D8143F">
        <w:rPr>
          <w:szCs w:val="24"/>
        </w:rPr>
        <w:t xml:space="preserve">, </w:t>
      </w:r>
      <w:r w:rsidRPr="00020290">
        <w:rPr>
          <w:szCs w:val="24"/>
        </w:rPr>
        <w:t>HKIII ve HKIV veya A, B,C ve D olarak adlandırılan 4 önemli memeli HK izoenzimi vardır. Subsellüler lokasyonlarda ve kinetiklerde farklı substratlar ve koşullara, fizyolojik fonksiyonlara göre değişiklik</w:t>
      </w:r>
      <w:r w:rsidR="00261428">
        <w:rPr>
          <w:szCs w:val="24"/>
        </w:rPr>
        <w:t xml:space="preserve"> gösterirler (</w:t>
      </w:r>
      <w:r w:rsidR="00261428" w:rsidRPr="00020290">
        <w:rPr>
          <w:szCs w:val="24"/>
        </w:rPr>
        <w:t>Chen ve Russo, 2012</w:t>
      </w:r>
      <w:r w:rsidR="00261428">
        <w:rPr>
          <w:szCs w:val="24"/>
        </w:rPr>
        <w:t>; Gill ve ark, 2016</w:t>
      </w:r>
      <w:r w:rsidRPr="00020290">
        <w:rPr>
          <w:szCs w:val="24"/>
        </w:rPr>
        <w:t xml:space="preserve">). HKI, hemen hemen tüm memeli dokularında bulunur ve çoğu fizyolojik, hormonal ve metabolik değişikliklerden etkilenmeyen </w:t>
      </w:r>
      <m:oMath>
        <m:r>
          <m:rPr>
            <m:sty m:val="p"/>
          </m:rPr>
          <w:rPr>
            <w:rFonts w:ascii="Cambria Math" w:hAnsi="Cambria Math"/>
            <w:szCs w:val="24"/>
          </w:rPr>
          <m:t>"temizlik enzimi"</m:t>
        </m:r>
      </m:oMath>
      <w:r w:rsidRPr="00020290">
        <w:rPr>
          <w:szCs w:val="24"/>
        </w:rPr>
        <w:t xml:space="preserve"> olarak </w:t>
      </w:r>
      <w:r w:rsidR="00DD618D">
        <w:rPr>
          <w:szCs w:val="24"/>
        </w:rPr>
        <w:t>kabul edilir (</w:t>
      </w:r>
      <w:r w:rsidR="00DD618D" w:rsidRPr="00020290">
        <w:rPr>
          <w:szCs w:val="24"/>
        </w:rPr>
        <w:t>Chen ve Russo, 2012</w:t>
      </w:r>
      <w:r w:rsidR="00DD618D">
        <w:rPr>
          <w:szCs w:val="24"/>
        </w:rPr>
        <w:t>; Wang ve ark, 2014</w:t>
      </w:r>
      <w:r w:rsidRPr="00020290">
        <w:rPr>
          <w:szCs w:val="24"/>
        </w:rPr>
        <w:t>). HKII</w:t>
      </w:r>
      <w:r w:rsidR="00D8143F">
        <w:rPr>
          <w:szCs w:val="24"/>
        </w:rPr>
        <w:t xml:space="preserve"> </w:t>
      </w:r>
      <w:r w:rsidRPr="00020290">
        <w:rPr>
          <w:szCs w:val="24"/>
        </w:rPr>
        <w:t xml:space="preserve">adipoz, iskelet ve kalp kasları gibi insüline duyarlı dokularda eksprese edilirken, HKIII bu dokularda genellikle daha düşük seviyede eksprese edilir ve HKIV ekspresyonu ise pankreas ve karaciğer ile sınırlıdır (Wang ve ark, 2014). Memeli HKIV (ayrıca glukokinaz olarak da bilinir), kinetik ve fonksiyonel olarak diğer HK’lardan farklıdır. HKIV, eğer bir substratın </w:t>
      </w:r>
      <w:proofErr w:type="gramStart"/>
      <w:r w:rsidRPr="00020290">
        <w:rPr>
          <w:szCs w:val="24"/>
        </w:rPr>
        <w:t>konsantrasyonu</w:t>
      </w:r>
      <w:proofErr w:type="gramEnd"/>
      <w:r w:rsidRPr="00020290">
        <w:rPr>
          <w:szCs w:val="24"/>
        </w:rPr>
        <w:t xml:space="preserve"> yeterince yüksek ise glukozu </w:t>
      </w:r>
      <w:r w:rsidRPr="00020290">
        <w:rPr>
          <w:szCs w:val="24"/>
        </w:rPr>
        <w:lastRenderedPageBreak/>
        <w:t>öncelikle fosforile edebilir çünkü glukoz için Km değeri diğer üç HK’dan 100 kat daha fazladır (Chen ve Russo, 2012).</w:t>
      </w:r>
    </w:p>
    <w:p w:rsidR="00276E20" w:rsidRPr="00020290" w:rsidRDefault="00276E20" w:rsidP="00276E20">
      <w:pPr>
        <w:autoSpaceDE w:val="0"/>
        <w:autoSpaceDN w:val="0"/>
        <w:adjustRightInd w:val="0"/>
        <w:ind w:firstLine="708"/>
        <w:rPr>
          <w:szCs w:val="24"/>
        </w:rPr>
      </w:pPr>
      <w:r w:rsidRPr="00020290">
        <w:rPr>
          <w:szCs w:val="24"/>
        </w:rPr>
        <w:t>HK’lar arasında HKII, tümör hücrelerinde mitokondriyal dış zara bağlı bulunan en baskın izoformdur (</w:t>
      </w:r>
      <w:r w:rsidR="00261428" w:rsidRPr="00020290">
        <w:rPr>
          <w:szCs w:val="24"/>
        </w:rPr>
        <w:t>Mathupula ve ark, 2009</w:t>
      </w:r>
      <w:r w:rsidR="00261428">
        <w:rPr>
          <w:szCs w:val="24"/>
        </w:rPr>
        <w:t xml:space="preserve">; </w:t>
      </w:r>
      <w:r w:rsidRPr="00020290">
        <w:rPr>
          <w:szCs w:val="24"/>
        </w:rPr>
        <w:t xml:space="preserve">Chen </w:t>
      </w:r>
      <w:r w:rsidR="00261428">
        <w:rPr>
          <w:szCs w:val="24"/>
        </w:rPr>
        <w:t>ve Russo, 2012</w:t>
      </w:r>
      <w:r w:rsidRPr="00020290">
        <w:rPr>
          <w:szCs w:val="24"/>
        </w:rPr>
        <w:t xml:space="preserve">). Bu enzimin konumu, onun glukozu fosforile etmek için yeni sentezlenmiş ATP’ye erişimini ve ürün inhibisyonuna direnç göstermesini sağlar (Mathupula ve ark, 2009). Ayrıca onun enzimatik ürünü G6P, sadece glikolizise bir prekürsör olarak hizmet etmekle kalmaz aynı zamanda ATP üretimi, nükleik asit, yağ asidi biyosentezi ve NADPH üretimine yol açan diğer önemli biyolojik yolları da besler (Ho ve Choomber, 2016). </w:t>
      </w:r>
    </w:p>
    <w:p w:rsidR="00276E20" w:rsidRPr="00020290" w:rsidRDefault="00276E20" w:rsidP="00276E20">
      <w:pPr>
        <w:autoSpaceDE w:val="0"/>
        <w:autoSpaceDN w:val="0"/>
        <w:adjustRightInd w:val="0"/>
        <w:ind w:firstLine="708"/>
        <w:rPr>
          <w:szCs w:val="24"/>
        </w:rPr>
      </w:pPr>
      <w:r w:rsidRPr="00020290">
        <w:rPr>
          <w:szCs w:val="24"/>
        </w:rPr>
        <w:t>HK II, birçok kanser türünün sergilediği Warburg fenotipinin gelişiminde önemli bir rol oynamaktadır (Gill ve ark, 2016). Bazı tümör dokularında HK II’nin aşırı ekspresyonu görülmekte ve kötü prognoz ile ilişkilendirilmektedir (Wang ve ark, 2014, Gill ve ark, 2016). HKII’nin yumurtalık, karaciğer, kolon gibi birçok kanser hücresinde ileri ekspresyonu bildirilmiştir (Thamrongwaranggoon ve ark, 201</w:t>
      </w:r>
      <w:r w:rsidR="00F8005E">
        <w:rPr>
          <w:szCs w:val="24"/>
        </w:rPr>
        <w:t>8</w:t>
      </w:r>
      <w:r w:rsidRPr="00020290">
        <w:rPr>
          <w:szCs w:val="24"/>
        </w:rPr>
        <w:t xml:space="preserve">). HKII; meme kanseri, akciğer karsinoması, hepatoselüler karsinom, mide kanseri gibi çeşitli kanserlerde yüksek oranda eksprese edilir ve hızla büyüyen tümörlerin yüksek glikoliz oranlarını koruyarak tümör büyümesini desteklemeye yardımcı olur (Liu ve ark, 2018). Yapılan çalışmalar, hekzokinazların sadece glikolize değil aynı zamanda kanser hücrelerinin çoğalmasına ve metastazına da katkıda bulunduğunu göstermiştir (Zhang ve ark, 2016). </w:t>
      </w:r>
    </w:p>
    <w:p w:rsidR="00276E20" w:rsidRPr="00020290" w:rsidRDefault="00276E20" w:rsidP="00276E20">
      <w:pPr>
        <w:autoSpaceDE w:val="0"/>
        <w:autoSpaceDN w:val="0"/>
        <w:adjustRightInd w:val="0"/>
        <w:ind w:firstLine="708"/>
        <w:rPr>
          <w:szCs w:val="24"/>
        </w:rPr>
      </w:pPr>
      <w:r w:rsidRPr="00020290">
        <w:rPr>
          <w:szCs w:val="24"/>
        </w:rPr>
        <w:t>Kanser hücrelerinde veya solid tümörlerde oksijene sınırlı erişimin olduğu koşullar altında, HKII mRNA ve protein seviyesi önemli ölçüde artar (Nowak ve ark, 2018). Bazı durumlarda, HKII ekspre</w:t>
      </w:r>
      <w:r>
        <w:rPr>
          <w:szCs w:val="24"/>
        </w:rPr>
        <w:t>s</w:t>
      </w:r>
      <w:r w:rsidRPr="00020290">
        <w:rPr>
          <w:szCs w:val="24"/>
        </w:rPr>
        <w:t xml:space="preserve">yonu 10 kat artış gösterir. Bu, daha sonra glikolitik yol kullanımının artışına ve ardından GLUT1 tarafından artan glukoz alımına neden olur (Yasuda ve ark, 2004; Natsuizaka ve ark, 2007). Oksijen yoksunluğunun, HKII'yi transaktive etmek amacıyla c-Myc'ye bağlanan HIF-1'in aktivasyonu ile sonuçlandığı gösterilmiştir (Nowak ve ark, 2018). Glikolitik ve PPP yolaklarıyla hücresel büyümeyi ve çoğalmayı desteklemesinin yanı sıra artan HK-mitokondriyal etkileşimlerinin, apoptozis ile ilgili sinyal olaylarının modülasyonu yoluyla kanser sağkalımını arttırmada da çok önemli olduğu bilinmektedir (Mathupula ve ark, 2009).  HK II’ler fosforile glukozun yeni sentezlenen ATP’ye ulaşımını kolaylaştırmak adına dış mitokondriyal membranda bulunan voltaj bağlı anyon kanallarına (VDAC) bağlanabilmektedir (Lincet ve Icard, 2015). Plazma zarına glukoz taşıyıcıları tarafından getirilen glukoz, dış mitokondriyal zar üzerinde bulunan VDAC'a bağlı HKII ile hızla fosforile edilir. VDAC, ATP'nin VDAC'ye bağlı HKII'ye doğrudan erişimini kolaylaştırarak, iç mitokondri zarında ATP Sentazom </w:t>
      </w:r>
      <w:proofErr w:type="gramStart"/>
      <w:r w:rsidRPr="00020290">
        <w:rPr>
          <w:szCs w:val="24"/>
        </w:rPr>
        <w:t>kompleksi</w:t>
      </w:r>
      <w:proofErr w:type="gramEnd"/>
      <w:r w:rsidRPr="00020290">
        <w:rPr>
          <w:szCs w:val="24"/>
        </w:rPr>
        <w:t xml:space="preserve"> (ATP sentaz; adenin nükleotit translokatör, </w:t>
      </w:r>
      <w:r w:rsidRPr="00020290">
        <w:rPr>
          <w:szCs w:val="24"/>
        </w:rPr>
        <w:lastRenderedPageBreak/>
        <w:t>ANT; inorganik fosfat taşıyıcı, PiC) tarafından oluşturulan ATP kanallarına bağlanır (Mathupula ve ark, 2009). Bu VDAC-HK etkileşimi ile tümör hücrelerinin yeterli glukozu saptamasını sağlamak adına G6P’nın negatif feedback inhibisyo</w:t>
      </w:r>
      <w:r w:rsidR="000421CA">
        <w:rPr>
          <w:szCs w:val="24"/>
        </w:rPr>
        <w:t>nu önlenir (Gill ve ark, 2016)</w:t>
      </w:r>
      <w:r w:rsidRPr="00020290">
        <w:rPr>
          <w:szCs w:val="24"/>
        </w:rPr>
        <w:t xml:space="preserve"> (Şekil </w:t>
      </w:r>
      <w:r w:rsidR="00C34D58">
        <w:rPr>
          <w:szCs w:val="24"/>
        </w:rPr>
        <w:t>11</w:t>
      </w:r>
      <w:r w:rsidRPr="00020290">
        <w:rPr>
          <w:szCs w:val="24"/>
        </w:rPr>
        <w:t xml:space="preserve">). Akt, mitokondriyal HKII ilişkisini uyarırken reaksiyon ürünü G6P’ın yüksek hücresel </w:t>
      </w:r>
      <w:proofErr w:type="gramStart"/>
      <w:r w:rsidRPr="00020290">
        <w:rPr>
          <w:szCs w:val="24"/>
        </w:rPr>
        <w:t>konsantrasyonları</w:t>
      </w:r>
      <w:proofErr w:type="gramEnd"/>
      <w:r w:rsidRPr="00020290">
        <w:rPr>
          <w:szCs w:val="24"/>
        </w:rPr>
        <w:t xml:space="preserve"> enzimin VDAC’tan ayrılmasıyla sonuçlanan konformasyonel bir değişikliğe neden olur (Herling ve ark, 2011). Dahası, HKII’nin VDAC’ye bağlanmasının pro-apoptotik protein BAX’ın dış mitokondriyal membrana taşınmasını engelleyerek anti-apoptotik bir durum sergilediği düşünülmektedir. Bu durum, mitokondriyal geçirgen gözeneklerin oluşumunu ve dolayısıyla hücre yıkımına yol açan proteolitik kaskadın aktivasyonunda bir başlangıç olayı olan sitokrom c </w:t>
      </w:r>
      <w:proofErr w:type="gramStart"/>
      <w:r w:rsidRPr="00020290">
        <w:rPr>
          <w:szCs w:val="24"/>
        </w:rPr>
        <w:t xml:space="preserve">ve </w:t>
      </w:r>
      <w:r w:rsidR="00254DC4">
        <w:rPr>
          <w:b/>
          <w:bCs/>
          <w:sz w:val="23"/>
          <w:szCs w:val="23"/>
        </w:rPr>
        <w:t xml:space="preserve"> </w:t>
      </w:r>
      <w:r w:rsidR="00254DC4">
        <w:rPr>
          <w:sz w:val="23"/>
          <w:szCs w:val="23"/>
        </w:rPr>
        <w:t>apoptotik</w:t>
      </w:r>
      <w:proofErr w:type="gramEnd"/>
      <w:r w:rsidR="00254DC4">
        <w:rPr>
          <w:sz w:val="23"/>
          <w:szCs w:val="23"/>
        </w:rPr>
        <w:t xml:space="preserve"> proteaz aktifleştirici faktör-1 (</w:t>
      </w:r>
      <w:r w:rsidRPr="00020290">
        <w:rPr>
          <w:szCs w:val="24"/>
        </w:rPr>
        <w:t>APAF-1</w:t>
      </w:r>
      <w:r w:rsidR="00254DC4">
        <w:rPr>
          <w:szCs w:val="24"/>
        </w:rPr>
        <w:t>)</w:t>
      </w:r>
      <w:r w:rsidRPr="00020290">
        <w:rPr>
          <w:szCs w:val="24"/>
        </w:rPr>
        <w:t xml:space="preserve">’in mitokondriyal salınımını önler (Herling ve ark, 2011, Ho ve Choomber, 2016). </w:t>
      </w:r>
    </w:p>
    <w:p w:rsidR="00276E20" w:rsidRPr="00020290" w:rsidRDefault="00276E20" w:rsidP="00276E20">
      <w:pPr>
        <w:autoSpaceDE w:val="0"/>
        <w:autoSpaceDN w:val="0"/>
        <w:adjustRightInd w:val="0"/>
        <w:ind w:firstLine="708"/>
        <w:rPr>
          <w:szCs w:val="24"/>
        </w:rPr>
      </w:pPr>
      <w:r w:rsidRPr="00020290">
        <w:rPr>
          <w:szCs w:val="24"/>
        </w:rPr>
        <w:t xml:space="preserve">Kanser hücrelerinde artan HKII ekspresyonu, HKI'den HKII'ye </w:t>
      </w:r>
      <w:proofErr w:type="gramStart"/>
      <w:r w:rsidRPr="00020290">
        <w:rPr>
          <w:szCs w:val="24"/>
        </w:rPr>
        <w:t>spesifik</w:t>
      </w:r>
      <w:proofErr w:type="gramEnd"/>
      <w:r w:rsidRPr="00020290">
        <w:rPr>
          <w:szCs w:val="24"/>
        </w:rPr>
        <w:t xml:space="preserve"> bir kaymaya neden olur, bu da apoptozdan koruma sağlayarak büyük bir metabolik avantaj sağlar </w:t>
      </w:r>
      <w:r w:rsidRPr="00FD67C9">
        <w:rPr>
          <w:szCs w:val="24"/>
        </w:rPr>
        <w:t>(</w:t>
      </w:r>
      <w:r w:rsidR="0098069F">
        <w:rPr>
          <w:szCs w:val="24"/>
        </w:rPr>
        <w:t>Porporato ve ark, 2011</w:t>
      </w:r>
      <w:r w:rsidRPr="00FD67C9">
        <w:rPr>
          <w:szCs w:val="24"/>
        </w:rPr>
        <w:t>)</w:t>
      </w:r>
      <w:r w:rsidRPr="00020290">
        <w:rPr>
          <w:szCs w:val="24"/>
        </w:rPr>
        <w:t>. Kanser hücrelerinde dış mitokondriyal membrana bağlanan H</w:t>
      </w:r>
      <w:r w:rsidR="002A52AB">
        <w:rPr>
          <w:szCs w:val="24"/>
        </w:rPr>
        <w:t>KII miktarı önemli ölçüde artar</w:t>
      </w:r>
      <w:r w:rsidRPr="00020290">
        <w:rPr>
          <w:szCs w:val="24"/>
        </w:rPr>
        <w:t xml:space="preserve"> (Nowak ve ark, 2018). HKII’nin VDAC ile ilişkisi glukoz alımına da bağlıdır (Lincet ve Icard, 2015).  Glukoz yoksunluğu, apoptojenik moleküllerin salınması yoluyla apoptozise yön veren mitokondriyal membran potansiyelini değiştirici dış mitokondriyal membrandaki VDAC-HKII etkileşimini önleyebilmektedir (Lincet ve Icard, 2015).  </w:t>
      </w:r>
    </w:p>
    <w:p w:rsidR="00276E20" w:rsidRPr="00020290" w:rsidRDefault="00276E20" w:rsidP="00276E20">
      <w:pPr>
        <w:autoSpaceDE w:val="0"/>
        <w:autoSpaceDN w:val="0"/>
        <w:adjustRightInd w:val="0"/>
        <w:ind w:firstLine="708"/>
        <w:rPr>
          <w:szCs w:val="24"/>
        </w:rPr>
      </w:pPr>
    </w:p>
    <w:p w:rsidR="00276E20" w:rsidRPr="00020290" w:rsidRDefault="00276E20" w:rsidP="00276E20">
      <w:pPr>
        <w:autoSpaceDE w:val="0"/>
        <w:autoSpaceDN w:val="0"/>
        <w:adjustRightInd w:val="0"/>
        <w:rPr>
          <w:szCs w:val="24"/>
        </w:rPr>
      </w:pPr>
      <w:r w:rsidRPr="00020290">
        <w:rPr>
          <w:noProof/>
          <w:szCs w:val="24"/>
          <w:lang w:eastAsia="tr-TR"/>
        </w:rPr>
        <w:lastRenderedPageBreak/>
        <w:drawing>
          <wp:inline distT="0" distB="0" distL="0" distR="0">
            <wp:extent cx="5379308" cy="5247503"/>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375582" cy="5243869"/>
                    </a:xfrm>
                    <a:prstGeom prst="rect">
                      <a:avLst/>
                    </a:prstGeom>
                    <a:noFill/>
                    <a:ln w="9525">
                      <a:noFill/>
                      <a:miter lim="800000"/>
                      <a:headEnd/>
                      <a:tailEnd/>
                    </a:ln>
                  </pic:spPr>
                </pic:pic>
              </a:graphicData>
            </a:graphic>
          </wp:inline>
        </w:drawing>
      </w:r>
    </w:p>
    <w:p w:rsidR="00276E20" w:rsidRDefault="00276E20" w:rsidP="00276E20">
      <w:pPr>
        <w:autoSpaceDE w:val="0"/>
        <w:autoSpaceDN w:val="0"/>
        <w:adjustRightInd w:val="0"/>
        <w:rPr>
          <w:szCs w:val="24"/>
        </w:rPr>
      </w:pPr>
    </w:p>
    <w:p w:rsidR="00276E20" w:rsidRPr="00020290" w:rsidRDefault="00C34D58" w:rsidP="00276E20">
      <w:pPr>
        <w:autoSpaceDE w:val="0"/>
        <w:autoSpaceDN w:val="0"/>
        <w:adjustRightInd w:val="0"/>
        <w:jc w:val="center"/>
        <w:rPr>
          <w:szCs w:val="24"/>
        </w:rPr>
      </w:pPr>
      <w:r>
        <w:rPr>
          <w:b/>
          <w:szCs w:val="24"/>
        </w:rPr>
        <w:t xml:space="preserve">Şekil </w:t>
      </w:r>
      <w:r w:rsidR="00276E20" w:rsidRPr="00802FA6">
        <w:rPr>
          <w:b/>
          <w:szCs w:val="24"/>
        </w:rPr>
        <w:t>11.</w:t>
      </w:r>
      <w:r w:rsidR="00276E20" w:rsidRPr="00020290">
        <w:rPr>
          <w:szCs w:val="24"/>
        </w:rPr>
        <w:t xml:space="preserve"> Glikolitik akışın yüksek olduğu tümör hücresi içinde glukozun metabolik olarak izlediği yol (Mathupula ve ark, 2009’dan değiştitilerek alınmıştır).</w:t>
      </w:r>
    </w:p>
    <w:p w:rsidR="00276E20" w:rsidRDefault="00276E20" w:rsidP="00276E20">
      <w:pPr>
        <w:autoSpaceDE w:val="0"/>
        <w:autoSpaceDN w:val="0"/>
        <w:adjustRightInd w:val="0"/>
        <w:rPr>
          <w:szCs w:val="24"/>
        </w:rPr>
      </w:pPr>
    </w:p>
    <w:p w:rsidR="00276E20" w:rsidRPr="00020290" w:rsidRDefault="00276E20" w:rsidP="00276E20">
      <w:pPr>
        <w:autoSpaceDE w:val="0"/>
        <w:autoSpaceDN w:val="0"/>
        <w:adjustRightInd w:val="0"/>
        <w:rPr>
          <w:szCs w:val="24"/>
        </w:rPr>
      </w:pPr>
    </w:p>
    <w:p w:rsidR="00276E20" w:rsidRPr="00020290" w:rsidRDefault="00276E20" w:rsidP="000C080A">
      <w:pPr>
        <w:pStyle w:val="Balk2"/>
      </w:pPr>
      <w:r w:rsidRPr="00020290">
        <w:t>2.1</w:t>
      </w:r>
      <w:r w:rsidR="006F4696">
        <w:t>2</w:t>
      </w:r>
      <w:r w:rsidRPr="00020290">
        <w:t>.2</w:t>
      </w:r>
      <w:r w:rsidR="00861AA3">
        <w:t xml:space="preserve">. </w:t>
      </w:r>
      <w:r w:rsidRPr="00020290">
        <w:t>Fosfofruktokinaz-1 (PFK-1) ve 6-fosfofrukto-2-kinaz (PFK-2) /fruktoz-2,6 bifosfataz</w:t>
      </w:r>
    </w:p>
    <w:p w:rsidR="00276E20" w:rsidRPr="00020290" w:rsidRDefault="00276E20" w:rsidP="00276E20">
      <w:pPr>
        <w:autoSpaceDE w:val="0"/>
        <w:autoSpaceDN w:val="0"/>
        <w:adjustRightInd w:val="0"/>
        <w:rPr>
          <w:b/>
          <w:szCs w:val="24"/>
        </w:rPr>
      </w:pPr>
    </w:p>
    <w:p w:rsidR="00276E20" w:rsidRPr="00020290" w:rsidRDefault="00276E20" w:rsidP="00276E20">
      <w:pPr>
        <w:autoSpaceDE w:val="0"/>
        <w:autoSpaceDN w:val="0"/>
        <w:adjustRightInd w:val="0"/>
        <w:ind w:firstLine="708"/>
        <w:rPr>
          <w:szCs w:val="24"/>
        </w:rPr>
      </w:pPr>
      <w:r w:rsidRPr="00020290">
        <w:rPr>
          <w:szCs w:val="24"/>
        </w:rPr>
        <w:t>6-fosfofrukto-1-kinaz (PFK1), bir fosforil dönorü olarak MgATP kullanarak F6P’ın F1,6BP’a fosforilasyonunu katalizler (Chen ve Russo, 2012). Bu glikolitik yolakta ikinci tersinmez reaksiyondur ve önemli bir glikolizis kontrol noktasıdır (Lincet ve Icard, 2015). PFK’ın glikolizdeki geri dönüşümsüz niteliği ve aktivitesi, pH’nın küçük değişimlerine karşı</w:t>
      </w:r>
      <w:r w:rsidR="00E8078A">
        <w:rPr>
          <w:szCs w:val="24"/>
        </w:rPr>
        <w:t xml:space="preserve"> </w:t>
      </w:r>
      <w:r w:rsidRPr="00020290">
        <w:rPr>
          <w:szCs w:val="24"/>
        </w:rPr>
        <w:lastRenderedPageBreak/>
        <w:t xml:space="preserve">aşırı duyarlılığı ve pH düştükçe aktivitesinin düşüyor olması glikolizis için düzenleyici anahtar bir enzim olduğunu düşündürmüştür (Gill ve ark, 2011). </w:t>
      </w:r>
    </w:p>
    <w:p w:rsidR="00276E20" w:rsidRPr="00020290" w:rsidRDefault="00276E20" w:rsidP="00276E20">
      <w:pPr>
        <w:autoSpaceDE w:val="0"/>
        <w:autoSpaceDN w:val="0"/>
        <w:adjustRightInd w:val="0"/>
        <w:ind w:firstLine="708"/>
        <w:rPr>
          <w:szCs w:val="24"/>
        </w:rPr>
      </w:pPr>
      <w:r w:rsidRPr="00020290">
        <w:rPr>
          <w:szCs w:val="24"/>
        </w:rPr>
        <w:t xml:space="preserve">Bu enzimin aktivitesi glikolizis hızını önemli ölçüde değiştiren çok sayıda allosterik </w:t>
      </w:r>
      <w:proofErr w:type="gramStart"/>
      <w:r w:rsidRPr="00020290">
        <w:rPr>
          <w:szCs w:val="24"/>
        </w:rPr>
        <w:t>regülatöre</w:t>
      </w:r>
      <w:proofErr w:type="gramEnd"/>
      <w:r w:rsidRPr="00020290">
        <w:rPr>
          <w:szCs w:val="24"/>
        </w:rPr>
        <w:t xml:space="preserve"> tabidir (Herling ve ark, 2011). PFK’ların aktivitesi ATP seviyeleri hücrede yüksek seyrettiğinde ATP’nin kendisi tarafından allosterik olarak inhibe edilir. </w:t>
      </w:r>
      <w:r w:rsidR="00254DC4">
        <w:rPr>
          <w:szCs w:val="24"/>
        </w:rPr>
        <w:t xml:space="preserve">ACLY </w:t>
      </w:r>
      <w:r w:rsidRPr="00020290">
        <w:rPr>
          <w:szCs w:val="24"/>
        </w:rPr>
        <w:t>enzimi sitozolde sitratı asetil-KoA’ya dönüştürür. Hücre sitrik asit döngüsünden yeterli enerjiyi alabilir ve bu döngüye karbon sağlamak için glikolizise bağlı değildir, bu nedenle de sitratın yüksek intrasellüler seviyeleri ile de PFK aktivitesi inhibe edilir (Gill ve ark, 2011). Anaerobik glikolizis ile piruvatın indirgenmesi sonucu meydana gelen laktat birikimi de doğrudan PFK inhibisyonunu sağlar (</w:t>
      </w:r>
      <w:r w:rsidR="00F8005E" w:rsidRPr="00020290">
        <w:rPr>
          <w:szCs w:val="24"/>
        </w:rPr>
        <w:t>Costa ve ark, 2007</w:t>
      </w:r>
      <w:r w:rsidR="00F8005E">
        <w:rPr>
          <w:szCs w:val="24"/>
        </w:rPr>
        <w:t xml:space="preserve">; </w:t>
      </w:r>
      <w:r w:rsidRPr="00020290">
        <w:rPr>
          <w:szCs w:val="24"/>
        </w:rPr>
        <w:t xml:space="preserve">Hasawi ve ark, 2014). Hem sitrat hem de laktat ATP’nin PFK üzerindeki inhibitör etkisini arttırır (Costa ve ark, 2007; Marinho-Carvalho ve ark, 2009). </w:t>
      </w:r>
    </w:p>
    <w:p w:rsidR="00276E20" w:rsidRPr="00020290" w:rsidRDefault="00276E20" w:rsidP="00276E20">
      <w:pPr>
        <w:autoSpaceDE w:val="0"/>
        <w:autoSpaceDN w:val="0"/>
        <w:adjustRightInd w:val="0"/>
        <w:ind w:firstLine="708"/>
        <w:rPr>
          <w:szCs w:val="24"/>
        </w:rPr>
      </w:pPr>
      <w:r w:rsidRPr="00020290">
        <w:rPr>
          <w:szCs w:val="24"/>
        </w:rPr>
        <w:t xml:space="preserve">Allosterik aktivasyon esas olarak F2,6BP ile uygulanır (Clem ve ark, 2008). F2,6BP; F6P’yi F1,6BP’ye dönüştüren PFK’ın stimülasyonu ile glikolizisteki karbon akışını kontrol eden güçlü bir allosterik </w:t>
      </w:r>
      <w:proofErr w:type="gramStart"/>
      <w:r w:rsidRPr="00020290">
        <w:rPr>
          <w:szCs w:val="24"/>
        </w:rPr>
        <w:t>regülatördür</w:t>
      </w:r>
      <w:proofErr w:type="gramEnd"/>
      <w:r w:rsidRPr="00020290">
        <w:rPr>
          <w:szCs w:val="24"/>
        </w:rPr>
        <w:t xml:space="preserve"> (Chen ve Russo, 2012). F2,6BP; ATP varlığında bile PFK-1 aktivitesini indükler, bu durum pek çok tümörde F2,6BP’ın PFK-1’in upregülasyonunda rol oynayabileceğini düşündürmektedir (Lincet ve Icard, 2015). Deneysel olarak F2,6BP; F1,6BP substratının Km değerinde bir azalma ile PFK’yı a</w:t>
      </w:r>
      <w:r w:rsidR="00F8005E">
        <w:rPr>
          <w:szCs w:val="24"/>
        </w:rPr>
        <w:t>ktive eder (</w:t>
      </w:r>
      <w:r w:rsidR="00F8005E" w:rsidRPr="00020290">
        <w:rPr>
          <w:szCs w:val="24"/>
        </w:rPr>
        <w:t>Coelho ve ark, 2007</w:t>
      </w:r>
      <w:r w:rsidR="00F8005E">
        <w:rPr>
          <w:szCs w:val="24"/>
        </w:rPr>
        <w:t xml:space="preserve">; </w:t>
      </w:r>
      <w:proofErr w:type="gramStart"/>
      <w:r w:rsidR="00F8005E">
        <w:rPr>
          <w:szCs w:val="24"/>
        </w:rPr>
        <w:t>Costa  ve</w:t>
      </w:r>
      <w:proofErr w:type="gramEnd"/>
      <w:r w:rsidR="00F8005E">
        <w:rPr>
          <w:szCs w:val="24"/>
        </w:rPr>
        <w:t xml:space="preserve"> ark, 2007</w:t>
      </w:r>
      <w:r w:rsidRPr="00020290">
        <w:rPr>
          <w:szCs w:val="24"/>
        </w:rPr>
        <w:t xml:space="preserve">). F2,6BP’ın sentezi ve degradasyonu, hem kinaz hem de fosfataz aktivitesi gösteren 6-fosfofrukto-2-kinaz/fruktoz-2,6-bifosfataz (PFK-2/F-2,6-BPaz) (PFKFB)’a bağlıdır. Bu iki işlevli enzim, hücre içi cAMP düzeylerine bağlı olan fosforilasyon ve defosforilasyon ile düzenlenir. Dahası, PFKFB sentezi çoklu fizyolojik ve patolojik koşullar altında glikolitik oranı ayarlamadaki rolü ile ilişkili olarak mitojenler, büyüme faktörleri ve inflamatuvar sitokinler tarafından indüklenebilir (Chen ve Russo, 2012).  4 memeli PFKFB izoenzimi (PFKFB 1-4) vardır (Lincet ve Icard, 2015). PFKFB3 izoenzimi en yüksek kinaz/ fosfataz aktivite oranına (740/1) sahiptir ve böylece yüksek glikolitik oranları devam ettiren artan F2,6BP seviyelerine yol açar. F2,6BPaz overekspresyonu glikolizisi bloke ederek F2,6BP’nin hızında bir azalmayı indükler (Lincet ve Icard, 2015). </w:t>
      </w:r>
    </w:p>
    <w:p w:rsidR="00276E20" w:rsidRPr="00020290" w:rsidRDefault="00276E20" w:rsidP="00276E20">
      <w:pPr>
        <w:autoSpaceDE w:val="0"/>
        <w:autoSpaceDN w:val="0"/>
        <w:adjustRightInd w:val="0"/>
        <w:ind w:firstLine="708"/>
        <w:rPr>
          <w:szCs w:val="24"/>
        </w:rPr>
      </w:pPr>
      <w:r w:rsidRPr="00020290">
        <w:rPr>
          <w:szCs w:val="24"/>
        </w:rPr>
        <w:t xml:space="preserve">F2,6BP ekspresyonu bir dizi </w:t>
      </w:r>
      <w:proofErr w:type="gramStart"/>
      <w:r w:rsidRPr="00020290">
        <w:rPr>
          <w:szCs w:val="24"/>
        </w:rPr>
        <w:t>agresif</w:t>
      </w:r>
      <w:proofErr w:type="gramEnd"/>
      <w:r w:rsidRPr="00020290">
        <w:rPr>
          <w:szCs w:val="24"/>
        </w:rPr>
        <w:t xml:space="preserve"> kanserde yüksektir (örneğin meme, kolon ve yumurtalık) ve hücre kültürü çalışılan insan kolon adenokarsinoma hücrelerinde hipoksi ile indüklendiği görülmüştür (Lincet ve Icard, 2015).  Mitojenik, inflamatuar ve hipoksik uyaranlarla aktive edilebilen PFKFB3 izoenzimi, çoğalan normal dokularda (örneğin timüs) ve birçok kanser hücresinde yüksek oranda eksprese edilir ve artan PFK-2: FBPaz aktivite oranı nedeniyle glikolizisi destekler (Okar ve ark, 2001</w:t>
      </w:r>
      <w:r w:rsidR="00F8005E">
        <w:rPr>
          <w:szCs w:val="24"/>
        </w:rPr>
        <w:t xml:space="preserve">; </w:t>
      </w:r>
      <w:r w:rsidR="00F8005E" w:rsidRPr="00020290">
        <w:rPr>
          <w:szCs w:val="24"/>
        </w:rPr>
        <w:t>Rider ve ark, 2004</w:t>
      </w:r>
      <w:r w:rsidR="00F8005E">
        <w:rPr>
          <w:szCs w:val="24"/>
        </w:rPr>
        <w:t>;</w:t>
      </w:r>
      <w:r w:rsidR="00F8005E" w:rsidRPr="00F8005E">
        <w:rPr>
          <w:szCs w:val="24"/>
        </w:rPr>
        <w:t xml:space="preserve"> </w:t>
      </w:r>
      <w:r w:rsidR="00F8005E" w:rsidRPr="00020290">
        <w:rPr>
          <w:szCs w:val="24"/>
        </w:rPr>
        <w:t xml:space="preserve">Houddane ve ark, </w:t>
      </w:r>
      <w:r w:rsidR="00F8005E" w:rsidRPr="00020290">
        <w:rPr>
          <w:szCs w:val="24"/>
        </w:rPr>
        <w:lastRenderedPageBreak/>
        <w:t>2017</w:t>
      </w:r>
      <w:r w:rsidRPr="00020290">
        <w:rPr>
          <w:szCs w:val="24"/>
        </w:rPr>
        <w:t xml:space="preserve">). Çoğalan hücrelerde F2,6BP </w:t>
      </w:r>
      <w:proofErr w:type="gramStart"/>
      <w:r w:rsidRPr="00020290">
        <w:rPr>
          <w:szCs w:val="24"/>
        </w:rPr>
        <w:t>konsantrasyonları</w:t>
      </w:r>
      <w:proofErr w:type="gramEnd"/>
      <w:r w:rsidRPr="00020290">
        <w:rPr>
          <w:szCs w:val="24"/>
        </w:rPr>
        <w:t xml:space="preserve">, PFK-1’i uyarmak için gerekenden 50-100 kat daha yüksek seviyelere ulaşabilir. HeLa hücrelerinde PFKFB3 susuturulmasının glikolizisi azalttığı ve hücre döngüsü durdurulmasını indüklediği ve endotelyal hücrelerin damar dallanmasını inhibe ettiği bulunmuştur; bu da F2,6BP /glikoliz ve hücre proliferasyonu arasında bir ilişki olduğunu düşündürmektedir (Houddane ve ark, 2017). </w:t>
      </w:r>
    </w:p>
    <w:p w:rsidR="00276E20" w:rsidRPr="00020290" w:rsidRDefault="00276E20" w:rsidP="00276E20">
      <w:pPr>
        <w:autoSpaceDE w:val="0"/>
        <w:autoSpaceDN w:val="0"/>
        <w:adjustRightInd w:val="0"/>
        <w:ind w:firstLine="708"/>
        <w:rPr>
          <w:szCs w:val="24"/>
        </w:rPr>
      </w:pPr>
      <w:r w:rsidRPr="00020290">
        <w:rPr>
          <w:szCs w:val="24"/>
        </w:rPr>
        <w:t>PFK1 enzimi, kinetik özellikleri ile birbirlerinden ayırt edilebilen çeşitli homo- ve heterotetramerik izoenzimleri üretmek adına rastgele tetramerizasyona maruz kalan üç izoformdan meydana gelir ve bunlar ana ekspresyon bölgesine göre adlandırılırlar: PFKM (başlıca iskelet kasında eksprese edilir), PFKL (akciğerde), ve PFKP (trombositlerde). (Wang ve ark, 2013; Ausina ve ark, 2018). Aminoasit sekanslarında yüksek homoloji göstermelerine rağmen (˃%65), bu enzimler farklı kromozomlardaki ayrı ayrı genler tarafından kodlanır ve her bir izoform için allosterik düzenleyici bölgelerinde farklılıklar me</w:t>
      </w:r>
      <w:r w:rsidR="00670307">
        <w:rPr>
          <w:szCs w:val="24"/>
        </w:rPr>
        <w:t>vcuttur. (</w:t>
      </w:r>
      <w:r w:rsidR="00670307" w:rsidRPr="00020290">
        <w:rPr>
          <w:szCs w:val="24"/>
        </w:rPr>
        <w:t>Sola-Penna ve ark, 2010</w:t>
      </w:r>
      <w:r w:rsidR="00670307">
        <w:rPr>
          <w:szCs w:val="24"/>
        </w:rPr>
        <w:t>; Ausina ve ark, 2018</w:t>
      </w:r>
      <w:r w:rsidRPr="00020290">
        <w:rPr>
          <w:szCs w:val="24"/>
        </w:rPr>
        <w:t xml:space="preserve">). </w:t>
      </w:r>
    </w:p>
    <w:p w:rsidR="00276E20" w:rsidRPr="00020290" w:rsidRDefault="00276E20" w:rsidP="00276E20">
      <w:pPr>
        <w:autoSpaceDE w:val="0"/>
        <w:autoSpaceDN w:val="0"/>
        <w:adjustRightInd w:val="0"/>
        <w:ind w:firstLine="709"/>
        <w:rPr>
          <w:szCs w:val="24"/>
        </w:rPr>
      </w:pPr>
      <w:r w:rsidRPr="00020290">
        <w:rPr>
          <w:szCs w:val="24"/>
        </w:rPr>
        <w:t>PFK1 izoformlarının farklı ekspresyonu hücre fizyolojisini ve fonksiyonunu doğrudan etkiler. Örneğin glikolitik verim, yani tüketilen glukoz başına üretilen laktat arasındaki oran mevcut PFK1 izoformlarının bulunma olasılığına göre değişir.  (</w:t>
      </w:r>
      <w:r w:rsidR="00670307" w:rsidRPr="00020290">
        <w:rPr>
          <w:szCs w:val="24"/>
        </w:rPr>
        <w:t>Zancan ve ark, 2010</w:t>
      </w:r>
      <w:r w:rsidR="00670307">
        <w:rPr>
          <w:szCs w:val="24"/>
        </w:rPr>
        <w:t xml:space="preserve">; </w:t>
      </w:r>
      <w:r w:rsidRPr="00020290">
        <w:rPr>
          <w:szCs w:val="24"/>
        </w:rPr>
        <w:t>Ausina ve ark, 2018). Zancan ve arkadaşları, PFK-1 izoenzim modellerinde, tümörijenik ve tümörijenik olmayan meme hücrelerinin mRNA seviyeleri arasındaki farkları bildirmişlerdir. Örneğin PFK-L ekspresyonunun,</w:t>
      </w:r>
      <w:r>
        <w:rPr>
          <w:szCs w:val="24"/>
        </w:rPr>
        <w:t xml:space="preserve"> bu hücre hatlarında </w:t>
      </w:r>
      <w:proofErr w:type="gramStart"/>
      <w:r>
        <w:rPr>
          <w:szCs w:val="24"/>
        </w:rPr>
        <w:t>agresiflik</w:t>
      </w:r>
      <w:proofErr w:type="gramEnd"/>
      <w:r>
        <w:rPr>
          <w:szCs w:val="24"/>
        </w:rPr>
        <w:t xml:space="preserve"> </w:t>
      </w:r>
      <w:r w:rsidRPr="00020290">
        <w:rPr>
          <w:szCs w:val="24"/>
        </w:rPr>
        <w:t xml:space="preserve">ve glikolitik verimlilik ile ilişkili olduğu tespit </w:t>
      </w:r>
      <w:r w:rsidR="00616BFE">
        <w:rPr>
          <w:szCs w:val="24"/>
        </w:rPr>
        <w:t>edilmiştir</w:t>
      </w:r>
      <w:r w:rsidR="00670307">
        <w:rPr>
          <w:szCs w:val="24"/>
        </w:rPr>
        <w:t xml:space="preserve"> (</w:t>
      </w:r>
      <w:r w:rsidR="00670307" w:rsidRPr="00020290">
        <w:rPr>
          <w:szCs w:val="24"/>
        </w:rPr>
        <w:t>Zancan ve ark, 2010</w:t>
      </w:r>
      <w:r w:rsidR="00670307">
        <w:rPr>
          <w:szCs w:val="24"/>
        </w:rPr>
        <w:t>; Wang ve ark, 2013</w:t>
      </w:r>
      <w:r w:rsidRPr="00020290">
        <w:rPr>
          <w:szCs w:val="24"/>
        </w:rPr>
        <w:t>). İnsan meme kanseri dokusunda PFK-1 aktivitesinin değişen hücresel dağılımı, glikolitik akıdaki bir artışla ilişkili olabilir ki, bu da karsinojenez ve tümör ilerlemesi süreci ile güçlü bir şekilde ba</w:t>
      </w:r>
      <w:r w:rsidR="00670307">
        <w:rPr>
          <w:szCs w:val="24"/>
        </w:rPr>
        <w:t>ğlantılıdır. (</w:t>
      </w:r>
      <w:r w:rsidR="00670307" w:rsidRPr="00020290">
        <w:rPr>
          <w:szCs w:val="24"/>
        </w:rPr>
        <w:t>El-Bacha ve ark, 2003</w:t>
      </w:r>
      <w:r w:rsidR="00670307">
        <w:rPr>
          <w:szCs w:val="24"/>
        </w:rPr>
        <w:t>; Wang ve ark, 2013</w:t>
      </w:r>
      <w:r w:rsidRPr="00020290">
        <w:rPr>
          <w:szCs w:val="24"/>
        </w:rPr>
        <w:t xml:space="preserve">). </w:t>
      </w:r>
    </w:p>
    <w:p w:rsidR="00276E20" w:rsidRDefault="00276E20" w:rsidP="00276E20">
      <w:pPr>
        <w:rPr>
          <w:b/>
          <w:szCs w:val="24"/>
        </w:rPr>
      </w:pPr>
    </w:p>
    <w:p w:rsidR="00276E20" w:rsidRPr="00020290" w:rsidRDefault="00276E20" w:rsidP="00276E20">
      <w:pPr>
        <w:rPr>
          <w:b/>
          <w:szCs w:val="24"/>
        </w:rPr>
      </w:pPr>
    </w:p>
    <w:p w:rsidR="00276E20" w:rsidRPr="00020290" w:rsidRDefault="00276E20" w:rsidP="000C080A">
      <w:pPr>
        <w:pStyle w:val="Balk2"/>
      </w:pPr>
      <w:r w:rsidRPr="00020290">
        <w:t>2.1</w:t>
      </w:r>
      <w:r w:rsidR="006F4696">
        <w:t>2</w:t>
      </w:r>
      <w:r w:rsidRPr="00020290">
        <w:t>.3</w:t>
      </w:r>
      <w:r w:rsidR="00861AA3">
        <w:t>.</w:t>
      </w:r>
      <w:r w:rsidRPr="00020290">
        <w:t xml:space="preserve"> Gliseraldehid-3-fosfat dehidrogenaz (GAPDH)</w:t>
      </w:r>
    </w:p>
    <w:p w:rsidR="00276E20" w:rsidRPr="00020290" w:rsidRDefault="00276E20" w:rsidP="00276E20">
      <w:pPr>
        <w:rPr>
          <w:szCs w:val="24"/>
          <w:highlight w:val="yellow"/>
        </w:rPr>
      </w:pPr>
    </w:p>
    <w:p w:rsidR="00276E20" w:rsidRPr="00020290" w:rsidRDefault="00276E20" w:rsidP="00276E20">
      <w:pPr>
        <w:autoSpaceDE w:val="0"/>
        <w:autoSpaceDN w:val="0"/>
        <w:adjustRightInd w:val="0"/>
        <w:ind w:firstLine="708"/>
        <w:rPr>
          <w:szCs w:val="24"/>
        </w:rPr>
      </w:pPr>
      <w:r w:rsidRPr="00FB7F14">
        <w:rPr>
          <w:szCs w:val="24"/>
        </w:rPr>
        <w:t>Gliseraldehid-3-fosfat dehidrogenaz</w:t>
      </w:r>
      <w:r w:rsidRPr="00020290">
        <w:rPr>
          <w:b/>
          <w:szCs w:val="24"/>
        </w:rPr>
        <w:t xml:space="preserve"> </w:t>
      </w:r>
      <w:r>
        <w:rPr>
          <w:b/>
          <w:szCs w:val="24"/>
        </w:rPr>
        <w:t>(</w:t>
      </w:r>
      <w:r>
        <w:rPr>
          <w:szCs w:val="24"/>
        </w:rPr>
        <w:t>GAPDH)</w:t>
      </w:r>
      <w:r w:rsidRPr="00020290">
        <w:rPr>
          <w:szCs w:val="24"/>
        </w:rPr>
        <w:t>, aynı zamanda oksidoredüktazlar olarak da bilinen dehidro</w:t>
      </w:r>
      <w:r w:rsidR="00095114">
        <w:rPr>
          <w:szCs w:val="24"/>
        </w:rPr>
        <w:t>g</w:t>
      </w:r>
      <w:r w:rsidRPr="00020290">
        <w:rPr>
          <w:szCs w:val="24"/>
        </w:rPr>
        <w:t xml:space="preserve">enaz enzim ailesinin bir üyesidir. Bir "housekeeping" proteini olarak GAPDH, hücrede çok yüksek </w:t>
      </w:r>
      <w:proofErr w:type="gramStart"/>
      <w:r w:rsidRPr="00020290">
        <w:rPr>
          <w:szCs w:val="24"/>
        </w:rPr>
        <w:t>konsantrasyonlarda</w:t>
      </w:r>
      <w:proofErr w:type="gramEnd"/>
      <w:r w:rsidRPr="00020290">
        <w:rPr>
          <w:szCs w:val="24"/>
        </w:rPr>
        <w:t xml:space="preserve"> bulunur;  ayrıca yapısında duyarlı sistein</w:t>
      </w:r>
      <w:r>
        <w:rPr>
          <w:szCs w:val="24"/>
        </w:rPr>
        <w:t xml:space="preserve"> kalıntıları vardır, bu nedenle</w:t>
      </w:r>
      <w:r w:rsidRPr="00020290">
        <w:rPr>
          <w:szCs w:val="24"/>
        </w:rPr>
        <w:t xml:space="preserve"> b</w:t>
      </w:r>
      <w:r>
        <w:rPr>
          <w:szCs w:val="24"/>
        </w:rPr>
        <w:t>u enzim</w:t>
      </w:r>
      <w:r w:rsidRPr="00020290">
        <w:rPr>
          <w:szCs w:val="24"/>
        </w:rPr>
        <w:t>, ROS ve reaktif azot türlerinin (RN</w:t>
      </w:r>
      <w:r>
        <w:rPr>
          <w:szCs w:val="24"/>
        </w:rPr>
        <w:t>S) ilk hedeflerinden biridir</w:t>
      </w:r>
      <w:r w:rsidRPr="00020290">
        <w:rPr>
          <w:szCs w:val="24"/>
        </w:rPr>
        <w:t xml:space="preserve"> ve çok sayıda oksidatif modifikasyona tabi</w:t>
      </w:r>
      <w:r>
        <w:rPr>
          <w:szCs w:val="24"/>
        </w:rPr>
        <w:t>dir</w:t>
      </w:r>
      <w:r w:rsidR="00670307">
        <w:rPr>
          <w:szCs w:val="24"/>
        </w:rPr>
        <w:t xml:space="preserve"> (</w:t>
      </w:r>
      <w:r w:rsidR="00670307" w:rsidRPr="00020290">
        <w:rPr>
          <w:szCs w:val="24"/>
        </w:rPr>
        <w:t>Hildebrandt ve ark, 2015</w:t>
      </w:r>
      <w:r w:rsidR="00670307">
        <w:rPr>
          <w:szCs w:val="24"/>
        </w:rPr>
        <w:t>; Gerszon ve Rodacka, 2018</w:t>
      </w:r>
      <w:r w:rsidRPr="00020290">
        <w:rPr>
          <w:szCs w:val="24"/>
        </w:rPr>
        <w:t xml:space="preserve">). Hem ökaryotik hem de prokaryotik hücrelerde toplam hücresel içeriğin % 10-20'sini oluşturan çok yüksek </w:t>
      </w:r>
      <w:proofErr w:type="gramStart"/>
      <w:r w:rsidRPr="00020290">
        <w:rPr>
          <w:szCs w:val="24"/>
        </w:rPr>
        <w:t>konsantrasyonlarda</w:t>
      </w:r>
      <w:proofErr w:type="gramEnd"/>
      <w:r w:rsidRPr="00020290">
        <w:rPr>
          <w:szCs w:val="24"/>
        </w:rPr>
        <w:t xml:space="preserve"> meydana gelir. En yüksek </w:t>
      </w:r>
      <w:r w:rsidRPr="00020290">
        <w:rPr>
          <w:szCs w:val="24"/>
        </w:rPr>
        <w:lastRenderedPageBreak/>
        <w:t>enzim ekspresyonu seviyesi, kas ve beyin gibi aşırı glikoliz oranına sahip dokulardadır (Gerszon ve Rodacka, 2018).</w:t>
      </w:r>
    </w:p>
    <w:p w:rsidR="00276E20" w:rsidRPr="00020290" w:rsidRDefault="00276E20" w:rsidP="00276E20">
      <w:pPr>
        <w:autoSpaceDE w:val="0"/>
        <w:autoSpaceDN w:val="0"/>
        <w:adjustRightInd w:val="0"/>
        <w:ind w:firstLine="708"/>
        <w:rPr>
          <w:szCs w:val="24"/>
        </w:rPr>
      </w:pPr>
      <w:r w:rsidRPr="00020290">
        <w:rPr>
          <w:szCs w:val="24"/>
        </w:rPr>
        <w:t>Sitoplazmada GAPDH, her biri tek bir katalitik tiyol grubuna sahip olan dört özdeş 37 kDa alt biriminden oluşan bir tetramerik izoform olarak bulunur. GAPDH, NAD</w:t>
      </w:r>
      <w:r w:rsidRPr="00020290">
        <w:rPr>
          <w:szCs w:val="24"/>
          <w:vertAlign w:val="superscript"/>
        </w:rPr>
        <w:t>+</w:t>
      </w:r>
      <w:r w:rsidRPr="00020290">
        <w:rPr>
          <w:szCs w:val="24"/>
        </w:rPr>
        <w:t xml:space="preserve"> ve inorganik fosfat varlığında gliseraldehid-3-fosfat D-gliseratı 1,3 BP’a dönüştürür ve NADH ile ATP oluşumuna aracılık eder (Gerszon ve Rodacka, 2018). İnsan monositlerinde GAPDH, anaerobik solunumdan PPP’a metabolik bir geçişi kolaylaştırır. GAPDH, membran füzyonundan sitoskeletal bileşenlerle etkileşime girmeye, redoks algılama, hücre ölümü, otofaji, demir homeostazisi, DNA replikasyonu ve onarımı, gen ekspresyonunun düzenlenmesi ve viral </w:t>
      </w:r>
      <w:proofErr w:type="gramStart"/>
      <w:r w:rsidRPr="00020290">
        <w:rPr>
          <w:szCs w:val="24"/>
        </w:rPr>
        <w:t>enfeksiyon</w:t>
      </w:r>
      <w:proofErr w:type="gramEnd"/>
      <w:r w:rsidRPr="00020290">
        <w:rPr>
          <w:szCs w:val="24"/>
        </w:rPr>
        <w:t xml:space="preserve"> gibi birçok diğer hücresel süreçte de kilit rol oynar ve buna paralel olarak sitoplazma, mitokondri, plazma zarı ve nükleus da dahil olmak üzere çoklu hücresel kompartmanlarda lokalizedir (Garcin, 201</w:t>
      </w:r>
      <w:r w:rsidR="00670307">
        <w:rPr>
          <w:szCs w:val="24"/>
        </w:rPr>
        <w:t>9</w:t>
      </w:r>
      <w:r w:rsidRPr="00020290">
        <w:rPr>
          <w:szCs w:val="24"/>
        </w:rPr>
        <w:t xml:space="preserve">). Çeşitli fonksiyonları GAPDH’in </w:t>
      </w:r>
      <w:proofErr w:type="gramStart"/>
      <w:r w:rsidRPr="00020290">
        <w:rPr>
          <w:szCs w:val="24"/>
        </w:rPr>
        <w:t>spesifik</w:t>
      </w:r>
      <w:proofErr w:type="gramEnd"/>
      <w:r w:rsidRPr="00020290">
        <w:rPr>
          <w:szCs w:val="24"/>
        </w:rPr>
        <w:t xml:space="preserve"> hücre içi lokalizasyonları ile de ilişkilidir (Tristan ve ark, 2011</w:t>
      </w:r>
      <w:r w:rsidR="00670307">
        <w:rPr>
          <w:szCs w:val="24"/>
        </w:rPr>
        <w:t xml:space="preserve">; </w:t>
      </w:r>
      <w:r w:rsidR="00670307" w:rsidRPr="00020290">
        <w:rPr>
          <w:szCs w:val="24"/>
        </w:rPr>
        <w:t>Cerella ve ark, 2014</w:t>
      </w:r>
      <w:r w:rsidRPr="00020290">
        <w:rPr>
          <w:szCs w:val="24"/>
        </w:rPr>
        <w:t xml:space="preserve">). Bu çoklu görev potansiyeli etkinlik alanlarının fazlalığı ve konformasyonel değişikliklerin varlığına dayanır. Ayrıca GAPDH üzerindeki post-translasyonel modifikasyonlar, subsellüler dağılımının ve çeşitli nükleik asitlerin yanı sıra sitoskeletal ve transkripsiyon </w:t>
      </w:r>
      <w:proofErr w:type="gramStart"/>
      <w:r w:rsidRPr="00020290">
        <w:rPr>
          <w:szCs w:val="24"/>
        </w:rPr>
        <w:t>komplekslerinin</w:t>
      </w:r>
      <w:proofErr w:type="gramEnd"/>
      <w:r w:rsidRPr="00020290">
        <w:rPr>
          <w:szCs w:val="24"/>
        </w:rPr>
        <w:t xml:space="preserve"> bileşenleri gibi heterojen hücresel partnerlerle etkileşimlerinin dinamiklerini belirler (Cerella ve ark, 2014,  Tristan ve ark, 2011). Aktivitesi, özellikle katalitik bölgesinde </w:t>
      </w:r>
      <w:proofErr w:type="gramStart"/>
      <w:r w:rsidRPr="00020290">
        <w:rPr>
          <w:szCs w:val="24"/>
        </w:rPr>
        <w:t>lokalize</w:t>
      </w:r>
      <w:proofErr w:type="gramEnd"/>
      <w:r w:rsidRPr="00020290">
        <w:rPr>
          <w:szCs w:val="24"/>
        </w:rPr>
        <w:t xml:space="preserve"> olan kritik bir sistein kalıntısının varlığına bağlı olarak hücresel redoks durumu değişikliklerinden etkilenir (Cerella ve ark, 2014).</w:t>
      </w:r>
    </w:p>
    <w:p w:rsidR="00276E20" w:rsidRPr="00020290" w:rsidRDefault="00276E20" w:rsidP="00276E20">
      <w:pPr>
        <w:autoSpaceDE w:val="0"/>
        <w:autoSpaceDN w:val="0"/>
        <w:adjustRightInd w:val="0"/>
        <w:ind w:firstLine="708"/>
        <w:rPr>
          <w:szCs w:val="24"/>
        </w:rPr>
      </w:pPr>
      <w:r w:rsidRPr="00020290">
        <w:rPr>
          <w:szCs w:val="24"/>
        </w:rPr>
        <w:t xml:space="preserve">Hipoksik ortam, GAPDH ekspresyon seviyelerinde değişikliklere neden olur. Endotel hücreleri üzerinde yapılan bir çalışmada, hipoksi stresinde GAPDH gen ekspresyonunun arttığı belirlenmiştir (Graven ve ark, 1994). </w:t>
      </w:r>
      <w:r w:rsidR="0024172E">
        <w:rPr>
          <w:szCs w:val="24"/>
        </w:rPr>
        <w:t xml:space="preserve">Yapılan çalışmalarda, </w:t>
      </w:r>
      <w:r w:rsidRPr="00020290">
        <w:rPr>
          <w:szCs w:val="24"/>
        </w:rPr>
        <w:t xml:space="preserve"> hipoksik durumda GAPDH mRN</w:t>
      </w:r>
      <w:r w:rsidR="000421CA">
        <w:rPr>
          <w:szCs w:val="24"/>
        </w:rPr>
        <w:t>A seviyesinin yaklaşık olarak %</w:t>
      </w:r>
      <w:r w:rsidRPr="00020290">
        <w:rPr>
          <w:szCs w:val="24"/>
        </w:rPr>
        <w:t xml:space="preserve">75 oranında artış gösterdiği tespit edilmiştir; GAPDH aşırı ekspresyonu, HIF-1α protein seviyelerinin </w:t>
      </w:r>
      <w:r>
        <w:rPr>
          <w:szCs w:val="24"/>
        </w:rPr>
        <w:t xml:space="preserve">de </w:t>
      </w:r>
      <w:r w:rsidRPr="00020290">
        <w:rPr>
          <w:szCs w:val="24"/>
        </w:rPr>
        <w:t xml:space="preserve">upregülasyonu ile ilişkilidir (Zhong ve Simons, 1999; Zhang ve ark, 2015). </w:t>
      </w:r>
    </w:p>
    <w:p w:rsidR="00276E20" w:rsidRDefault="00276E20" w:rsidP="00276E20">
      <w:pPr>
        <w:autoSpaceDE w:val="0"/>
        <w:autoSpaceDN w:val="0"/>
        <w:adjustRightInd w:val="0"/>
        <w:rPr>
          <w:szCs w:val="24"/>
        </w:rPr>
      </w:pPr>
      <w:r w:rsidRPr="00020290">
        <w:rPr>
          <w:szCs w:val="24"/>
        </w:rPr>
        <w:t xml:space="preserve">        </w:t>
      </w:r>
      <w:r w:rsidRPr="00AC3C6A">
        <w:rPr>
          <w:szCs w:val="24"/>
        </w:rPr>
        <w:t>GAPDH akışı NAD</w:t>
      </w:r>
      <w:r w:rsidRPr="00AC3C6A">
        <w:rPr>
          <w:szCs w:val="24"/>
          <w:vertAlign w:val="superscript"/>
        </w:rPr>
        <w:t>+</w:t>
      </w:r>
      <w:r w:rsidRPr="00AC3C6A">
        <w:rPr>
          <w:szCs w:val="24"/>
        </w:rPr>
        <w:t xml:space="preserve"> /NADH redoks dengesi ile düzenlenebilir çünkü NAD</w:t>
      </w:r>
      <w:r w:rsidRPr="00AC3C6A">
        <w:rPr>
          <w:szCs w:val="24"/>
          <w:vertAlign w:val="superscript"/>
        </w:rPr>
        <w:t xml:space="preserve">+ </w:t>
      </w:r>
      <w:r w:rsidRPr="00AC3C6A">
        <w:rPr>
          <w:szCs w:val="24"/>
        </w:rPr>
        <w:t>GAPDH'nin glikolitik reaksiyonu için b</w:t>
      </w:r>
      <w:r w:rsidR="0024172E">
        <w:rPr>
          <w:szCs w:val="24"/>
        </w:rPr>
        <w:t>ir substrattır. Yapılan bir çalı</w:t>
      </w:r>
      <w:r w:rsidRPr="00AC3C6A">
        <w:rPr>
          <w:szCs w:val="24"/>
        </w:rPr>
        <w:t>şmada dört kanser hücre hattında NAD</w:t>
      </w:r>
      <w:r w:rsidRPr="00AC3C6A">
        <w:rPr>
          <w:szCs w:val="24"/>
          <w:vertAlign w:val="superscript"/>
        </w:rPr>
        <w:t>+</w:t>
      </w:r>
      <w:r w:rsidRPr="00AC3C6A">
        <w:rPr>
          <w:szCs w:val="24"/>
        </w:rPr>
        <w:t xml:space="preserve">/NADH oranı ölçülmüş ve hipoksi altında bu oranın azaldığı tespit edilmiştir (Ahn ve ark, 2018). Bu gözlem, oksijenin sınırlı olduğu koşullar altında, yetersiz oksidatif fosforilasyon sonucu ortamda NADH birikimi izlenen önceki raporlarla uyumlu bulunmuştur (Santidrian ve ark, 2013). Bu nedenle, hipoksik ortamda değişen redoks durumunun, GAPDH'nin enzimatik aktivitesini, HIF'ler tarafından aktive edilen diğer glikolitik enzimlere nispeten düşürdüğü ve DNA ile RNA'nın biyosentezi için oksidatif olmayan PPP'yi arttıran </w:t>
      </w:r>
      <w:r w:rsidRPr="00AC3C6A">
        <w:rPr>
          <w:szCs w:val="24"/>
        </w:rPr>
        <w:lastRenderedPageBreak/>
        <w:t xml:space="preserve">üst glikolitik metabolitlerin daha yüksek </w:t>
      </w:r>
      <w:proofErr w:type="gramStart"/>
      <w:r w:rsidRPr="00AC3C6A">
        <w:rPr>
          <w:szCs w:val="24"/>
        </w:rPr>
        <w:t>konsantrasyonlarını</w:t>
      </w:r>
      <w:proofErr w:type="gramEnd"/>
      <w:r w:rsidRPr="00AC3C6A">
        <w:rPr>
          <w:szCs w:val="24"/>
        </w:rPr>
        <w:t xml:space="preserve"> koruduğu belirlenmiştir. Hipokside oksidatif PPP’un azalış gösterdiği (glikolitik akışa göre), öte yandan oksidatif olmayan PPP ile daha fazla riboz-5-fosfat </w:t>
      </w:r>
      <w:r w:rsidR="00254DC4">
        <w:rPr>
          <w:szCs w:val="24"/>
        </w:rPr>
        <w:t xml:space="preserve">(R5P) </w:t>
      </w:r>
      <w:r w:rsidRPr="00AC3C6A">
        <w:rPr>
          <w:szCs w:val="24"/>
        </w:rPr>
        <w:t>sağlanarak kanser hücrelerine alternatif enerji kaynağı oluşturulduğu tespit edilmiştir (Ahn ve ark, 2018). GAPDH, PPP aracılı nükleotid biyosentezini ve TCA siklusu ile enerji üretimini dengelemede kritik rol oynamaktad</w:t>
      </w:r>
      <w:r w:rsidR="00C34D58">
        <w:rPr>
          <w:szCs w:val="24"/>
        </w:rPr>
        <w:t>ır (Dong ve ark, 2017)</w:t>
      </w:r>
      <w:r w:rsidR="000421CA">
        <w:rPr>
          <w:szCs w:val="24"/>
        </w:rPr>
        <w:t xml:space="preserve"> </w:t>
      </w:r>
      <w:r w:rsidR="00C34D58">
        <w:rPr>
          <w:szCs w:val="24"/>
        </w:rPr>
        <w:t xml:space="preserve">(Şekil </w:t>
      </w:r>
      <w:r w:rsidRPr="00AC3C6A">
        <w:rPr>
          <w:szCs w:val="24"/>
        </w:rPr>
        <w:t>1</w:t>
      </w:r>
      <w:r>
        <w:rPr>
          <w:szCs w:val="24"/>
        </w:rPr>
        <w:t>2</w:t>
      </w:r>
      <w:r w:rsidRPr="00AC3C6A">
        <w:rPr>
          <w:szCs w:val="24"/>
        </w:rPr>
        <w:t>).</w:t>
      </w:r>
    </w:p>
    <w:p w:rsidR="00276E20" w:rsidRPr="00020290" w:rsidRDefault="00276E20" w:rsidP="00276E20">
      <w:pPr>
        <w:autoSpaceDE w:val="0"/>
        <w:autoSpaceDN w:val="0"/>
        <w:adjustRightInd w:val="0"/>
        <w:rPr>
          <w:szCs w:val="24"/>
        </w:rPr>
      </w:pPr>
    </w:p>
    <w:p w:rsidR="00276E20" w:rsidRPr="00020290" w:rsidRDefault="00276E20" w:rsidP="00210384">
      <w:pPr>
        <w:pStyle w:val="AltKonuBal"/>
      </w:pPr>
      <w:r w:rsidRPr="00020290">
        <w:rPr>
          <w:noProof/>
          <w:lang w:eastAsia="tr-TR"/>
        </w:rPr>
        <w:drawing>
          <wp:inline distT="0" distB="0" distL="0" distR="0">
            <wp:extent cx="5638800" cy="2057400"/>
            <wp:effectExtent l="19050" t="0" r="0" b="0"/>
            <wp:docPr id="20" name="Resim 20"/>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36" cstate="print"/>
                    <a:srcRect/>
                    <a:stretch>
                      <a:fillRect/>
                    </a:stretch>
                  </pic:blipFill>
                  <pic:spPr bwMode="auto">
                    <a:xfrm>
                      <a:off x="0" y="0"/>
                      <a:ext cx="5659517" cy="2064959"/>
                    </a:xfrm>
                    <a:prstGeom prst="rect">
                      <a:avLst/>
                    </a:prstGeom>
                    <a:ln w="38100" cap="sq">
                      <a:noFill/>
                      <a:prstDash val="solid"/>
                      <a:miter lim="800000"/>
                    </a:ln>
                    <a:effectLst/>
                  </pic:spPr>
                </pic:pic>
              </a:graphicData>
            </a:graphic>
          </wp:inline>
        </w:drawing>
      </w:r>
    </w:p>
    <w:p w:rsidR="00276E20" w:rsidRPr="00020290" w:rsidRDefault="00276E20" w:rsidP="00276E20">
      <w:pPr>
        <w:rPr>
          <w:szCs w:val="24"/>
        </w:rPr>
      </w:pPr>
    </w:p>
    <w:p w:rsidR="00276E20" w:rsidRPr="00020290" w:rsidRDefault="00C34D58" w:rsidP="00276E20">
      <w:pPr>
        <w:rPr>
          <w:szCs w:val="24"/>
        </w:rPr>
      </w:pPr>
      <w:r>
        <w:rPr>
          <w:b/>
          <w:szCs w:val="24"/>
        </w:rPr>
        <w:t xml:space="preserve">Şekil </w:t>
      </w:r>
      <w:r w:rsidR="00276E20" w:rsidRPr="00802FA6">
        <w:rPr>
          <w:b/>
          <w:szCs w:val="24"/>
        </w:rPr>
        <w:t>12.</w:t>
      </w:r>
      <w:r w:rsidR="00276E20" w:rsidRPr="00020290">
        <w:rPr>
          <w:szCs w:val="24"/>
        </w:rPr>
        <w:t xml:space="preserve"> Hipoksik ve normoksik koşullarda </w:t>
      </w:r>
      <w:r w:rsidR="00276E20" w:rsidRPr="00020290">
        <w:rPr>
          <w:bCs/>
          <w:szCs w:val="24"/>
        </w:rPr>
        <w:t xml:space="preserve">GAPDH aracılı glikolitik akı </w:t>
      </w:r>
      <w:r w:rsidR="00276E20" w:rsidRPr="00020290">
        <w:rPr>
          <w:szCs w:val="24"/>
        </w:rPr>
        <w:t>(Dong ve ark, 2017’den değiştirilerek alınmıştır).</w:t>
      </w:r>
    </w:p>
    <w:p w:rsidR="00276E20" w:rsidRPr="00020290" w:rsidRDefault="00276E20" w:rsidP="00276E20">
      <w:pPr>
        <w:rPr>
          <w:szCs w:val="24"/>
        </w:rPr>
      </w:pPr>
    </w:p>
    <w:p w:rsidR="00276E20" w:rsidRPr="00020290" w:rsidRDefault="00276E20" w:rsidP="00276E20">
      <w:pPr>
        <w:autoSpaceDE w:val="0"/>
        <w:autoSpaceDN w:val="0"/>
        <w:adjustRightInd w:val="0"/>
        <w:ind w:firstLine="709"/>
        <w:rPr>
          <w:szCs w:val="24"/>
        </w:rPr>
      </w:pPr>
      <w:r w:rsidRPr="00020290">
        <w:rPr>
          <w:szCs w:val="24"/>
        </w:rPr>
        <w:t xml:space="preserve">GAPDH çeşitli insan kanser hücresi modellerinde ve özellikle meme, prostat, pankreatik ve akciğer kanser hastalarında aşırı eksprese edilir (Cerella ve ark, 2014). Enzimin aşırı ekspresyonu ile zayıf prognoz arasında bir ilişki vardır çünkü en </w:t>
      </w:r>
      <w:proofErr w:type="gramStart"/>
      <w:r w:rsidRPr="00020290">
        <w:rPr>
          <w:szCs w:val="24"/>
        </w:rPr>
        <w:t>agresif</w:t>
      </w:r>
      <w:proofErr w:type="gramEnd"/>
      <w:r w:rsidRPr="00020290">
        <w:rPr>
          <w:szCs w:val="24"/>
        </w:rPr>
        <w:t xml:space="preserve"> ve/veya geç evre formları çoğu zaman GAPDH dahil olmak üzere glikolitik enzimlerin önemli ölçüde artan seviyelerini gösterir (Puzone ve ark, 2013). GAPDH artan enerji ihtiyacını karşılamanın yanı sıra, kararlı bir sağ kalım faktö</w:t>
      </w:r>
      <w:r w:rsidR="002A52AB">
        <w:rPr>
          <w:szCs w:val="24"/>
        </w:rPr>
        <w:t>rü olarak da ortaya çıkmaktadır</w:t>
      </w:r>
      <w:r w:rsidRPr="00020290">
        <w:rPr>
          <w:szCs w:val="24"/>
        </w:rPr>
        <w:t xml:space="preserve"> (Colell ve ark, 2009). GAPDH’in aşırı ekspresyonu hücresel ATP seviyesini arttırmak, glikolizi uyarmak ve otofajiyi arttırmak suretiyle kaspaz bağlı hücre ölümünü önler (Roy ve ark, 2017). </w:t>
      </w:r>
    </w:p>
    <w:p w:rsidR="00276E20" w:rsidRPr="00020290" w:rsidRDefault="009D1E3D" w:rsidP="00276E20">
      <w:pPr>
        <w:autoSpaceDE w:val="0"/>
        <w:autoSpaceDN w:val="0"/>
        <w:adjustRightInd w:val="0"/>
        <w:ind w:firstLine="709"/>
        <w:rPr>
          <w:szCs w:val="24"/>
        </w:rPr>
      </w:pPr>
      <w:r>
        <w:rPr>
          <w:szCs w:val="24"/>
        </w:rPr>
        <w:t xml:space="preserve">Yapılan </w:t>
      </w:r>
      <w:r w:rsidR="00276E20" w:rsidRPr="00020290">
        <w:rPr>
          <w:szCs w:val="24"/>
        </w:rPr>
        <w:t>çalışmalar</w:t>
      </w:r>
      <w:r>
        <w:rPr>
          <w:szCs w:val="24"/>
        </w:rPr>
        <w:t>la</w:t>
      </w:r>
      <w:r w:rsidR="00276E20" w:rsidRPr="00020290">
        <w:rPr>
          <w:szCs w:val="24"/>
        </w:rPr>
        <w:t xml:space="preserve"> GAPDH'in tümör ilerlemesine katkı sağladığını ve yeni bir terapötik hedef</w:t>
      </w:r>
      <w:r>
        <w:rPr>
          <w:szCs w:val="24"/>
        </w:rPr>
        <w:t xml:space="preserve"> olarak görüldüğünü gösterilmekle birlikte </w:t>
      </w:r>
      <w:r w:rsidR="00276E20" w:rsidRPr="00020290">
        <w:rPr>
          <w:szCs w:val="24"/>
        </w:rPr>
        <w:t xml:space="preserve">sayısız hücresel fonksiyonunun ve düzensiz ekspresyon seviyelerinin ilgili </w:t>
      </w:r>
      <w:proofErr w:type="gramStart"/>
      <w:r w:rsidR="00276E20" w:rsidRPr="00020290">
        <w:rPr>
          <w:szCs w:val="24"/>
        </w:rPr>
        <w:t>regülasyon</w:t>
      </w:r>
      <w:proofErr w:type="gramEnd"/>
      <w:r w:rsidR="00276E20" w:rsidRPr="00020290">
        <w:rPr>
          <w:szCs w:val="24"/>
        </w:rPr>
        <w:t xml:space="preserve"> mekanizmaları belirsizliğini korumaktadır. GAPDH, transkripsiyonel ve post-transkripsiyonel seviyelerde sıkı bir şekilde düzenlenir. İnsülin, HIF-1, p53, nitrik oksit (NO) ve asetillenmiş histon gibi kansere bağlı çeşitli faktörler, yalnızca GAPDH gen ekspresyonunu </w:t>
      </w:r>
      <w:proofErr w:type="gramStart"/>
      <w:r w:rsidR="00276E20" w:rsidRPr="00020290">
        <w:rPr>
          <w:szCs w:val="24"/>
        </w:rPr>
        <w:t>modüle</w:t>
      </w:r>
      <w:proofErr w:type="gramEnd"/>
      <w:r w:rsidR="00276E20" w:rsidRPr="00020290">
        <w:rPr>
          <w:szCs w:val="24"/>
        </w:rPr>
        <w:t xml:space="preserve"> etmekle kalmaz, aynı zamanda </w:t>
      </w:r>
      <w:r w:rsidR="00276E20" w:rsidRPr="00020290">
        <w:rPr>
          <w:szCs w:val="24"/>
        </w:rPr>
        <w:lastRenderedPageBreak/>
        <w:t>ortak yollar aracılığıyla protein fonksiyonlarını etkiler. Ayrıca, kanser hücrelerinde GAPDH'de meydana gelen pos</w:t>
      </w:r>
      <w:r w:rsidR="00254DC4">
        <w:rPr>
          <w:szCs w:val="24"/>
        </w:rPr>
        <w:t xml:space="preserve">t-translasyonel modifikasyonlar, </w:t>
      </w:r>
      <w:r w:rsidR="00276E20" w:rsidRPr="00020290">
        <w:rPr>
          <w:szCs w:val="24"/>
        </w:rPr>
        <w:t>GAPDH'nin orijinal glikolitik fonksiyonu ile ilgili olmayan yeni faaliyetlerle de sonuçlanır (Zhang ve ark, 2015).</w:t>
      </w:r>
    </w:p>
    <w:p w:rsidR="00276E20" w:rsidRDefault="00276E20" w:rsidP="00276E20">
      <w:pPr>
        <w:autoSpaceDE w:val="0"/>
        <w:autoSpaceDN w:val="0"/>
        <w:adjustRightInd w:val="0"/>
        <w:ind w:firstLine="708"/>
        <w:rPr>
          <w:szCs w:val="24"/>
        </w:rPr>
      </w:pPr>
    </w:p>
    <w:p w:rsidR="00276E20" w:rsidRPr="00020290" w:rsidRDefault="00276E20" w:rsidP="00276E20">
      <w:pPr>
        <w:autoSpaceDE w:val="0"/>
        <w:autoSpaceDN w:val="0"/>
        <w:adjustRightInd w:val="0"/>
        <w:ind w:firstLine="708"/>
        <w:rPr>
          <w:szCs w:val="24"/>
        </w:rPr>
      </w:pPr>
    </w:p>
    <w:p w:rsidR="00276E20" w:rsidRPr="00020290" w:rsidRDefault="00276E20" w:rsidP="000C080A">
      <w:pPr>
        <w:pStyle w:val="Balk2"/>
      </w:pPr>
      <w:r w:rsidRPr="00020290">
        <w:t>2.1</w:t>
      </w:r>
      <w:r w:rsidR="006F4696">
        <w:t>2</w:t>
      </w:r>
      <w:r w:rsidRPr="00020290">
        <w:t>.4</w:t>
      </w:r>
      <w:r w:rsidR="00861AA3">
        <w:t>.</w:t>
      </w:r>
      <w:r w:rsidRPr="00020290">
        <w:t xml:space="preserve"> Glukoz-6-</w:t>
      </w:r>
      <w:r w:rsidR="00254DC4">
        <w:t>f</w:t>
      </w:r>
      <w:r w:rsidRPr="00020290">
        <w:t>osfat dehidrogenaz (G6PD)</w:t>
      </w:r>
    </w:p>
    <w:p w:rsidR="00276E20" w:rsidRPr="00020290" w:rsidRDefault="00276E20" w:rsidP="00276E20">
      <w:pPr>
        <w:rPr>
          <w:b/>
          <w:szCs w:val="24"/>
        </w:rPr>
      </w:pPr>
    </w:p>
    <w:p w:rsidR="00276E20" w:rsidRPr="00020290" w:rsidRDefault="00276E20" w:rsidP="00276E20">
      <w:pPr>
        <w:autoSpaceDE w:val="0"/>
        <w:autoSpaceDN w:val="0"/>
        <w:adjustRightInd w:val="0"/>
        <w:ind w:firstLine="709"/>
        <w:rPr>
          <w:szCs w:val="24"/>
        </w:rPr>
      </w:pPr>
      <w:r w:rsidRPr="00020290">
        <w:rPr>
          <w:szCs w:val="24"/>
        </w:rPr>
        <w:t xml:space="preserve">Glukoz, çok hücreli organizmalar için ortak bir yakıttır, hücrelere bir GLUT vasıtasıyla girer ve daha sonra G6P oluşturmak üzere HK ile fosforillenir. G6P daha sonra F6P’a izomerleştirilir ve çeşitli glikolitik enzimler tarafından piruvat haline getirilmek üzere glikoliz yoluyla metabolize edilir, bu da ATP ve diğer esansiyel metabolitlerin üretilmesini sağlar. G6P ayrıca PPP’nin oksidatif dalında </w:t>
      </w:r>
      <w:r w:rsidR="00254DC4">
        <w:rPr>
          <w:szCs w:val="24"/>
        </w:rPr>
        <w:t>glukoz-6-fosfat dehidregenaz (</w:t>
      </w:r>
      <w:r w:rsidRPr="00020290">
        <w:rPr>
          <w:szCs w:val="24"/>
        </w:rPr>
        <w:t>G6PD</w:t>
      </w:r>
      <w:r w:rsidR="00254DC4">
        <w:rPr>
          <w:szCs w:val="24"/>
        </w:rPr>
        <w:t>) enzimi</w:t>
      </w:r>
      <w:r w:rsidRPr="00020290">
        <w:rPr>
          <w:szCs w:val="24"/>
        </w:rPr>
        <w:t xml:space="preserve"> ile dehidrojenize edilebilir. Bu reaksiyon fizyolojik koşullar altında geri döndürülemez ve hız sınırlayıcıdır (Jiang ve ark, 2014).</w:t>
      </w:r>
    </w:p>
    <w:p w:rsidR="00276E20" w:rsidRPr="00020290" w:rsidRDefault="00276E20" w:rsidP="00276E20">
      <w:pPr>
        <w:autoSpaceDE w:val="0"/>
        <w:autoSpaceDN w:val="0"/>
        <w:adjustRightInd w:val="0"/>
        <w:ind w:firstLine="708"/>
        <w:rPr>
          <w:szCs w:val="24"/>
        </w:rPr>
      </w:pPr>
      <w:r w:rsidRPr="00020290">
        <w:rPr>
          <w:szCs w:val="24"/>
        </w:rPr>
        <w:t xml:space="preserve">Ayrıca fosfoglukonat yolu veya heksoz monofosfat şantı olarak da bilinen PPP, glukoz metabolizmasının ilk </w:t>
      </w:r>
      <w:r>
        <w:rPr>
          <w:szCs w:val="24"/>
        </w:rPr>
        <w:t>dallanmış</w:t>
      </w:r>
      <w:r w:rsidRPr="00020290">
        <w:rPr>
          <w:szCs w:val="24"/>
        </w:rPr>
        <w:t xml:space="preserve"> adımı olarak glikolizden </w:t>
      </w:r>
      <w:r>
        <w:rPr>
          <w:szCs w:val="24"/>
        </w:rPr>
        <w:t>ayrılır</w:t>
      </w:r>
      <w:r w:rsidRPr="00020290">
        <w:rPr>
          <w:szCs w:val="24"/>
        </w:rPr>
        <w:t xml:space="preserve"> (Kowalik ve ark, 2017). PPP, oksidatif ve oksidatif olmayan yollar içerir. G6PD oksidatif dalda bir kontrol bölgesi olarak işlev gören ilk ve hız sınırlayan enzim iken transketolaz (TKT) ve transaldolaz oksidatif olmayan daldaki iki anahtar enzimdir (Wood, </w:t>
      </w:r>
      <w:hyperlink r:id="rId37" w:anchor="CR80" w:history="1">
        <w:r w:rsidRPr="00020290">
          <w:rPr>
            <w:szCs w:val="24"/>
          </w:rPr>
          <w:t>1986</w:t>
        </w:r>
      </w:hyperlink>
      <w:r w:rsidR="00670307">
        <w:t>;</w:t>
      </w:r>
      <w:r w:rsidR="00641733">
        <w:t xml:space="preserve"> </w:t>
      </w:r>
      <w:r w:rsidR="00641733" w:rsidRPr="00020290">
        <w:rPr>
          <w:szCs w:val="24"/>
        </w:rPr>
        <w:t>Kletzien ve ark, </w:t>
      </w:r>
      <w:hyperlink r:id="rId38" w:anchor="CR39" w:history="1">
        <w:r w:rsidR="00641733" w:rsidRPr="00020290">
          <w:rPr>
            <w:szCs w:val="24"/>
          </w:rPr>
          <w:t>1994</w:t>
        </w:r>
      </w:hyperlink>
      <w:r w:rsidR="00641733">
        <w:rPr>
          <w:szCs w:val="24"/>
        </w:rPr>
        <w:t>;</w:t>
      </w:r>
      <w:r w:rsidR="00670307">
        <w:t xml:space="preserve"> </w:t>
      </w:r>
      <w:r w:rsidR="00670307" w:rsidRPr="00020290">
        <w:rPr>
          <w:szCs w:val="24"/>
        </w:rPr>
        <w:t>Stanton, </w:t>
      </w:r>
      <w:hyperlink r:id="rId39" w:anchor="CR65" w:history="1">
        <w:r w:rsidR="00670307" w:rsidRPr="00020290">
          <w:rPr>
            <w:szCs w:val="24"/>
          </w:rPr>
          <w:t>2012</w:t>
        </w:r>
      </w:hyperlink>
      <w:r w:rsidRPr="00020290">
        <w:rPr>
          <w:szCs w:val="24"/>
        </w:rPr>
        <w:t>). Oksidatif faz da, G6P, G6PD ile 6-fosfoglukano-δ-laktona dönüştürülür. 6-fosfoglukano-δ-lakton, 6-fosfoglukonatın oluşumu için hidrolizlenir; bu daha sonra, beş-karbonlu moleküler ribüloz 5-fosfat (Ru5P)’ı oluşturacak şekilde 6-fosfoglukonat dehidro</w:t>
      </w:r>
      <w:r w:rsidR="00095114">
        <w:rPr>
          <w:szCs w:val="24"/>
        </w:rPr>
        <w:t>g</w:t>
      </w:r>
      <w:r w:rsidRPr="00020290">
        <w:rPr>
          <w:szCs w:val="24"/>
        </w:rPr>
        <w:t>enaz (6PGD) ile oksidatif olarak dekarboksile edilir (Jiang ve ark, 2014)</w:t>
      </w:r>
      <w:r w:rsidR="0088250B" w:rsidRPr="0088250B">
        <w:rPr>
          <w:szCs w:val="24"/>
        </w:rPr>
        <w:t xml:space="preserve"> </w:t>
      </w:r>
      <w:r w:rsidR="0088250B" w:rsidRPr="00020290">
        <w:rPr>
          <w:szCs w:val="24"/>
        </w:rPr>
        <w:t>(Şekil 1</w:t>
      </w:r>
      <w:r w:rsidR="0088250B">
        <w:rPr>
          <w:szCs w:val="24"/>
        </w:rPr>
        <w:t>3</w:t>
      </w:r>
      <w:r w:rsidR="0088250B" w:rsidRPr="00020290">
        <w:rPr>
          <w:szCs w:val="24"/>
        </w:rPr>
        <w:t>)</w:t>
      </w:r>
      <w:r w:rsidRPr="00020290">
        <w:rPr>
          <w:szCs w:val="24"/>
        </w:rPr>
        <w:t xml:space="preserve">. Ru5P'den </w:t>
      </w:r>
      <w:r w:rsidR="00254DC4">
        <w:rPr>
          <w:szCs w:val="24"/>
        </w:rPr>
        <w:t>R5P</w:t>
      </w:r>
      <w:r w:rsidRPr="00020290">
        <w:rPr>
          <w:szCs w:val="24"/>
        </w:rPr>
        <w:t xml:space="preserve"> üretimi ve fosforibozil pirofosfata dönüşümü, ribonükleotitlerin sentezi için omurga sağlar (DeBerardinis ve</w:t>
      </w:r>
      <w:r>
        <w:rPr>
          <w:szCs w:val="24"/>
        </w:rPr>
        <w:t xml:space="preserve"> ark, 2008;</w:t>
      </w:r>
      <w:r w:rsidR="00670307">
        <w:rPr>
          <w:szCs w:val="24"/>
        </w:rPr>
        <w:t xml:space="preserve"> </w:t>
      </w:r>
      <w:r w:rsidR="00670307" w:rsidRPr="00020290">
        <w:rPr>
          <w:szCs w:val="24"/>
        </w:rPr>
        <w:t xml:space="preserve">Patra ve </w:t>
      </w:r>
      <w:r w:rsidR="00670307">
        <w:rPr>
          <w:szCs w:val="24"/>
        </w:rPr>
        <w:t>Hay</w:t>
      </w:r>
      <w:r w:rsidR="00670307" w:rsidRPr="00020290">
        <w:rPr>
          <w:szCs w:val="24"/>
        </w:rPr>
        <w:t>, 2014</w:t>
      </w:r>
      <w:r w:rsidR="00670307">
        <w:rPr>
          <w:szCs w:val="24"/>
        </w:rPr>
        <w:t>;</w:t>
      </w:r>
      <w:r>
        <w:rPr>
          <w:szCs w:val="24"/>
        </w:rPr>
        <w:t xml:space="preserve"> Kowalik ve ark, 2017</w:t>
      </w:r>
      <w:r w:rsidRPr="00020290">
        <w:rPr>
          <w:szCs w:val="24"/>
        </w:rPr>
        <w:t xml:space="preserve">). PPP'nin oksidatif olmayan kolunda ise, F6P ve G3P gibi başka metabolitleri de üreten bir dizi geri dönüşümlü reaksiyon ile ribonükleotit sentezi için pentoz fosfatlar üretilir (Kowalik ve ark, 2017). (Şekil </w:t>
      </w:r>
      <w:r>
        <w:rPr>
          <w:szCs w:val="24"/>
        </w:rPr>
        <w:t>2</w:t>
      </w:r>
      <w:r w:rsidRPr="00020290">
        <w:rPr>
          <w:szCs w:val="24"/>
        </w:rPr>
        <w:t>.1</w:t>
      </w:r>
      <w:r>
        <w:rPr>
          <w:szCs w:val="24"/>
        </w:rPr>
        <w:t>3</w:t>
      </w:r>
      <w:r w:rsidRPr="00020290">
        <w:rPr>
          <w:szCs w:val="24"/>
        </w:rPr>
        <w:t>) PPP dalı ve bu yoldaki enzimlerin allosterik düzenlenmesi, PPP'nin farklı modlarda çalışan hücrelerin metabolik taleplerine adapte olmasını sağlar (</w:t>
      </w:r>
      <w:proofErr w:type="gramStart"/>
      <w:r w:rsidRPr="00020290">
        <w:rPr>
          <w:szCs w:val="24"/>
        </w:rPr>
        <w:t>Patra</w:t>
      </w:r>
      <w:proofErr w:type="gramEnd"/>
      <w:r w:rsidRPr="00020290">
        <w:rPr>
          <w:szCs w:val="24"/>
        </w:rPr>
        <w:t xml:space="preserve"> ve </w:t>
      </w:r>
      <w:r>
        <w:rPr>
          <w:szCs w:val="24"/>
        </w:rPr>
        <w:t>Hay</w:t>
      </w:r>
      <w:r w:rsidRPr="00020290">
        <w:rPr>
          <w:szCs w:val="24"/>
        </w:rPr>
        <w:t>, 2014).</w:t>
      </w:r>
    </w:p>
    <w:p w:rsidR="00276E20" w:rsidRPr="00020290" w:rsidRDefault="00276E20" w:rsidP="00276E20">
      <w:pPr>
        <w:autoSpaceDE w:val="0"/>
        <w:autoSpaceDN w:val="0"/>
        <w:adjustRightInd w:val="0"/>
        <w:ind w:firstLine="708"/>
        <w:rPr>
          <w:szCs w:val="24"/>
        </w:rPr>
      </w:pPr>
      <w:r>
        <w:rPr>
          <w:szCs w:val="24"/>
        </w:rPr>
        <w:t>H</w:t>
      </w:r>
      <w:r w:rsidRPr="00020290">
        <w:rPr>
          <w:szCs w:val="24"/>
        </w:rPr>
        <w:t xml:space="preserve">ücrelerde G6PD, hem monomerik hem de dimerik formlarda bulunur. Dimerik G6PD aktif formdur, fakat monomerik formu az miktarda katalitik aktiviteye sahiptir veya hiç aktivitesi yoktur. G6PD’nin, fizyolojik koşullar altında sitozolde monomer-dimer durumu dengededir. G6PD aktivitesinin </w:t>
      </w:r>
      <w:proofErr w:type="gramStart"/>
      <w:r w:rsidRPr="00020290">
        <w:rPr>
          <w:szCs w:val="24"/>
        </w:rPr>
        <w:t>regülasyonunun</w:t>
      </w:r>
      <w:proofErr w:type="gramEnd"/>
      <w:r w:rsidRPr="00020290">
        <w:rPr>
          <w:szCs w:val="24"/>
        </w:rPr>
        <w:t xml:space="preserve">, monomer-dimer dengesi değiştirilerek sağlanabileceği varsayılmıştır. Yapılan bir çalışma, tümör baskılayıcı protein p53'ün de </w:t>
      </w:r>
      <w:r w:rsidRPr="00020290">
        <w:rPr>
          <w:szCs w:val="24"/>
        </w:rPr>
        <w:lastRenderedPageBreak/>
        <w:t xml:space="preserve">doğrudan G6PD'ye bağlanarak ve dimerizasyonunu önleyerek G6PD aktivitesini kontrol ettiğini ortaya koymuştur (Jiang ve ark, 2014). </w:t>
      </w:r>
    </w:p>
    <w:p w:rsidR="00276E20" w:rsidRDefault="00276E20" w:rsidP="00276E20">
      <w:pPr>
        <w:autoSpaceDE w:val="0"/>
        <w:autoSpaceDN w:val="0"/>
        <w:adjustRightInd w:val="0"/>
        <w:ind w:firstLine="708"/>
        <w:rPr>
          <w:szCs w:val="24"/>
        </w:rPr>
      </w:pPr>
      <w:r>
        <w:rPr>
          <w:szCs w:val="24"/>
        </w:rPr>
        <w:t>K</w:t>
      </w:r>
      <w:r w:rsidRPr="00020290">
        <w:rPr>
          <w:szCs w:val="24"/>
        </w:rPr>
        <w:t>anser hücreleri için özellikle PPP kritiktir, çünkü nükleik asit sentezini arttırmak için sadece pentoz fosfatlar üretmekle kalmaz, aynı zamanda stres koşullarında hem yağ asitlerinin sentezi hem de hücrenin hayatta kalması iç</w:t>
      </w:r>
      <w:r w:rsidR="002A52AB">
        <w:rPr>
          <w:szCs w:val="24"/>
        </w:rPr>
        <w:t>in gerekli olan NADPH'yi sağlar</w:t>
      </w:r>
      <w:r w:rsidRPr="00020290">
        <w:rPr>
          <w:szCs w:val="24"/>
        </w:rPr>
        <w:t xml:space="preserve"> (</w:t>
      </w:r>
      <w:proofErr w:type="gramStart"/>
      <w:r w:rsidRPr="00020290">
        <w:rPr>
          <w:szCs w:val="24"/>
        </w:rPr>
        <w:t>Patra</w:t>
      </w:r>
      <w:proofErr w:type="gramEnd"/>
      <w:r w:rsidRPr="00020290">
        <w:rPr>
          <w:szCs w:val="24"/>
        </w:rPr>
        <w:t xml:space="preserve"> ve </w:t>
      </w:r>
      <w:r>
        <w:rPr>
          <w:szCs w:val="24"/>
        </w:rPr>
        <w:t>Hay</w:t>
      </w:r>
      <w:r w:rsidRPr="00020290">
        <w:rPr>
          <w:szCs w:val="24"/>
        </w:rPr>
        <w:t xml:space="preserve">, 2014). G6PD, PPP'nin ilk geri dönüşümsüz reaksiyonunu katalizleyerek indirgeyici ajan NADPH'yi de üretir. NADPH hem indirgeyici biyosentezde hem de hücrelerin makro moleküllere zarar veren ve sonuçta hücre ölümüne neden olan ROS’tan korunmasında, hayati bir rol oynar. NADPH'nin hücresel ROS'u temizlemedeki kritik işlevi nedeniyle, G6PD antioksidan savunmasında önem taşır; gerçekten de G6PD eksikliği olan hücreler genellikle oksidatif strese karşı oldukça hassastır. Bu enzim PPP'deki oranı sınırlayan enzim olduğundan ve bu yolun bir "kapı bekçisi" olarak işlev gördüğünden, G6PD'nin aktivitesi doğrudan oksidatif PPP'nin akışını yansıtır ve glikoliz ile PPP arasında ayrılan akıyı belirler. Bu nedenle de G6PD ekspresyonu ve aktivitesi hücrelerde sıkı bir şekilde kontrol edilmelidir (Jiang ve ark, 2014). Yüksek G6PD aktivitesinin, hem hücre bölünmesi hem de çoğalması için gerekli olan lipidlerin ve DNA'nın biyosentezinde bir artışa yol açması beklenir. Bu nedenle, hızlı çoğalan hücreler veya kanser hücreleri, çoğalma sırasında biyoenerjetik talepleri karşılamak için G6PD'yi aktive ederek genellikle PPP akışını arttırırlar. Bunun yanında, oksidatif yolağın diğer NADPH-üreten enzimi olan 6PGD, oksidatif PPP akışının ayarlanmasında rol oynayabilir. G6PD'ye benzer şekilde, 6PGD de NADPH ve R5P üretimini </w:t>
      </w:r>
      <w:proofErr w:type="gramStart"/>
      <w:r w:rsidRPr="00020290">
        <w:rPr>
          <w:szCs w:val="24"/>
        </w:rPr>
        <w:t>modüle</w:t>
      </w:r>
      <w:proofErr w:type="gramEnd"/>
      <w:r w:rsidRPr="00020290">
        <w:rPr>
          <w:szCs w:val="24"/>
        </w:rPr>
        <w:t xml:space="preserve"> ederek hücresel indirgeme biyosentezi ve h</w:t>
      </w:r>
      <w:r w:rsidR="002A52AB">
        <w:rPr>
          <w:szCs w:val="24"/>
        </w:rPr>
        <w:t>ücre çoğalmasını düzenleyebilir</w:t>
      </w:r>
      <w:r w:rsidRPr="00020290">
        <w:rPr>
          <w:szCs w:val="24"/>
        </w:rPr>
        <w:t xml:space="preserve"> (Jiang ve ark, 2014). </w:t>
      </w:r>
      <w:proofErr w:type="gramStart"/>
      <w:r>
        <w:rPr>
          <w:szCs w:val="24"/>
        </w:rPr>
        <w:t>Patra</w:t>
      </w:r>
      <w:proofErr w:type="gramEnd"/>
      <w:r>
        <w:rPr>
          <w:szCs w:val="24"/>
        </w:rPr>
        <w:t xml:space="preserve"> ve Hay (2014)</w:t>
      </w:r>
      <w:r w:rsidR="00670307">
        <w:rPr>
          <w:szCs w:val="24"/>
        </w:rPr>
        <w:t>,</w:t>
      </w:r>
      <w:r>
        <w:rPr>
          <w:szCs w:val="24"/>
        </w:rPr>
        <w:t xml:space="preserve"> yaptıkları bir araştırmadan </w:t>
      </w:r>
      <w:r w:rsidRPr="00020290">
        <w:rPr>
          <w:szCs w:val="24"/>
        </w:rPr>
        <w:t>elde edilen veriler kanser hücrelerinde neoplastik lezyonların PPP akışını doğrudan veya dolaylı olar</w:t>
      </w:r>
      <w:r>
        <w:rPr>
          <w:szCs w:val="24"/>
        </w:rPr>
        <w:t xml:space="preserve">ak modüle ettiğini göstermiştir. </w:t>
      </w:r>
      <w:r w:rsidRPr="00020290">
        <w:rPr>
          <w:szCs w:val="24"/>
        </w:rPr>
        <w:t>G6PD'nin çoğu memeli türünde yüksek oranda korunduğu ve meme ile adrenal bezler, adipoz doku, dalak, akciğer, karaciğer ve nöron hücreleri gibi birçok normal dokuda mevcut olduğu bulunmuştur. Karaciğer ve yağ dokusunda, G6PD aktivitesinin düzenlenmesi, NADPH gereksinimlerindeki değişiklikleri içeren mekanizmalara dayanır; NADPH tüketimindeki bir artış</w:t>
      </w:r>
      <w:r>
        <w:rPr>
          <w:szCs w:val="24"/>
        </w:rPr>
        <w:t xml:space="preserve">ın G6PD seviyelerindeki bir artışa paralelel </w:t>
      </w:r>
      <w:proofErr w:type="gramStart"/>
      <w:r>
        <w:rPr>
          <w:szCs w:val="24"/>
        </w:rPr>
        <w:t>olduğu,</w:t>
      </w:r>
      <w:r w:rsidRPr="00020290">
        <w:rPr>
          <w:szCs w:val="24"/>
        </w:rPr>
        <w:t>tümör</w:t>
      </w:r>
      <w:proofErr w:type="gramEnd"/>
      <w:r w:rsidRPr="00020290">
        <w:rPr>
          <w:szCs w:val="24"/>
        </w:rPr>
        <w:t xml:space="preserve"> hücrelerinde ve neoplastik dokularda G6PD'nin anlam</w:t>
      </w:r>
      <w:r>
        <w:rPr>
          <w:szCs w:val="24"/>
        </w:rPr>
        <w:t>lı bir şekilde upregüle olduğu</w:t>
      </w:r>
      <w:r w:rsidRPr="00020290">
        <w:rPr>
          <w:szCs w:val="24"/>
        </w:rPr>
        <w:t xml:space="preserve"> ortaya koy</w:t>
      </w:r>
      <w:r>
        <w:rPr>
          <w:szCs w:val="24"/>
        </w:rPr>
        <w:t>ulmuştur (Kowalik ve ark, 2017</w:t>
      </w:r>
      <w:r w:rsidRPr="00020290">
        <w:rPr>
          <w:szCs w:val="24"/>
        </w:rPr>
        <w:t>).</w:t>
      </w:r>
    </w:p>
    <w:p w:rsidR="00276E20" w:rsidRPr="00020290" w:rsidRDefault="00276E20" w:rsidP="00276E20">
      <w:pPr>
        <w:autoSpaceDE w:val="0"/>
        <w:autoSpaceDN w:val="0"/>
        <w:adjustRightInd w:val="0"/>
        <w:ind w:firstLine="708"/>
        <w:rPr>
          <w:szCs w:val="24"/>
        </w:rPr>
      </w:pPr>
    </w:p>
    <w:p w:rsidR="00276E20" w:rsidRPr="00020290" w:rsidRDefault="00276E20" w:rsidP="00210384">
      <w:pPr>
        <w:pStyle w:val="AltKonuBal"/>
      </w:pPr>
      <w:r w:rsidRPr="00020290">
        <w:rPr>
          <w:noProof/>
          <w:lang w:eastAsia="tr-TR"/>
        </w:rPr>
        <w:lastRenderedPageBreak/>
        <w:drawing>
          <wp:inline distT="0" distB="0" distL="0" distR="0">
            <wp:extent cx="5652000" cy="4038600"/>
            <wp:effectExtent l="19050" t="0" r="5850" b="0"/>
            <wp:docPr id="40" name="Resim 40"/>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40" cstate="print"/>
                    <a:srcRect/>
                    <a:stretch>
                      <a:fillRect/>
                    </a:stretch>
                  </pic:blipFill>
                  <pic:spPr bwMode="auto">
                    <a:xfrm>
                      <a:off x="0" y="0"/>
                      <a:ext cx="5652000" cy="4038600"/>
                    </a:xfrm>
                    <a:prstGeom prst="rect">
                      <a:avLst/>
                    </a:prstGeom>
                    <a:ln w="38100" cap="sq">
                      <a:noFill/>
                      <a:prstDash val="solid"/>
                      <a:miter lim="800000"/>
                    </a:ln>
                    <a:effectLst/>
                  </pic:spPr>
                </pic:pic>
              </a:graphicData>
            </a:graphic>
          </wp:inline>
        </w:drawing>
      </w:r>
    </w:p>
    <w:p w:rsidR="00276E20" w:rsidRPr="006B4315" w:rsidRDefault="00276E20" w:rsidP="00276E20">
      <w:pPr>
        <w:rPr>
          <w:szCs w:val="24"/>
        </w:rPr>
      </w:pPr>
    </w:p>
    <w:p w:rsidR="00276E20" w:rsidRDefault="00C34D58" w:rsidP="00276E20">
      <w:pPr>
        <w:rPr>
          <w:szCs w:val="24"/>
        </w:rPr>
      </w:pPr>
      <w:r>
        <w:rPr>
          <w:b/>
          <w:szCs w:val="24"/>
        </w:rPr>
        <w:t xml:space="preserve">Şekil </w:t>
      </w:r>
      <w:r w:rsidR="00276E20" w:rsidRPr="00802FA6">
        <w:rPr>
          <w:b/>
          <w:szCs w:val="24"/>
        </w:rPr>
        <w:t>13.</w:t>
      </w:r>
      <w:r w:rsidR="00276E20" w:rsidRPr="00020290">
        <w:rPr>
          <w:szCs w:val="24"/>
        </w:rPr>
        <w:t xml:space="preserve"> PPP ve glikolizin şematik gösterimi (Jiang ve ark, 2014’ten değiştirilerek alınmıştır).</w:t>
      </w:r>
    </w:p>
    <w:p w:rsidR="00276E20" w:rsidRDefault="00276E20" w:rsidP="00276E20">
      <w:pPr>
        <w:rPr>
          <w:szCs w:val="24"/>
        </w:rPr>
      </w:pPr>
    </w:p>
    <w:p w:rsidR="00276E20" w:rsidRDefault="00276E20" w:rsidP="00276E20">
      <w:pPr>
        <w:rPr>
          <w:szCs w:val="24"/>
        </w:rPr>
      </w:pPr>
    </w:p>
    <w:p w:rsidR="00276E20" w:rsidRPr="00020290" w:rsidRDefault="00276E20" w:rsidP="000C080A">
      <w:pPr>
        <w:pStyle w:val="Balk2"/>
      </w:pPr>
      <w:r w:rsidRPr="00020290">
        <w:t>2.1</w:t>
      </w:r>
      <w:r w:rsidR="006F4696">
        <w:t>2</w:t>
      </w:r>
      <w:r w:rsidRPr="00020290">
        <w:t>.5</w:t>
      </w:r>
      <w:r w:rsidR="00861AA3">
        <w:t>.</w:t>
      </w:r>
      <w:r w:rsidR="002A52AB">
        <w:t xml:space="preserve"> Piruvat K</w:t>
      </w:r>
      <w:r w:rsidRPr="00020290">
        <w:t>inaz (PK)</w:t>
      </w:r>
    </w:p>
    <w:p w:rsidR="00276E20" w:rsidRPr="00020290" w:rsidRDefault="00276E20" w:rsidP="00276E20">
      <w:pPr>
        <w:rPr>
          <w:b/>
          <w:szCs w:val="24"/>
        </w:rPr>
      </w:pPr>
    </w:p>
    <w:p w:rsidR="00276E20" w:rsidRPr="00020290" w:rsidRDefault="00276E20" w:rsidP="00276E20">
      <w:pPr>
        <w:autoSpaceDE w:val="0"/>
        <w:autoSpaceDN w:val="0"/>
        <w:adjustRightInd w:val="0"/>
        <w:ind w:firstLine="708"/>
        <w:rPr>
          <w:szCs w:val="24"/>
        </w:rPr>
      </w:pPr>
      <w:r w:rsidRPr="00020290">
        <w:rPr>
          <w:szCs w:val="24"/>
        </w:rPr>
        <w:t>ATP ve piruvat üretmek için PEP’teki yüksek enerjili fosfat grubunun ADP’ye doğrudan transferini katalizleyen PK enzimi, hücre metabolizmasını düzenleyici önemli bir enzimdir (Israelsen ve Vander Heiden, 2015). Bu reaksiyon glikolizisin hız sınırlayıcı ve s</w:t>
      </w:r>
      <w:r w:rsidR="00670307">
        <w:rPr>
          <w:szCs w:val="24"/>
        </w:rPr>
        <w:t>on basamağıdır (</w:t>
      </w:r>
      <w:r w:rsidR="00670307" w:rsidRPr="00020290">
        <w:rPr>
          <w:szCs w:val="24"/>
        </w:rPr>
        <w:t>Mazurek, 2011</w:t>
      </w:r>
      <w:r w:rsidR="00670307">
        <w:rPr>
          <w:szCs w:val="24"/>
        </w:rPr>
        <w:t>; Li ve ark, 2018</w:t>
      </w:r>
      <w:r w:rsidRPr="00020290">
        <w:rPr>
          <w:szCs w:val="24"/>
        </w:rPr>
        <w:t>). Dört memeli PK izoformu (PKM1, PKM2, PKR, PKL) vardır (Im</w:t>
      </w:r>
      <w:r>
        <w:rPr>
          <w:szCs w:val="24"/>
        </w:rPr>
        <w:t>m</w:t>
      </w:r>
      <w:r w:rsidRPr="00020290">
        <w:rPr>
          <w:szCs w:val="24"/>
        </w:rPr>
        <w:t xml:space="preserve">amura ve Tanaka, 1982). Memeli PK ailesi bu 4 izoformu (L, R, M1 ve M2) kodlayan PKM ve PKLR adında 2 genden meydana gelir. Karaciğer ve eritrositlerde bulunan L ve R izoformları sırasıyla farklı promotörler kullanılarak PKLR geni tarafından kodlanır. M1 ve M2 izoformları ise PKM geninin alternatif ekleme ürünleridir (Iqbal ve ark, 2014). </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ind w:firstLine="708"/>
        <w:rPr>
          <w:szCs w:val="24"/>
        </w:rPr>
      </w:pPr>
      <w:r w:rsidRPr="00020290">
        <w:rPr>
          <w:szCs w:val="24"/>
        </w:rPr>
        <w:lastRenderedPageBreak/>
        <w:t xml:space="preserve">PK izoformlarının dağılımı dokuya özgü bir şekilde metabolik gereksinimlerine bağlı olarak değişkenlik gösterir (Iqbal ve ark, 2014). Bir doku birden fazla PK izoformunu eksprese edebilmesine rağmen hücreler genellikle kayda değer derecede sadece bir izoformu eksprese ederler; çoğu yetişkin doku PKM2’yi eksprese ederken, diğer üç izoformun ekspresyonu farklı bazı dokular ve hücre türleri ile sınırlıdır (Israelsen ve Vander Heiden, 2015). PKR kırmızı kan hücrelerine özgü iken PKL esas olarak karaciğerde olmak üzere böbreklerde de az miktarda eksprese edilir (Li ve ark, 2018). </w:t>
      </w:r>
    </w:p>
    <w:p w:rsidR="00276E20" w:rsidRPr="00020290" w:rsidRDefault="00276E20" w:rsidP="00276E20">
      <w:pPr>
        <w:autoSpaceDE w:val="0"/>
        <w:autoSpaceDN w:val="0"/>
        <w:adjustRightInd w:val="0"/>
        <w:ind w:firstLine="708"/>
        <w:rPr>
          <w:szCs w:val="24"/>
        </w:rPr>
      </w:pPr>
      <w:r w:rsidRPr="00020290">
        <w:rPr>
          <w:szCs w:val="24"/>
        </w:rPr>
        <w:t xml:space="preserve">PKM1 ve PKM2 yapılarındaki ekzon 9 veya ekzon 10’un içeriğinde farklılık gösterir. Bu izoformlar önemli dizi benzerliklerine rağmen PKM1 ve PKM2 çok farklı katalitik ve düzenleyici özelliklere sahiptir (Li ve ark, 2018).  PKM1 yapısal olarak yüksek katalitik aktiviteye sahip iken, PKM2 enzim aktivitesi, farklı fizyolojik durumlara karşı hücresel adaptasyona izin vermek adına </w:t>
      </w:r>
      <w:proofErr w:type="gramStart"/>
      <w:r w:rsidRPr="00020290">
        <w:rPr>
          <w:szCs w:val="24"/>
        </w:rPr>
        <w:t>kompleks</w:t>
      </w:r>
      <w:proofErr w:type="gramEnd"/>
      <w:r w:rsidRPr="00020290">
        <w:rPr>
          <w:szCs w:val="24"/>
        </w:rPr>
        <w:t xml:space="preserve"> düzenlemelere maruz kalır (Gui ve ark, 2013). Yapısal olarak aktif PKM1 izoformu, büyük bir ATP kaynağına ihtiyaç duyan kas, beyin, kalp gibi yüksek katabolik talebi olan dokularda bulunur (Iqbal ve ark, 2014). PKM2 izoformu ise embriyonik hücreler ve yetişkin kök hücreler gibi çoğalan hücrelerin yanı sıra adipoz ve akciğer dokularında eksprese edilir (Mazurek 2011; Mukherjee ve ark, 2013). Yüksek nükleojenez oranına sahip hücreler ve dokular M2 izoformunun ekspresyonu ile karakterize edilirler (Iqbal ve ark, 2014).</w:t>
      </w:r>
    </w:p>
    <w:p w:rsidR="00276E20" w:rsidRPr="00020290" w:rsidRDefault="00276E20" w:rsidP="00276E20">
      <w:pPr>
        <w:autoSpaceDE w:val="0"/>
        <w:autoSpaceDN w:val="0"/>
        <w:adjustRightInd w:val="0"/>
        <w:ind w:firstLine="708"/>
        <w:rPr>
          <w:szCs w:val="24"/>
        </w:rPr>
      </w:pPr>
      <w:r w:rsidRPr="00020290">
        <w:rPr>
          <w:szCs w:val="24"/>
        </w:rPr>
        <w:t xml:space="preserve">PKM, tetramerik ve dimerik olmak üzere 2 oligomerik formdan meydana gelmiştir. Memeli PK, dimer-dimer </w:t>
      </w:r>
      <w:proofErr w:type="gramStart"/>
      <w:r w:rsidRPr="00020290">
        <w:rPr>
          <w:szCs w:val="24"/>
        </w:rPr>
        <w:t>konfigürasyonunda</w:t>
      </w:r>
      <w:proofErr w:type="gramEnd"/>
      <w:r w:rsidRPr="00020290">
        <w:rPr>
          <w:szCs w:val="24"/>
        </w:rPr>
        <w:t xml:space="preserve"> düzenlenmiş özdeş alt birimlerden oluşan tetramerik bir proteindir (Israelsen ve Vander Heiden, 2015). PKM2’nin tetramerik formu PEP’e yüksek bir afiniteye sahiptir ve oldukça aktiftir (Iqbal ve ark, 2014). Oysa dimerik form düşük bir PEP afinitesi ile karakterize edilir ve fizyolojik koşullar altında neredeyse hiç aktif değildir (Mazurek ve ark, 2005). PKM2 proteini normal dokuda tetramer formu ve dimer formu arasında değişkenlik, kanser hücrelerinde ise dimer olarak var olmaya yönelik belirgin bir eğ</w:t>
      </w:r>
      <w:r>
        <w:rPr>
          <w:szCs w:val="24"/>
        </w:rPr>
        <w:t>ilim gösterir (Yang ve ark, 2016</w:t>
      </w:r>
      <w:r w:rsidRPr="00020290">
        <w:rPr>
          <w:szCs w:val="24"/>
        </w:rPr>
        <w:t xml:space="preserve">).               </w:t>
      </w:r>
    </w:p>
    <w:p w:rsidR="00276E20" w:rsidRPr="00020290" w:rsidRDefault="00276E20" w:rsidP="00276E20">
      <w:pPr>
        <w:autoSpaceDE w:val="0"/>
        <w:autoSpaceDN w:val="0"/>
        <w:adjustRightInd w:val="0"/>
        <w:ind w:firstLine="708"/>
        <w:rPr>
          <w:szCs w:val="24"/>
        </w:rPr>
      </w:pPr>
      <w:r w:rsidRPr="00020290">
        <w:rPr>
          <w:szCs w:val="24"/>
        </w:rPr>
        <w:t>PKM2 tüm proliferasyon hücrelerinin özellikle tümörlerin karakteristik enzimidir (Israelsen ve ark, 2013; Liu ve ark, 2015). Birçok çalışma kanser hücrelerinde PKM2 izoformunun ağırlıklı olarak eksprese edildiğini belirlemiştir (</w:t>
      </w:r>
      <w:r>
        <w:rPr>
          <w:szCs w:val="24"/>
        </w:rPr>
        <w:t>Smith, 2014</w:t>
      </w:r>
      <w:r w:rsidRPr="00020290">
        <w:rPr>
          <w:szCs w:val="24"/>
        </w:rPr>
        <w:t xml:space="preserve">). Glikoliziste son ve hız sınırlayıcı reaksiyonu katalizleyen PKM2’nin ekspresyonu eş normal dokulara kıyasla akciğer, meme, prostat, kan, serviks, böbrek, mesane, papiller tiroid kanseri gibi çeşitli insan kanseri hücrelerinde artar (Bluemlein ve ark, 2011; Feng ve ark, 2013). Mukherjee ve arkadaşları tarafından yapılan araştırmalar PKM2 proteininin ekspresyonunun ve düzeylerinin </w:t>
      </w:r>
      <w:r w:rsidRPr="00020290">
        <w:rPr>
          <w:szCs w:val="24"/>
        </w:rPr>
        <w:lastRenderedPageBreak/>
        <w:t xml:space="preserve">normal beyin dokusu ile karşılaştırıldığında </w:t>
      </w:r>
      <w:proofErr w:type="gramStart"/>
      <w:r w:rsidRPr="00020290">
        <w:rPr>
          <w:szCs w:val="24"/>
        </w:rPr>
        <w:t>agresif</w:t>
      </w:r>
      <w:proofErr w:type="gramEnd"/>
      <w:r w:rsidRPr="00020290">
        <w:rPr>
          <w:szCs w:val="24"/>
        </w:rPr>
        <w:t xml:space="preserve"> glioblastoma da önemli ölçüde upregüle olduğunu göstermiştir.(Mukherjee ve ark, 2013).</w:t>
      </w:r>
    </w:p>
    <w:p w:rsidR="00276E20" w:rsidRPr="00020290" w:rsidRDefault="00276E20" w:rsidP="00276E20">
      <w:pPr>
        <w:autoSpaceDE w:val="0"/>
        <w:autoSpaceDN w:val="0"/>
        <w:adjustRightInd w:val="0"/>
        <w:ind w:firstLine="708"/>
        <w:rPr>
          <w:szCs w:val="24"/>
        </w:rPr>
      </w:pPr>
      <w:r w:rsidRPr="00020290">
        <w:rPr>
          <w:szCs w:val="24"/>
        </w:rPr>
        <w:t xml:space="preserve">Glikolitik sekansta PKM2’nin konumu, glikolitik ara ürünlerin metabolik akıbetini düzenlemede etkilidir. PKM2 aktivitesi yüksekse enerji rejenerasyonu ile PEP’in pirüvata hızlı dönüşümü ile sonuçlanır (Mazurek ve ark, 2002). Aksine azalan PKM2 aktivitesi, glikolizisten dallanan sentetik </w:t>
      </w:r>
      <w:proofErr w:type="gramStart"/>
      <w:r w:rsidRPr="00020290">
        <w:rPr>
          <w:szCs w:val="24"/>
        </w:rPr>
        <w:t>prosesler</w:t>
      </w:r>
      <w:proofErr w:type="gramEnd"/>
      <w:r w:rsidRPr="00020290">
        <w:rPr>
          <w:szCs w:val="24"/>
        </w:rPr>
        <w:t xml:space="preserve"> için öncüller olarak PK reaksiyonunun yukarısında yer alan tüm glikolitik ara maddelerin artışına yol açar. PKM2’nin glikoliziste glukoz akışını yeniden yönlendirebilme yeteneği allosterik aktivatör F1,6BP ile kontrol edilir (Mazurek ve ark, 2007). F1,6BP’nin PKM2’ye bağlanması PEP substratına olan ilgisini arttırır. Bu nedenle glikolitik sekans içinde PKM2’nin pozisyonu glikoliziste glukoz akışının yönüne karar verirken onu bir "glikolitik valf" görevine sokar (Iqbal ve ark, 2014).  </w:t>
      </w:r>
    </w:p>
    <w:p w:rsidR="00276E20" w:rsidRDefault="00276E20" w:rsidP="00276E20">
      <w:pPr>
        <w:autoSpaceDE w:val="0"/>
        <w:autoSpaceDN w:val="0"/>
        <w:adjustRightInd w:val="0"/>
        <w:ind w:firstLine="708"/>
        <w:rPr>
          <w:szCs w:val="24"/>
        </w:rPr>
      </w:pPr>
      <w:r w:rsidRPr="00020290">
        <w:rPr>
          <w:szCs w:val="24"/>
        </w:rPr>
        <w:t>F1,6BP yokluğunda ise PKM2’nin diğer bir doğal ligand ve allosterik aktiv</w:t>
      </w:r>
      <w:r w:rsidR="00670307">
        <w:rPr>
          <w:szCs w:val="24"/>
        </w:rPr>
        <w:t>atörü serindir (</w:t>
      </w:r>
      <w:r w:rsidR="00670307" w:rsidRPr="00020290">
        <w:rPr>
          <w:szCs w:val="24"/>
        </w:rPr>
        <w:t>Chaneton ve ark, 2012</w:t>
      </w:r>
      <w:r w:rsidR="00670307">
        <w:rPr>
          <w:szCs w:val="24"/>
        </w:rPr>
        <w:t>; Ye ve ark, 2012</w:t>
      </w:r>
      <w:r w:rsidRPr="00020290">
        <w:rPr>
          <w:szCs w:val="24"/>
        </w:rPr>
        <w:t xml:space="preserve">). Ayrıca L-Sistein hücrelerde PKM2 alt birimlerinin ayrışmasını sağlayarak (tetramerlerden monomer ve dimerlere) aktivitesinin kaybolmasına yol açar. (Nakatsu ve ark, 2015). De nova pürin nükleotid sentez yolağında aracı olan SAICAR, PKM2’yi uyaran bir başka moleküldür. Kanser hücrelerinde glukoz açlığı üzerine hücresel SAICAR </w:t>
      </w:r>
      <w:proofErr w:type="gramStart"/>
      <w:r w:rsidRPr="00020290">
        <w:rPr>
          <w:szCs w:val="24"/>
        </w:rPr>
        <w:t>konsantrasyonunun</w:t>
      </w:r>
      <w:proofErr w:type="gramEnd"/>
      <w:r w:rsidRPr="00020290">
        <w:rPr>
          <w:szCs w:val="24"/>
        </w:rPr>
        <w:t xml:space="preserve"> salınımlı bir şekilde arttığı ve daha fazla enerji üretimi adına PKM2 aktivitesini uyardığı tespit edilmiştir (Li ve ark, 2018). </w:t>
      </w:r>
    </w:p>
    <w:p w:rsidR="00276E20" w:rsidRPr="00AC3C6A" w:rsidRDefault="00276E20" w:rsidP="00276E20">
      <w:pPr>
        <w:autoSpaceDE w:val="0"/>
        <w:autoSpaceDN w:val="0"/>
        <w:adjustRightInd w:val="0"/>
        <w:ind w:firstLine="708"/>
        <w:rPr>
          <w:szCs w:val="24"/>
        </w:rPr>
      </w:pPr>
      <w:r w:rsidRPr="00AC3C6A">
        <w:rPr>
          <w:szCs w:val="24"/>
        </w:rPr>
        <w:t>Kanser hücrelerinde görüntülenen glikolitik fenotipe rağmen, PKM2 aktivitesinin transforme hücrelerde düşük olduğu ve bu düşük aktivitesinin, biyosentetik amaçlar için kullanılabilecek glikolitik ara maddelerin birikimini destekleyerek hücre büyümesine ve çoğalmasına katkıda bulunabileceği önerilmiştir. PKM2 tamamen aktif olduğunda, glikolitik oranı yüksektir, solunum kısmen bastırılır ve piruvatın çoğu hızla laktata dönüştürülür. Bu durum normalde glukoz bakımından zengin koşullar altında, PKM2'nin ana aktivatörü olan FBP seviyesi yüksek olduğunda ortaya</w:t>
      </w:r>
      <w:r>
        <w:rPr>
          <w:szCs w:val="24"/>
        </w:rPr>
        <w:t xml:space="preserve"> çıkar </w:t>
      </w:r>
      <w:r w:rsidRPr="00AC3C6A">
        <w:rPr>
          <w:szCs w:val="24"/>
        </w:rPr>
        <w:t>(Şekil</w:t>
      </w:r>
      <w:r w:rsidR="00C34D58">
        <w:rPr>
          <w:szCs w:val="24"/>
        </w:rPr>
        <w:t xml:space="preserve"> </w:t>
      </w:r>
      <w:r>
        <w:rPr>
          <w:szCs w:val="24"/>
        </w:rPr>
        <w:t>14</w:t>
      </w:r>
      <w:r w:rsidRPr="00AC3C6A">
        <w:rPr>
          <w:szCs w:val="24"/>
        </w:rPr>
        <w:t xml:space="preserve"> a). Aksine, PKM2 aktivitesindeki bir azalma, PEP</w:t>
      </w:r>
      <w:r w:rsidR="00115C3D">
        <w:rPr>
          <w:szCs w:val="24"/>
        </w:rPr>
        <w:t xml:space="preserve"> ve 3PG, gliseraldehid 3-fosfat </w:t>
      </w:r>
      <w:r w:rsidRPr="00AC3C6A">
        <w:rPr>
          <w:szCs w:val="24"/>
        </w:rPr>
        <w:t>ve G6P gibi diğer glikolitik akışın yukarısındaki ara maddelerin birikimi ile ilişkili olarak laktat ü</w:t>
      </w:r>
      <w:r>
        <w:rPr>
          <w:szCs w:val="24"/>
        </w:rPr>
        <w:t>retiminde bir azalmaya yol açar (Ş</w:t>
      </w:r>
      <w:r w:rsidRPr="00AC3C6A">
        <w:rPr>
          <w:szCs w:val="24"/>
        </w:rPr>
        <w:t xml:space="preserve">ekil </w:t>
      </w:r>
      <w:r>
        <w:rPr>
          <w:szCs w:val="24"/>
        </w:rPr>
        <w:t xml:space="preserve">14 </w:t>
      </w:r>
      <w:r w:rsidRPr="00AC3C6A">
        <w:rPr>
          <w:szCs w:val="24"/>
        </w:rPr>
        <w:t>b). Sonuç olarak, bu metabolitlerden dallanan sentetik yollarda bir artış vardır. Düşük PKM2 aktivitesi de solunumu arttırır ve bununla birlikte ROS üretilir. Bununla birlikte, PPP ile oluşan yüksek akış, mitokondri ile üretilen ROS’lara karşı koyan antioksidanlar sağlar. Bu nedenle, düşük PKM2 aktivitesi, glukoz türevi karbonların hücre büyümesi ve çoğalması için gerekli olan anabolik işlemlere yönlendirildiği, hızla büyüyen</w:t>
      </w:r>
      <w:r>
        <w:rPr>
          <w:szCs w:val="24"/>
        </w:rPr>
        <w:t xml:space="preserve"> hücreler için faydalı olabilir </w:t>
      </w:r>
      <w:r w:rsidRPr="00AC3C6A">
        <w:rPr>
          <w:szCs w:val="24"/>
        </w:rPr>
        <w:t>(Chaneton ve Gottlieb, 2012).</w:t>
      </w:r>
    </w:p>
    <w:p w:rsidR="00276E20" w:rsidRDefault="00276E20" w:rsidP="00276E20">
      <w:pPr>
        <w:autoSpaceDE w:val="0"/>
        <w:autoSpaceDN w:val="0"/>
        <w:adjustRightInd w:val="0"/>
        <w:rPr>
          <w:szCs w:val="24"/>
        </w:rPr>
      </w:pPr>
      <w:r>
        <w:rPr>
          <w:noProof/>
          <w:lang w:eastAsia="tr-TR"/>
        </w:rPr>
        <w:lastRenderedPageBreak/>
        <w:drawing>
          <wp:anchor distT="0" distB="0" distL="114300" distR="114300" simplePos="0" relativeHeight="251659264" behindDoc="0" locked="0" layoutInCell="1" allowOverlap="1">
            <wp:simplePos x="1447800" y="895350"/>
            <wp:positionH relativeFrom="margin">
              <wp:align>left</wp:align>
            </wp:positionH>
            <wp:positionV relativeFrom="margin">
              <wp:align>top</wp:align>
            </wp:positionV>
            <wp:extent cx="5753100" cy="4514850"/>
            <wp:effectExtent l="1905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4514850"/>
                    </a:xfrm>
                    <a:prstGeom prst="rect">
                      <a:avLst/>
                    </a:prstGeom>
                    <a:noFill/>
                    <a:ln>
                      <a:noFill/>
                    </a:ln>
                  </pic:spPr>
                </pic:pic>
              </a:graphicData>
            </a:graphic>
          </wp:anchor>
        </w:drawing>
      </w:r>
    </w:p>
    <w:p w:rsidR="00276E20" w:rsidRPr="00F31268" w:rsidRDefault="00C34D58" w:rsidP="00276E20">
      <w:pPr>
        <w:autoSpaceDE w:val="0"/>
        <w:autoSpaceDN w:val="0"/>
        <w:adjustRightInd w:val="0"/>
        <w:jc w:val="center"/>
        <w:rPr>
          <w:szCs w:val="24"/>
          <w:highlight w:val="yellow"/>
        </w:rPr>
      </w:pPr>
      <w:r>
        <w:rPr>
          <w:b/>
          <w:szCs w:val="24"/>
        </w:rPr>
        <w:t xml:space="preserve">Şekil </w:t>
      </w:r>
      <w:r w:rsidR="00276E20" w:rsidRPr="00802FA6">
        <w:rPr>
          <w:b/>
          <w:szCs w:val="24"/>
        </w:rPr>
        <w:t>14.</w:t>
      </w:r>
      <w:r w:rsidR="00276E20" w:rsidRPr="00AC3C6A">
        <w:rPr>
          <w:szCs w:val="24"/>
        </w:rPr>
        <w:t xml:space="preserve"> Piruvat kinaz (PKM2) aktivitesinin M2 izoformundaki değişikliklerin hücresel metabolik sonuçları (Chaneton ve Gottlieb, 2012’den değiştirilerek alınmıştır).</w:t>
      </w:r>
    </w:p>
    <w:p w:rsidR="00276E20" w:rsidRDefault="00276E20" w:rsidP="00276E20">
      <w:pPr>
        <w:autoSpaceDE w:val="0"/>
        <w:autoSpaceDN w:val="0"/>
        <w:adjustRightInd w:val="0"/>
        <w:rPr>
          <w:b/>
          <w:szCs w:val="24"/>
        </w:rPr>
      </w:pPr>
    </w:p>
    <w:p w:rsidR="00276E20" w:rsidRDefault="00276E20" w:rsidP="00276E20">
      <w:pPr>
        <w:autoSpaceDE w:val="0"/>
        <w:autoSpaceDN w:val="0"/>
        <w:adjustRightInd w:val="0"/>
        <w:ind w:firstLine="709"/>
        <w:rPr>
          <w:szCs w:val="24"/>
        </w:rPr>
      </w:pPr>
      <w:r w:rsidRPr="00020290">
        <w:rPr>
          <w:szCs w:val="24"/>
        </w:rPr>
        <w:t xml:space="preserve">Çoğu tümörün ortak özelliği olan hipoksi, transkripsiyon faktörü HIF1α’nın </w:t>
      </w:r>
      <w:proofErr w:type="gramStart"/>
      <w:r w:rsidRPr="00020290">
        <w:rPr>
          <w:szCs w:val="24"/>
        </w:rPr>
        <w:t>stabilizasyonu</w:t>
      </w:r>
      <w:proofErr w:type="gramEnd"/>
      <w:r w:rsidRPr="00020290">
        <w:rPr>
          <w:szCs w:val="24"/>
        </w:rPr>
        <w:t xml:space="preserve"> yoluyla PKM gen ekspresyonunun upregülasyonuna neden olur. Hipoksik tümör hücrelerinin kemo ve </w:t>
      </w:r>
      <w:proofErr w:type="gramStart"/>
      <w:r w:rsidRPr="00020290">
        <w:rPr>
          <w:szCs w:val="24"/>
        </w:rPr>
        <w:t>radyoterapiye</w:t>
      </w:r>
      <w:proofErr w:type="gramEnd"/>
      <w:r w:rsidRPr="00020290">
        <w:rPr>
          <w:szCs w:val="24"/>
        </w:rPr>
        <w:t xml:space="preserve"> olan direncinin altında yatan neden PKM2’nin hipoksik indüksiyonu olabilir (Iqbal ve ark, 2014). </w:t>
      </w:r>
      <w:r w:rsidRPr="00093CE7">
        <w:rPr>
          <w:szCs w:val="24"/>
        </w:rPr>
        <w:t>Hipoksik koşullarda</w:t>
      </w:r>
      <w:r w:rsidRPr="00020290">
        <w:rPr>
          <w:szCs w:val="24"/>
        </w:rPr>
        <w:t xml:space="preserve"> PHD3 enzimi ile PKM2'nin 403 ve 408 prolin (p) kalıntılarından hidroksilasyonu, PKM2'nin HIF1 transkripsiyon kompleksi ile etkileşimini sağlar, bu </w:t>
      </w:r>
      <w:proofErr w:type="gramStart"/>
      <w:r w:rsidRPr="00020290">
        <w:rPr>
          <w:szCs w:val="24"/>
        </w:rPr>
        <w:t>kompleks</w:t>
      </w:r>
      <w:proofErr w:type="gramEnd"/>
      <w:r w:rsidRPr="00020290">
        <w:rPr>
          <w:szCs w:val="24"/>
        </w:rPr>
        <w:t xml:space="preserve"> de p300-asetil transferaz ile etkileşime geçerek metabolik yeniden programlamayı ve hipoksik duruma karşı toleransı yöneten HIF hedef genlerinin transkripsiyonunu kolaylaştırır (Prakasam ve ark, 2018). Ayrıca yapılan bir çalışmada, h</w:t>
      </w:r>
      <w:r w:rsidR="00115C3D">
        <w:rPr>
          <w:szCs w:val="24"/>
        </w:rPr>
        <w:t xml:space="preserve">ipoksik koşullar altında </w:t>
      </w:r>
      <w:r w:rsidRPr="00020290">
        <w:rPr>
          <w:szCs w:val="24"/>
        </w:rPr>
        <w:t>Jumonji C domain içeren dio</w:t>
      </w:r>
      <w:r w:rsidR="00115C3D">
        <w:rPr>
          <w:szCs w:val="24"/>
        </w:rPr>
        <w:t>ksijenaz</w:t>
      </w:r>
      <w:r w:rsidR="00115C3D" w:rsidRPr="00115C3D">
        <w:rPr>
          <w:szCs w:val="24"/>
        </w:rPr>
        <w:t xml:space="preserve"> </w:t>
      </w:r>
      <w:r w:rsidR="00115C3D">
        <w:rPr>
          <w:szCs w:val="24"/>
        </w:rPr>
        <w:t xml:space="preserve">(JMJD5) </w:t>
      </w:r>
      <w:r w:rsidRPr="00020290">
        <w:rPr>
          <w:szCs w:val="24"/>
        </w:rPr>
        <w:t xml:space="preserve">'in de PKM2 ile etkileşime girdiği ve kanser hücresi metabolizmasını ve çoğalmasını destekleyen HIF1 aracılı glikolitik enzimlerin transkripsiyonel aktivasyonunu teşvik </w:t>
      </w:r>
      <w:r w:rsidR="00E8078A">
        <w:rPr>
          <w:szCs w:val="24"/>
        </w:rPr>
        <w:t xml:space="preserve">etmek </w:t>
      </w:r>
      <w:r w:rsidRPr="00020290">
        <w:rPr>
          <w:szCs w:val="24"/>
        </w:rPr>
        <w:lastRenderedPageBreak/>
        <w:t>için nükleer lokalizasyonunu kolaylaştırdığı ortaya konmuştur (Wang ve ark, 2014)</w:t>
      </w:r>
      <w:r w:rsidR="000421CA">
        <w:rPr>
          <w:szCs w:val="24"/>
        </w:rPr>
        <w:t xml:space="preserve"> </w:t>
      </w:r>
      <w:r w:rsidRPr="00020290">
        <w:rPr>
          <w:szCs w:val="24"/>
        </w:rPr>
        <w:t xml:space="preserve">(Şekil </w:t>
      </w:r>
      <w:r>
        <w:rPr>
          <w:szCs w:val="24"/>
        </w:rPr>
        <w:t>15</w:t>
      </w:r>
      <w:r w:rsidRPr="00020290">
        <w:rPr>
          <w:szCs w:val="24"/>
        </w:rPr>
        <w:t>)</w:t>
      </w:r>
      <w:r w:rsidR="00755C5C">
        <w:rPr>
          <w:szCs w:val="24"/>
        </w:rPr>
        <w:t>.</w:t>
      </w:r>
    </w:p>
    <w:p w:rsidR="00276E20" w:rsidRPr="00020290" w:rsidRDefault="00276E20" w:rsidP="0047435E">
      <w:pPr>
        <w:autoSpaceDE w:val="0"/>
        <w:autoSpaceDN w:val="0"/>
        <w:adjustRightInd w:val="0"/>
        <w:ind w:firstLine="0"/>
        <w:rPr>
          <w:szCs w:val="24"/>
        </w:rPr>
      </w:pPr>
      <w:r w:rsidRPr="00020290">
        <w:rPr>
          <w:noProof/>
          <w:szCs w:val="24"/>
          <w:lang w:eastAsia="tr-TR"/>
        </w:rPr>
        <w:drawing>
          <wp:inline distT="0" distB="0" distL="0" distR="0">
            <wp:extent cx="5425425" cy="4160609"/>
            <wp:effectExtent l="0" t="0" r="4445" b="0"/>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456887" cy="4184736"/>
                    </a:xfrm>
                    <a:prstGeom prst="rect">
                      <a:avLst/>
                    </a:prstGeom>
                    <a:ln w="88900" cap="sq" cmpd="thickThin">
                      <a:noFill/>
                      <a:prstDash val="solid"/>
                      <a:miter lim="800000"/>
                    </a:ln>
                    <a:effectLst/>
                  </pic:spPr>
                </pic:pic>
              </a:graphicData>
            </a:graphic>
          </wp:inline>
        </w:drawing>
      </w:r>
    </w:p>
    <w:p w:rsidR="00276E20" w:rsidRDefault="00276E20" w:rsidP="00276E20">
      <w:pPr>
        <w:rPr>
          <w:b/>
          <w:szCs w:val="24"/>
        </w:rPr>
      </w:pPr>
    </w:p>
    <w:p w:rsidR="00276E20" w:rsidRDefault="00C34D58" w:rsidP="00276E20">
      <w:pPr>
        <w:jc w:val="center"/>
        <w:rPr>
          <w:szCs w:val="24"/>
        </w:rPr>
      </w:pPr>
      <w:r>
        <w:rPr>
          <w:b/>
          <w:szCs w:val="24"/>
        </w:rPr>
        <w:t xml:space="preserve">Şekil </w:t>
      </w:r>
      <w:r w:rsidR="00276E20" w:rsidRPr="00802FA6">
        <w:rPr>
          <w:b/>
          <w:szCs w:val="24"/>
        </w:rPr>
        <w:t>15.</w:t>
      </w:r>
      <w:r w:rsidR="00276E20" w:rsidRPr="00020290">
        <w:rPr>
          <w:szCs w:val="24"/>
        </w:rPr>
        <w:t xml:space="preserve"> PKM2'nin glikolitik olmayan nükleer fonksiyonlarının prolin hidroksilasyonu ile </w:t>
      </w:r>
      <w:proofErr w:type="gramStart"/>
      <w:r w:rsidR="00276E20" w:rsidRPr="00020290">
        <w:rPr>
          <w:szCs w:val="24"/>
        </w:rPr>
        <w:t>regülasyonu</w:t>
      </w:r>
      <w:proofErr w:type="gramEnd"/>
      <w:r w:rsidR="00276E20" w:rsidRPr="00020290">
        <w:rPr>
          <w:szCs w:val="24"/>
        </w:rPr>
        <w:t xml:space="preserve"> (Prakasam ve ark, 2018’den değiştirilerek alınmıştır).</w:t>
      </w:r>
    </w:p>
    <w:p w:rsidR="00276E20" w:rsidRDefault="00276E20" w:rsidP="00276E20">
      <w:pPr>
        <w:autoSpaceDE w:val="0"/>
        <w:autoSpaceDN w:val="0"/>
        <w:adjustRightInd w:val="0"/>
        <w:rPr>
          <w:b/>
          <w:szCs w:val="24"/>
        </w:rPr>
      </w:pPr>
    </w:p>
    <w:p w:rsidR="00276E20" w:rsidRDefault="00276E20" w:rsidP="00276E20">
      <w:pPr>
        <w:autoSpaceDE w:val="0"/>
        <w:autoSpaceDN w:val="0"/>
        <w:adjustRightInd w:val="0"/>
        <w:rPr>
          <w:b/>
          <w:szCs w:val="24"/>
        </w:rPr>
      </w:pPr>
    </w:p>
    <w:p w:rsidR="00276E20" w:rsidRDefault="00276E20" w:rsidP="000C080A">
      <w:pPr>
        <w:pStyle w:val="Balk2"/>
      </w:pPr>
      <w:r w:rsidRPr="00020290">
        <w:t>2.1</w:t>
      </w:r>
      <w:r w:rsidR="006F4696">
        <w:t>2</w:t>
      </w:r>
      <w:r w:rsidRPr="00020290">
        <w:t xml:space="preserve">.6. Laktat Dehidrogenaz (LDH) </w:t>
      </w:r>
    </w:p>
    <w:p w:rsidR="00276E20" w:rsidRPr="00020290" w:rsidRDefault="00276E20" w:rsidP="00276E20">
      <w:pPr>
        <w:autoSpaceDE w:val="0"/>
        <w:autoSpaceDN w:val="0"/>
        <w:adjustRightInd w:val="0"/>
        <w:rPr>
          <w:b/>
          <w:szCs w:val="24"/>
        </w:rPr>
      </w:pPr>
    </w:p>
    <w:p w:rsidR="00276E20" w:rsidRPr="00020290" w:rsidRDefault="00276E20" w:rsidP="00276E20">
      <w:pPr>
        <w:autoSpaceDE w:val="0"/>
        <w:autoSpaceDN w:val="0"/>
        <w:adjustRightInd w:val="0"/>
        <w:ind w:firstLine="709"/>
        <w:rPr>
          <w:szCs w:val="24"/>
        </w:rPr>
      </w:pPr>
      <w:r w:rsidRPr="00020290">
        <w:rPr>
          <w:szCs w:val="24"/>
        </w:rPr>
        <w:t>Laktat dehidrogenaz (LDH, L-Laktat, NAD</w:t>
      </w:r>
      <w:r w:rsidRPr="00020290">
        <w:rPr>
          <w:szCs w:val="24"/>
          <w:vertAlign w:val="superscript"/>
        </w:rPr>
        <w:t>+</w:t>
      </w:r>
      <w:r>
        <w:rPr>
          <w:szCs w:val="24"/>
        </w:rPr>
        <w:t xml:space="preserve"> oksidoredüktaz</w:t>
      </w:r>
      <w:r w:rsidRPr="00020290">
        <w:rPr>
          <w:szCs w:val="24"/>
        </w:rPr>
        <w:t>) enzimi memelilerde, mayalarda, bitkilerde ve mikroorganizmalarda her yerde bulunan ve 2-hidroksi asit oksidoredüktaz ailesine ait tetramerik bir enzimdir (Gallo ve ark, 2015; Valvona ve ark, 2016). LDH, glikolitik yolun sonunda NAD</w:t>
      </w:r>
      <w:r w:rsidRPr="00020290">
        <w:rPr>
          <w:szCs w:val="24"/>
          <w:vertAlign w:val="superscript"/>
        </w:rPr>
        <w:t>+</w:t>
      </w:r>
      <w:r w:rsidRPr="00020290">
        <w:rPr>
          <w:szCs w:val="24"/>
        </w:rPr>
        <w:t xml:space="preserve">’yi kofaktör olarak kullanarak piruvatı laktata dönüştürür (Gallo ve ark, 2015) (Şekil </w:t>
      </w:r>
      <w:r>
        <w:rPr>
          <w:szCs w:val="24"/>
        </w:rPr>
        <w:t>16</w:t>
      </w:r>
      <w:r w:rsidRPr="00020290">
        <w:rPr>
          <w:szCs w:val="24"/>
        </w:rPr>
        <w:t xml:space="preserve">). Reaksiyon, NADH’tan bir hidrit iyonunun piruvatın 2.karbonuna transferini içerir ve bu reaksiyon anaerobik solunum amacıyla hücreler tarafından yaygın olarak kullanılır (Pineda ve ark, 2007). İnsan LDH enziminin farklı izoformlarının yapıları karakterize edilmiştir. LDH, LDH-1’den LDH-5’e kadar </w:t>
      </w:r>
      <w:r w:rsidRPr="00020290">
        <w:rPr>
          <w:szCs w:val="24"/>
        </w:rPr>
        <w:lastRenderedPageBreak/>
        <w:t xml:space="preserve">numaralandırılmış 5 ana izoenzim halinde bulunan 140 kDa ağırlığında tetramerik bir moleküldür. LDH izoformları tüm dokularda farklı oranlarda bulunur, bu nedenle izoenzimatik </w:t>
      </w:r>
      <w:proofErr w:type="gramStart"/>
      <w:r w:rsidRPr="00020290">
        <w:rPr>
          <w:szCs w:val="24"/>
        </w:rPr>
        <w:t>profilin</w:t>
      </w:r>
      <w:proofErr w:type="gramEnd"/>
      <w:r w:rsidRPr="00020290">
        <w:rPr>
          <w:szCs w:val="24"/>
        </w:rPr>
        <w:t xml:space="preserve"> dokuya özgü olduğu düşünülmektedir. LDH’ın doku ve hücresel dağılımındaki değişkenlikler muhtemelen izoformlarının substratlara karşı farklı afinitelerinden kaynaklanır. Kalpteki LDH-1 mitokondride bulunurken LDH-5 hem sitozol hem de mitokondriyal matriks içinde eşit olarak dağılmıştır (Gallo ve ark, 2015). Karaciğerde LDH-5 izoformu çoğunlukla mitokondride bulunurken kanserli hücrelerde bu izoform esas olarak sitoplazmada </w:t>
      </w:r>
      <w:proofErr w:type="gramStart"/>
      <w:r w:rsidRPr="00020290">
        <w:rPr>
          <w:szCs w:val="24"/>
        </w:rPr>
        <w:t>lokalizedir</w:t>
      </w:r>
      <w:proofErr w:type="gramEnd"/>
      <w:r w:rsidRPr="00020290">
        <w:rPr>
          <w:szCs w:val="24"/>
        </w:rPr>
        <w:t xml:space="preserve"> (Maekawa, 1988</w:t>
      </w:r>
      <w:r w:rsidR="000175EF">
        <w:rPr>
          <w:szCs w:val="24"/>
        </w:rPr>
        <w:t xml:space="preserve">; </w:t>
      </w:r>
      <w:r w:rsidR="000175EF" w:rsidRPr="00020290">
        <w:rPr>
          <w:szCs w:val="24"/>
        </w:rPr>
        <w:t>Lenzen, 2014</w:t>
      </w:r>
      <w:r w:rsidRPr="00020290">
        <w:rPr>
          <w:szCs w:val="24"/>
        </w:rPr>
        <w:t>). LDH izoformlarının dokularda farklı dağılımının özellikle karaciğer ve kas dokularında bulunan hücre içi laktat mekik mekanizması içindeki temel rolüyle bağlantılı olduğu düşünülmektedir. Bu mekanizmaya göre, glikoliz tarafından üretilen laktat sitozolden mitokondriyal membran boşluğuna taşınır, burada bir mitokondriyal LDH ile piruvata oksidasyonundan sonra Krebs siklusuna girmek için mitokondriyal matrikse salınır (</w:t>
      </w:r>
      <w:r w:rsidR="002330AE" w:rsidRPr="00020290">
        <w:rPr>
          <w:szCs w:val="24"/>
        </w:rPr>
        <w:t>Brooks ve ark, 1999</w:t>
      </w:r>
      <w:r w:rsidR="002330AE">
        <w:rPr>
          <w:szCs w:val="24"/>
        </w:rPr>
        <w:t xml:space="preserve">; </w:t>
      </w:r>
      <w:r w:rsidRPr="00020290">
        <w:rPr>
          <w:szCs w:val="24"/>
        </w:rPr>
        <w:t>Dhup ve ark, 2012;</w:t>
      </w:r>
      <w:r w:rsidR="002330AE">
        <w:rPr>
          <w:szCs w:val="24"/>
        </w:rPr>
        <w:t xml:space="preserve"> </w:t>
      </w:r>
      <w:r w:rsidR="002330AE" w:rsidRPr="00020290">
        <w:rPr>
          <w:szCs w:val="24"/>
        </w:rPr>
        <w:t>Gallo ve ark, 2015</w:t>
      </w:r>
      <w:r w:rsidRPr="00020290">
        <w:rPr>
          <w:szCs w:val="24"/>
        </w:rPr>
        <w:t xml:space="preserve">). </w:t>
      </w:r>
    </w:p>
    <w:p w:rsidR="00276E20" w:rsidRPr="00020290" w:rsidRDefault="00276E20" w:rsidP="00276E20">
      <w:pPr>
        <w:autoSpaceDE w:val="0"/>
        <w:autoSpaceDN w:val="0"/>
        <w:adjustRightInd w:val="0"/>
        <w:ind w:firstLine="708"/>
        <w:rPr>
          <w:szCs w:val="24"/>
        </w:rPr>
      </w:pPr>
      <w:r w:rsidRPr="00020290">
        <w:rPr>
          <w:szCs w:val="24"/>
        </w:rPr>
        <w:t>Her ne kadar yapısal olarak benzer olsalar da her LDH izoenzimi farklı kinetik özelliklere sahiptir ve çalışmalar bu durumun aktif bölgeyi sınırlayan yüklü yüzey kalıntılarının farklılıklarından kaynaklandığını göstermektedir (</w:t>
      </w:r>
      <w:r w:rsidR="002330AE" w:rsidRPr="00020290">
        <w:rPr>
          <w:szCs w:val="24"/>
        </w:rPr>
        <w:t>Read ve ark, 2001</w:t>
      </w:r>
      <w:r w:rsidR="002330AE">
        <w:rPr>
          <w:szCs w:val="24"/>
        </w:rPr>
        <w:t xml:space="preserve">; </w:t>
      </w:r>
      <w:r w:rsidRPr="00020290">
        <w:rPr>
          <w:szCs w:val="24"/>
        </w:rPr>
        <w:t xml:space="preserve">Valvona ve ark, 2016). Aktif LDH her biri yaklaşık 35.000 kDa molekül ağırlıklı M (kas) ve H (kalp) türünde iki alt birimden meydana gelmiş bir homo veya heterotetramerdir (Augoff ve ark, 2015). Bunlar sırasıyla kromozom 11p15.4 ve 12p12.2-p12.1 üzerinde bulunan iki ayrı gen LDHA ve LDHB tarafından kodlanır. M ve H monomerlerinin </w:t>
      </w:r>
      <w:proofErr w:type="gramStart"/>
      <w:r w:rsidRPr="00020290">
        <w:rPr>
          <w:szCs w:val="24"/>
        </w:rPr>
        <w:t>kombinasyonu</w:t>
      </w:r>
      <w:proofErr w:type="gramEnd"/>
      <w:r w:rsidRPr="00020290">
        <w:rPr>
          <w:szCs w:val="24"/>
        </w:rPr>
        <w:t xml:space="preserve"> ile iki homo-tetramerik izoform LDH-1(H4) ve LDH-5(M4) ve 3 heterotetramerik izoform LDH-2 (M1H3) , LDH-3 (M2H2), LDH4 (M3H1) elde edilebilir. LDH-1 ve LDH-5 sırasıyla LDHB ve LDHA olarak adl</w:t>
      </w:r>
      <w:r w:rsidR="005C4B59">
        <w:rPr>
          <w:szCs w:val="24"/>
        </w:rPr>
        <w:t xml:space="preserve">andırılır (Gallo ve ark, 2015) </w:t>
      </w:r>
      <w:r w:rsidRPr="00020290">
        <w:rPr>
          <w:szCs w:val="24"/>
        </w:rPr>
        <w:t xml:space="preserve">(Şekil </w:t>
      </w:r>
      <w:r w:rsidR="00C34D58">
        <w:rPr>
          <w:szCs w:val="24"/>
        </w:rPr>
        <w:t>16</w:t>
      </w:r>
      <w:r w:rsidRPr="00020290">
        <w:rPr>
          <w:szCs w:val="24"/>
        </w:rPr>
        <w:t>). LDH-1 ve LDH-5 aynı aktif bölgelere sahiptir ve sadece ilk 22 ve son 38 kalıntıda bulunan ve genel yapı üzerinde minimal bir etkiye sahip olan 332 aminoasit pozisyonunu</w:t>
      </w:r>
      <w:r w:rsidR="00793DD2">
        <w:rPr>
          <w:szCs w:val="24"/>
        </w:rPr>
        <w:t>n 81’inde farklılık gösterirler</w:t>
      </w:r>
      <w:r w:rsidRPr="00020290">
        <w:rPr>
          <w:szCs w:val="24"/>
        </w:rPr>
        <w:t xml:space="preserve"> (</w:t>
      </w:r>
      <w:r w:rsidR="002330AE" w:rsidRPr="00020290">
        <w:rPr>
          <w:szCs w:val="24"/>
        </w:rPr>
        <w:t>Read ve ark, 2001</w:t>
      </w:r>
      <w:r w:rsidR="002330AE">
        <w:rPr>
          <w:szCs w:val="24"/>
        </w:rPr>
        <w:t xml:space="preserve">; </w:t>
      </w:r>
      <w:r w:rsidRPr="00020290">
        <w:rPr>
          <w:szCs w:val="24"/>
        </w:rPr>
        <w:t>Valvona ve ark, 2016).</w:t>
      </w:r>
    </w:p>
    <w:p w:rsidR="00276E20" w:rsidRPr="00020290" w:rsidRDefault="00276E20" w:rsidP="00276E20">
      <w:pPr>
        <w:autoSpaceDE w:val="0"/>
        <w:autoSpaceDN w:val="0"/>
        <w:adjustRightInd w:val="0"/>
        <w:ind w:firstLine="708"/>
        <w:rPr>
          <w:szCs w:val="24"/>
        </w:rPr>
      </w:pPr>
      <w:r w:rsidRPr="00020290">
        <w:rPr>
          <w:noProof/>
          <w:szCs w:val="24"/>
          <w:lang w:eastAsia="tr-TR"/>
        </w:rPr>
        <w:lastRenderedPageBreak/>
        <w:drawing>
          <wp:inline distT="0" distB="0" distL="0" distR="0">
            <wp:extent cx="3907790" cy="2760345"/>
            <wp:effectExtent l="171450" t="171450" r="226060" b="2305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907790" cy="2760345"/>
                    </a:xfrm>
                    <a:prstGeom prst="rect">
                      <a:avLst/>
                    </a:prstGeom>
                    <a:ln w="127000" cap="sq">
                      <a:solidFill>
                        <a:schemeClr val="accent2">
                          <a:lumMod val="40000"/>
                          <a:lumOff val="60000"/>
                        </a:schemeClr>
                      </a:solidFill>
                      <a:miter lim="800000"/>
                    </a:ln>
                    <a:effectLst>
                      <a:outerShdw blurRad="57150" dist="50800" dir="2700000" algn="tl" rotWithShape="0">
                        <a:srgbClr val="000000">
                          <a:alpha val="40000"/>
                        </a:srgbClr>
                      </a:outerShdw>
                    </a:effectLst>
                  </pic:spPr>
                </pic:pic>
              </a:graphicData>
            </a:graphic>
          </wp:inline>
        </w:drawing>
      </w:r>
    </w:p>
    <w:p w:rsidR="00276E20" w:rsidRPr="00020290" w:rsidRDefault="00C34D58" w:rsidP="00276E20">
      <w:pPr>
        <w:autoSpaceDE w:val="0"/>
        <w:autoSpaceDN w:val="0"/>
        <w:adjustRightInd w:val="0"/>
        <w:jc w:val="center"/>
        <w:rPr>
          <w:szCs w:val="24"/>
        </w:rPr>
      </w:pPr>
      <w:r>
        <w:rPr>
          <w:b/>
          <w:szCs w:val="24"/>
        </w:rPr>
        <w:t xml:space="preserve">Şekil </w:t>
      </w:r>
      <w:r w:rsidR="00276E20" w:rsidRPr="00802FA6">
        <w:rPr>
          <w:b/>
          <w:szCs w:val="24"/>
        </w:rPr>
        <w:t>16.</w:t>
      </w:r>
      <w:r w:rsidR="00276E20" w:rsidRPr="00020290">
        <w:rPr>
          <w:szCs w:val="24"/>
        </w:rPr>
        <w:t xml:space="preserve"> Laktat dehidro</w:t>
      </w:r>
      <w:r w:rsidR="00095114">
        <w:rPr>
          <w:szCs w:val="24"/>
        </w:rPr>
        <w:t>g</w:t>
      </w:r>
      <w:r w:rsidR="00276E20" w:rsidRPr="00020290">
        <w:rPr>
          <w:szCs w:val="24"/>
        </w:rPr>
        <w:t>enaz fonksiyonlarının ve gen ekspresyonunun gösterimi. A) LDH, piruvat ve laktatın NAD</w:t>
      </w:r>
      <w:r w:rsidR="00276E20" w:rsidRPr="00020290">
        <w:rPr>
          <w:szCs w:val="24"/>
          <w:vertAlign w:val="superscript"/>
        </w:rPr>
        <w:t>+</w:t>
      </w:r>
      <w:r w:rsidR="00276E20" w:rsidRPr="00020290">
        <w:rPr>
          <w:szCs w:val="24"/>
        </w:rPr>
        <w:t xml:space="preserve"> rejenereasyonu ile birbirine dönüşümünü katalizler. B) LDH, beş farklı izoenzimle sonuçlanan A ve/veya B alt birimlerinden oluşan bir homo- ve hetero-tetramerik enzimdir. (Doherty ve Cleveland, 2013’ten değiştirilerek alınmıştır).</w:t>
      </w:r>
    </w:p>
    <w:p w:rsidR="00276E20" w:rsidRPr="00020290" w:rsidRDefault="00276E20" w:rsidP="00276E20">
      <w:pPr>
        <w:autoSpaceDE w:val="0"/>
        <w:autoSpaceDN w:val="0"/>
        <w:adjustRightInd w:val="0"/>
        <w:ind w:firstLine="708"/>
        <w:rPr>
          <w:szCs w:val="24"/>
        </w:rPr>
      </w:pPr>
    </w:p>
    <w:p w:rsidR="00276E20" w:rsidRPr="00020290" w:rsidRDefault="00276E20" w:rsidP="00276E20">
      <w:pPr>
        <w:autoSpaceDE w:val="0"/>
        <w:autoSpaceDN w:val="0"/>
        <w:adjustRightInd w:val="0"/>
        <w:ind w:firstLine="708"/>
        <w:rPr>
          <w:szCs w:val="24"/>
        </w:rPr>
      </w:pPr>
      <w:proofErr w:type="gramStart"/>
      <w:r w:rsidRPr="00020290">
        <w:rPr>
          <w:szCs w:val="24"/>
        </w:rPr>
        <w:t>Her bir LDHA alt birimi -6 net yüke ve piruvat için yüksek bir afiniteye sahip ve tercihen piruvatı laktat ve NADH’ı NAD+’ye dönüştürür iken, her LDHB alt birimi +1 yüke ve laktat için daha yüksek bir afiniteye sahiptir ve tercihen laktatı piruvata ve NAD</w:t>
      </w:r>
      <w:r w:rsidRPr="00020290">
        <w:rPr>
          <w:szCs w:val="24"/>
          <w:vertAlign w:val="superscript"/>
        </w:rPr>
        <w:t>+</w:t>
      </w:r>
      <w:r w:rsidR="00793DD2">
        <w:rPr>
          <w:szCs w:val="24"/>
        </w:rPr>
        <w:t>’yi NADH’ye dönüştürür</w:t>
      </w:r>
      <w:r w:rsidRPr="00020290">
        <w:rPr>
          <w:szCs w:val="24"/>
        </w:rPr>
        <w:t xml:space="preserve"> (</w:t>
      </w:r>
      <w:r w:rsidR="00641733" w:rsidRPr="00020290">
        <w:rPr>
          <w:szCs w:val="24"/>
        </w:rPr>
        <w:t>Read ve ark, 2001</w:t>
      </w:r>
      <w:r w:rsidR="00641733">
        <w:rPr>
          <w:szCs w:val="24"/>
        </w:rPr>
        <w:t xml:space="preserve">; </w:t>
      </w:r>
      <w:r w:rsidRPr="00020290">
        <w:rPr>
          <w:szCs w:val="24"/>
        </w:rPr>
        <w:t>Valvona ve ark,</w:t>
      </w:r>
      <w:r w:rsidR="00641733">
        <w:rPr>
          <w:szCs w:val="24"/>
        </w:rPr>
        <w:t xml:space="preserve"> 2016</w:t>
      </w:r>
      <w:r w:rsidRPr="00020290">
        <w:rPr>
          <w:szCs w:val="24"/>
        </w:rPr>
        <w:t xml:space="preserve">). </w:t>
      </w:r>
      <w:proofErr w:type="gramEnd"/>
      <w:r w:rsidRPr="00020290">
        <w:rPr>
          <w:szCs w:val="24"/>
        </w:rPr>
        <w:t xml:space="preserve">Bu gözlemler Kaplan’ın teorisini onaylar. Bu teoriye göre, piruvatın laktata dönüşümü katalizlemek için en yüksek verime sahip olan LDHA (LDH-5) düşük oksijen seviyeli dokularda tercih edilirken, laktattan piruvatın üretilmesini sağlayan LDHB (LDH-1) aksine güçlü bir aerobik metabolizması </w:t>
      </w:r>
      <w:proofErr w:type="gramStart"/>
      <w:r w:rsidRPr="00020290">
        <w:rPr>
          <w:szCs w:val="24"/>
        </w:rPr>
        <w:t>olan  dokularda</w:t>
      </w:r>
      <w:proofErr w:type="gramEnd"/>
      <w:r w:rsidRPr="00020290">
        <w:rPr>
          <w:szCs w:val="24"/>
        </w:rPr>
        <w:t xml:space="preserve"> tercih edilir (Gallo ve ark, 2015) (Şekil </w:t>
      </w:r>
      <w:r>
        <w:rPr>
          <w:szCs w:val="24"/>
        </w:rPr>
        <w:t>17</w:t>
      </w:r>
      <w:r w:rsidRPr="00020290">
        <w:rPr>
          <w:szCs w:val="24"/>
        </w:rPr>
        <w:t xml:space="preserve">).  Bununla ilgili olarak normal ve tümör dokuları temel olarak benzer LDHB/LDH-1 seviyelerine sahipken, LDHA/LDH-5 öncelikle kanser dokularında eksprese edilir (Miao ve ark, 2013).  </w:t>
      </w:r>
    </w:p>
    <w:p w:rsidR="00276E20" w:rsidRPr="00020290" w:rsidRDefault="00276E20" w:rsidP="00DC26CD">
      <w:pPr>
        <w:jc w:val="center"/>
        <w:rPr>
          <w:szCs w:val="24"/>
        </w:rPr>
      </w:pPr>
      <w:r>
        <w:rPr>
          <w:noProof/>
          <w:lang w:eastAsia="tr-TR"/>
        </w:rPr>
        <w:lastRenderedPageBreak/>
        <w:drawing>
          <wp:inline distT="0" distB="0" distL="0" distR="0">
            <wp:extent cx="5235338" cy="4858603"/>
            <wp:effectExtent l="19050" t="0" r="3412" b="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6843" cy="4860000"/>
                    </a:xfrm>
                    <a:prstGeom prst="rect">
                      <a:avLst/>
                    </a:prstGeom>
                    <a:noFill/>
                    <a:ln>
                      <a:noFill/>
                    </a:ln>
                  </pic:spPr>
                </pic:pic>
              </a:graphicData>
            </a:graphic>
          </wp:inline>
        </w:drawing>
      </w:r>
    </w:p>
    <w:p w:rsidR="00276E20" w:rsidRPr="00020290" w:rsidRDefault="00C34D58" w:rsidP="00276E20">
      <w:pPr>
        <w:jc w:val="center"/>
        <w:rPr>
          <w:szCs w:val="24"/>
        </w:rPr>
      </w:pPr>
      <w:r>
        <w:rPr>
          <w:b/>
          <w:szCs w:val="24"/>
        </w:rPr>
        <w:t xml:space="preserve">Şekil </w:t>
      </w:r>
      <w:r w:rsidR="00276E20" w:rsidRPr="00802FA6">
        <w:rPr>
          <w:b/>
          <w:szCs w:val="24"/>
        </w:rPr>
        <w:t>17.</w:t>
      </w:r>
      <w:r w:rsidR="00276E20" w:rsidRPr="00020290">
        <w:rPr>
          <w:szCs w:val="24"/>
        </w:rPr>
        <w:t xml:space="preserve"> Tümör hücreleri ve normal hücreler arasındaki laktat mekiği (Kalyanaraman, 2017’den değiştirilerek alınmıştır).</w:t>
      </w:r>
    </w:p>
    <w:p w:rsidR="00276E20" w:rsidRDefault="00276E20" w:rsidP="00276E20">
      <w:pPr>
        <w:rPr>
          <w:szCs w:val="24"/>
        </w:rPr>
      </w:pPr>
    </w:p>
    <w:p w:rsidR="00276E20" w:rsidRPr="00020290" w:rsidRDefault="00276E20" w:rsidP="00276E20">
      <w:pPr>
        <w:rPr>
          <w:szCs w:val="24"/>
        </w:rPr>
      </w:pPr>
    </w:p>
    <w:p w:rsidR="00276E20" w:rsidRDefault="00276E20" w:rsidP="000C080A">
      <w:pPr>
        <w:pStyle w:val="Balk2"/>
      </w:pPr>
      <w:r w:rsidRPr="00020290">
        <w:t>2.1</w:t>
      </w:r>
      <w:r w:rsidR="006F4696">
        <w:t>2</w:t>
      </w:r>
      <w:r w:rsidRPr="00020290">
        <w:t>.</w:t>
      </w:r>
      <w:r w:rsidR="006F4696">
        <w:t>6.</w:t>
      </w:r>
      <w:r>
        <w:t>1. Hücresel</w:t>
      </w:r>
      <w:r w:rsidRPr="00020290">
        <w:t xml:space="preserve"> </w:t>
      </w:r>
      <w:r w:rsidR="006B7302">
        <w:t>m</w:t>
      </w:r>
      <w:r w:rsidRPr="00020290">
        <w:t xml:space="preserve">etabolizmada LDHA’nın </w:t>
      </w:r>
      <w:r w:rsidR="006B7302">
        <w:t>r</w:t>
      </w:r>
      <w:r w:rsidRPr="00020290">
        <w:t>olü</w:t>
      </w:r>
    </w:p>
    <w:p w:rsidR="0026769D" w:rsidRPr="00020290" w:rsidRDefault="0026769D" w:rsidP="00276E20">
      <w:pPr>
        <w:rPr>
          <w:b/>
          <w:szCs w:val="24"/>
        </w:rPr>
      </w:pPr>
    </w:p>
    <w:p w:rsidR="00276E20" w:rsidRPr="00020290" w:rsidRDefault="00276E20" w:rsidP="00276E20">
      <w:pPr>
        <w:autoSpaceDE w:val="0"/>
        <w:autoSpaceDN w:val="0"/>
        <w:adjustRightInd w:val="0"/>
        <w:ind w:firstLine="708"/>
        <w:rPr>
          <w:szCs w:val="24"/>
        </w:rPr>
      </w:pPr>
      <w:r w:rsidRPr="00020290">
        <w:rPr>
          <w:szCs w:val="24"/>
        </w:rPr>
        <w:t>Oksijen yetersiz olduğu zaman, hücreler ATP’yi verimli şekilde üretmek amacıyla OXPHOS’u kullanamazlar. Bu senaryoda glikoliz ATP’nin ana jenaratörü olur ve glukoz molekülü başına net 2 ATP üretilir. GAPDH, GADP’yi 1,3BPG’a dönüştürmek için NAD</w:t>
      </w:r>
      <w:r w:rsidRPr="00020290">
        <w:rPr>
          <w:szCs w:val="24"/>
          <w:vertAlign w:val="superscript"/>
        </w:rPr>
        <w:t>+</w:t>
      </w:r>
      <w:r w:rsidRPr="00020290">
        <w:rPr>
          <w:szCs w:val="24"/>
        </w:rPr>
        <w:t>’yi kullandığından glikolizin bu altıncı basamağının devamını sağlamak adına NAD</w:t>
      </w:r>
      <w:r w:rsidRPr="00020290">
        <w:rPr>
          <w:szCs w:val="24"/>
          <w:vertAlign w:val="superscript"/>
        </w:rPr>
        <w:t>+</w:t>
      </w:r>
      <w:r w:rsidRPr="00020290">
        <w:rPr>
          <w:szCs w:val="24"/>
        </w:rPr>
        <w:t xml:space="preserve"> gereklidir. NAD</w:t>
      </w:r>
      <w:r w:rsidRPr="00020290">
        <w:rPr>
          <w:szCs w:val="24"/>
          <w:vertAlign w:val="superscript"/>
        </w:rPr>
        <w:t>+</w:t>
      </w:r>
      <w:r w:rsidRPr="00020290">
        <w:rPr>
          <w:szCs w:val="24"/>
        </w:rPr>
        <w:t xml:space="preserve"> genellikle OXPHOS aracılığıyla yenilenir, oksijen kaynağı kısıtlandığında ise glikolizisi sürdürmek için LDHA tarafından NADH’dan NAD</w:t>
      </w:r>
      <w:r w:rsidRPr="00020290">
        <w:rPr>
          <w:szCs w:val="24"/>
          <w:vertAlign w:val="superscript"/>
        </w:rPr>
        <w:t>+</w:t>
      </w:r>
      <w:r w:rsidRPr="00020290">
        <w:rPr>
          <w:szCs w:val="24"/>
        </w:rPr>
        <w:t xml:space="preserve"> üretilir; bu anaerobik glikoliz olarak bilinir ve yeterli oksijen olmadığında daha fazla miktarda glukoz tüketimi pahasına kısa vadeli enerji gereksinimlerini karşılamayı sağlar. Vücuttaki dokular farklı </w:t>
      </w:r>
      <w:proofErr w:type="gramStart"/>
      <w:r w:rsidRPr="00020290">
        <w:rPr>
          <w:szCs w:val="24"/>
        </w:rPr>
        <w:t>LDHA:LDHB</w:t>
      </w:r>
      <w:proofErr w:type="gramEnd"/>
      <w:r w:rsidRPr="00020290">
        <w:rPr>
          <w:szCs w:val="24"/>
        </w:rPr>
        <w:t xml:space="preserve"> oranlarına, enerji gereksinimlerine ve fonksiyonlara sahiptir (Valvona ve ark, 2015)</w:t>
      </w:r>
      <w:r w:rsidR="0088250B">
        <w:rPr>
          <w:szCs w:val="24"/>
        </w:rPr>
        <w:t>.</w:t>
      </w:r>
      <w:r w:rsidRPr="00020290">
        <w:rPr>
          <w:szCs w:val="24"/>
        </w:rPr>
        <w:t xml:space="preserve"> Örneğin </w:t>
      </w:r>
      <w:r w:rsidRPr="00020290">
        <w:rPr>
          <w:szCs w:val="24"/>
        </w:rPr>
        <w:lastRenderedPageBreak/>
        <w:t>dolaşımdaki laktatın yaklaşık %40’ı iskelet kası tarafından salınırken, karaciğer ve böbrekler baskın olarak laktatı dolaşımdan emerler ve glukoz sentezlemek için okside ederler (Adeva-Andany ve ark, 2014).</w:t>
      </w:r>
    </w:p>
    <w:p w:rsidR="00276E20" w:rsidRPr="00020290" w:rsidRDefault="00276E20" w:rsidP="00276E20">
      <w:pPr>
        <w:autoSpaceDE w:val="0"/>
        <w:autoSpaceDN w:val="0"/>
        <w:adjustRightInd w:val="0"/>
        <w:ind w:firstLine="708"/>
        <w:rPr>
          <w:szCs w:val="24"/>
        </w:rPr>
      </w:pPr>
      <w:r w:rsidRPr="00020290">
        <w:rPr>
          <w:szCs w:val="24"/>
        </w:rPr>
        <w:t xml:space="preserve">LDHA promotör bölgesinin ana trsanskripsiyon faktörleri olan HIF-1 ve c-myc için konsensus sekansları içerdiği bilinmektedir. Bunun yanında Forkhead box protein M1 (FOXM1) ve Kruppel-benzeri faktör 4 (KLF4) LDHA’nın transkripsiyon düzenleyicileri olarak tanımlanmıştır. LDHA transkripsiyonunun laktat, </w:t>
      </w:r>
      <w:proofErr w:type="gramStart"/>
      <w:r w:rsidRPr="00020290">
        <w:rPr>
          <w:szCs w:val="24"/>
        </w:rPr>
        <w:t>siklik</w:t>
      </w:r>
      <w:proofErr w:type="gramEnd"/>
      <w:r w:rsidRPr="00020290">
        <w:rPr>
          <w:szCs w:val="24"/>
        </w:rPr>
        <w:t xml:space="preserve"> adenozin monofosfat (cAMP), östrojen, ErbB2 ve ısı şok faktörü 1 gibi birçok faktörden etkilendiği de bilinmektedir (Valvona ve ark, 201</w:t>
      </w:r>
      <w:r w:rsidR="00C37673">
        <w:rPr>
          <w:szCs w:val="24"/>
        </w:rPr>
        <w:t>6</w:t>
      </w:r>
      <w:r w:rsidRPr="00020290">
        <w:rPr>
          <w:szCs w:val="24"/>
        </w:rPr>
        <w:t>).</w:t>
      </w:r>
    </w:p>
    <w:p w:rsidR="00276E20" w:rsidRPr="00020290" w:rsidRDefault="0088250B" w:rsidP="00276E20">
      <w:pPr>
        <w:autoSpaceDE w:val="0"/>
        <w:autoSpaceDN w:val="0"/>
        <w:adjustRightInd w:val="0"/>
        <w:ind w:firstLine="708"/>
        <w:rPr>
          <w:szCs w:val="24"/>
        </w:rPr>
      </w:pPr>
      <w:r>
        <w:rPr>
          <w:szCs w:val="24"/>
        </w:rPr>
        <w:t>c-M</w:t>
      </w:r>
      <w:r w:rsidR="00276E20" w:rsidRPr="00020290">
        <w:rPr>
          <w:szCs w:val="24"/>
        </w:rPr>
        <w:t xml:space="preserve">yc proto-onkogeni; hücre döngüsü, büyüme, proliferasyon ve apoptoz gibi birçok anahtar süreci düzenlediği ve genellikle sıkı bir şekilde kontrol edildiği için "ana </w:t>
      </w:r>
      <w:proofErr w:type="gramStart"/>
      <w:r w:rsidR="00276E20" w:rsidRPr="00020290">
        <w:rPr>
          <w:szCs w:val="24"/>
        </w:rPr>
        <w:t>regülatör</w:t>
      </w:r>
      <w:proofErr w:type="gramEnd"/>
      <w:r w:rsidR="00276E20" w:rsidRPr="00020290">
        <w:rPr>
          <w:szCs w:val="24"/>
        </w:rPr>
        <w:t xml:space="preserve">" olarak bilinir. </w:t>
      </w:r>
      <w:proofErr w:type="gramStart"/>
      <w:r w:rsidR="00115C3D">
        <w:rPr>
          <w:szCs w:val="24"/>
        </w:rPr>
        <w:t>c</w:t>
      </w:r>
      <w:proofErr w:type="gramEnd"/>
      <w:r>
        <w:rPr>
          <w:szCs w:val="24"/>
        </w:rPr>
        <w:t>-M</w:t>
      </w:r>
      <w:r w:rsidR="00276E20" w:rsidRPr="00020290">
        <w:rPr>
          <w:szCs w:val="24"/>
        </w:rPr>
        <w:t>yc’nin aşırı ekspresyonu, normoksik koşullar altında HIF-1α stabilizasyonunu sağlayarak ve hipoksik koşullar altında HIF1α ekspresyonunu arttırarak LDHA ekspresyonunu yükseltebilir (Valvona ve ark, 201</w:t>
      </w:r>
      <w:r w:rsidR="00C37673">
        <w:rPr>
          <w:szCs w:val="24"/>
        </w:rPr>
        <w:t>6). Shim ve ark</w:t>
      </w:r>
      <w:r w:rsidR="00276E20" w:rsidRPr="00020290">
        <w:rPr>
          <w:szCs w:val="24"/>
        </w:rPr>
        <w:t xml:space="preserve"> </w:t>
      </w:r>
      <w:r w:rsidR="00276E20">
        <w:rPr>
          <w:szCs w:val="24"/>
        </w:rPr>
        <w:t xml:space="preserve">(1997), </w:t>
      </w:r>
      <w:r w:rsidR="00276E20" w:rsidRPr="00020290">
        <w:rPr>
          <w:szCs w:val="24"/>
        </w:rPr>
        <w:t>c-MYC’nin LDHA promotörünü bağlayıp transaktive edebildiğini ve LDHA transkriptleri ve laktat üretim seviyesinde bir artışa</w:t>
      </w:r>
      <w:r w:rsidR="00276E20">
        <w:rPr>
          <w:szCs w:val="24"/>
        </w:rPr>
        <w:t xml:space="preserve"> neden olduğunu göstermişlerdir.</w:t>
      </w:r>
    </w:p>
    <w:p w:rsidR="00276E20" w:rsidRPr="00020290" w:rsidRDefault="00276E20" w:rsidP="00276E20">
      <w:pPr>
        <w:autoSpaceDE w:val="0"/>
        <w:autoSpaceDN w:val="0"/>
        <w:adjustRightInd w:val="0"/>
        <w:ind w:firstLine="708"/>
        <w:rPr>
          <w:szCs w:val="24"/>
        </w:rPr>
      </w:pPr>
      <w:r w:rsidRPr="00020290">
        <w:rPr>
          <w:szCs w:val="24"/>
        </w:rPr>
        <w:t xml:space="preserve"> HIF1α ve LDHA aşırı ekspresyonu bazı kanserlerde belirgin şekilde zayıf bir sağ kalım ile ilişkili bulunmuştu</w:t>
      </w:r>
      <w:r>
        <w:rPr>
          <w:szCs w:val="24"/>
        </w:rPr>
        <w:t>r (Koukourakis ve ark, 2003; Lu</w:t>
      </w:r>
      <w:r w:rsidRPr="00020290">
        <w:rPr>
          <w:szCs w:val="24"/>
        </w:rPr>
        <w:t xml:space="preserve"> ve ark, 2013). HIF1 ile LDHA transkripsiyonunun desteklenmesinin cAMP’nin LDHA promotör bölgesindeki cAMP yanıt elemanına (CRE) bağlanması durumunda da arttırıldığı gösterilmiştir. (</w:t>
      </w:r>
      <w:r w:rsidR="00755C5C">
        <w:rPr>
          <w:szCs w:val="24"/>
        </w:rPr>
        <w:t>Firth ve ark, 1995</w:t>
      </w:r>
      <w:r w:rsidR="00C37673">
        <w:rPr>
          <w:szCs w:val="24"/>
        </w:rPr>
        <w:t xml:space="preserve">; </w:t>
      </w:r>
      <w:r w:rsidR="00C37673" w:rsidRPr="00020290">
        <w:rPr>
          <w:szCs w:val="24"/>
        </w:rPr>
        <w:t>Valvona ve</w:t>
      </w:r>
      <w:r w:rsidR="00C37673">
        <w:rPr>
          <w:szCs w:val="24"/>
        </w:rPr>
        <w:t xml:space="preserve"> ark, 2016</w:t>
      </w:r>
      <w:r w:rsidR="00755C5C">
        <w:rPr>
          <w:szCs w:val="24"/>
        </w:rPr>
        <w:t>)</w:t>
      </w:r>
      <w:r w:rsidRPr="00020290">
        <w:rPr>
          <w:szCs w:val="24"/>
        </w:rPr>
        <w:t xml:space="preserve"> (Şekil </w:t>
      </w:r>
      <w:r w:rsidR="0088250B">
        <w:rPr>
          <w:szCs w:val="24"/>
        </w:rPr>
        <w:t>18</w:t>
      </w:r>
      <w:r w:rsidRPr="00020290">
        <w:rPr>
          <w:szCs w:val="24"/>
        </w:rPr>
        <w:t>). HIF-1 ve c-myc uzun zamandan beri LDHA transkripsiyon faktörleri olarak bilinmesine rağmen, hala belirsiz olan birçok yön ve bunların çalıştığı kesin mekanizma ve LDHA transkripsiyonunun nasıl düzenlendiği aktif olarak araştırılmaya devam etme</w:t>
      </w:r>
      <w:r>
        <w:rPr>
          <w:szCs w:val="24"/>
        </w:rPr>
        <w:t>ktedir (Valvona ve ark, 201</w:t>
      </w:r>
      <w:r w:rsidR="00C37673">
        <w:rPr>
          <w:szCs w:val="24"/>
        </w:rPr>
        <w:t>6</w:t>
      </w:r>
      <w:r>
        <w:rPr>
          <w:szCs w:val="24"/>
        </w:rPr>
        <w:t xml:space="preserve">). </w:t>
      </w:r>
    </w:p>
    <w:p w:rsidR="00276E20" w:rsidRPr="00020290" w:rsidRDefault="00276E20" w:rsidP="00276E20">
      <w:pPr>
        <w:autoSpaceDE w:val="0"/>
        <w:autoSpaceDN w:val="0"/>
        <w:adjustRightInd w:val="0"/>
        <w:ind w:firstLine="708"/>
        <w:rPr>
          <w:szCs w:val="24"/>
        </w:rPr>
      </w:pPr>
      <w:proofErr w:type="gramStart"/>
      <w:r w:rsidRPr="00020290">
        <w:rPr>
          <w:szCs w:val="24"/>
        </w:rPr>
        <w:t>Çoğalan kanser hücrelerinin laktik asit üretimini arttırdığı bilinmektedir, bu yüzden LDHA açısından zengin izoenzimlerin (LDH-4 ve LDH-5) lehine kayma gösteren hücresel LDH izoform modelindeki önemli değişikliklerin transforme hücrelerde ve malign dokularda yaygın olarak görülmesi şaşırtıcı değildir (Timperley ve ark, 1971; Caltrider ve Lehman 1975;</w:t>
      </w:r>
      <w:r w:rsidR="00C37673">
        <w:rPr>
          <w:szCs w:val="24"/>
        </w:rPr>
        <w:t xml:space="preserve"> </w:t>
      </w:r>
      <w:r w:rsidR="00C37673" w:rsidRPr="00020290">
        <w:rPr>
          <w:szCs w:val="24"/>
        </w:rPr>
        <w:t>Kolev ve ark, 2008</w:t>
      </w:r>
      <w:r w:rsidR="00C37673">
        <w:rPr>
          <w:szCs w:val="24"/>
        </w:rPr>
        <w:t>;</w:t>
      </w:r>
      <w:r w:rsidRPr="00020290">
        <w:rPr>
          <w:szCs w:val="24"/>
        </w:rPr>
        <w:t xml:space="preserve"> Wang ve ark, 2012). </w:t>
      </w:r>
      <w:proofErr w:type="gramEnd"/>
      <w:r w:rsidRPr="00020290">
        <w:rPr>
          <w:szCs w:val="24"/>
        </w:rPr>
        <w:t>İzoenzim oranlarındaki değişiklikler LDHA/LDHB oranındaki artış ile yansıtılır ve yüksek özgüllüğe sahiptir. Artan LDH-5 aktivitesi nedeniyle üretilen fazla laktat, hücrenin dışına taşınır ve mikroçevreyi etkileyebilir. Laktatın kanser hücreleri ve stromal hücreler arasındaki etkileşimleri teşvik ettiği ve hücre hareketliliğini etkileyerek anjiyogenez ve met</w:t>
      </w:r>
      <w:r w:rsidR="00793DD2">
        <w:rPr>
          <w:szCs w:val="24"/>
        </w:rPr>
        <w:t>astazı desteklediği bulunmuştur</w:t>
      </w:r>
      <w:r w:rsidRPr="00020290">
        <w:rPr>
          <w:szCs w:val="24"/>
        </w:rPr>
        <w:t xml:space="preserve"> (Augoff ve ark, 2015) (Şekil </w:t>
      </w:r>
      <w:r>
        <w:rPr>
          <w:szCs w:val="24"/>
        </w:rPr>
        <w:t>18</w:t>
      </w:r>
      <w:r w:rsidRPr="00020290">
        <w:rPr>
          <w:szCs w:val="24"/>
        </w:rPr>
        <w:t xml:space="preserve">). </w:t>
      </w:r>
    </w:p>
    <w:p w:rsidR="00276E20" w:rsidRDefault="00DC26CD" w:rsidP="00276E20">
      <w:pPr>
        <w:tabs>
          <w:tab w:val="left" w:pos="1752"/>
        </w:tabs>
        <w:rPr>
          <w:szCs w:val="24"/>
        </w:rPr>
      </w:pPr>
      <w:r>
        <w:rPr>
          <w:noProof/>
          <w:szCs w:val="24"/>
          <w:lang w:eastAsia="tr-TR"/>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5763895" cy="4298315"/>
            <wp:effectExtent l="19050" t="0" r="8255" b="0"/>
            <wp:wrapSquare wrapText="bothSides"/>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763895" cy="4298315"/>
                    </a:xfrm>
                    <a:prstGeom prst="rect">
                      <a:avLst/>
                    </a:prstGeom>
                    <a:noFill/>
                    <a:ln w="9525">
                      <a:noFill/>
                      <a:miter lim="800000"/>
                      <a:headEnd/>
                      <a:tailEnd/>
                    </a:ln>
                  </pic:spPr>
                </pic:pic>
              </a:graphicData>
            </a:graphic>
          </wp:anchor>
        </w:drawing>
      </w:r>
    </w:p>
    <w:p w:rsidR="00276E20" w:rsidRDefault="00276E20" w:rsidP="0045783B">
      <w:pPr>
        <w:tabs>
          <w:tab w:val="left" w:pos="1752"/>
        </w:tabs>
        <w:jc w:val="center"/>
        <w:rPr>
          <w:szCs w:val="24"/>
        </w:rPr>
      </w:pPr>
      <w:proofErr w:type="gramStart"/>
      <w:r w:rsidRPr="00802FA6">
        <w:rPr>
          <w:b/>
          <w:szCs w:val="24"/>
        </w:rPr>
        <w:t xml:space="preserve">Şekil </w:t>
      </w:r>
      <w:r w:rsidR="00802FA6">
        <w:rPr>
          <w:b/>
          <w:szCs w:val="24"/>
        </w:rPr>
        <w:t xml:space="preserve"> </w:t>
      </w:r>
      <w:r w:rsidRPr="00802FA6">
        <w:rPr>
          <w:b/>
          <w:szCs w:val="24"/>
        </w:rPr>
        <w:t>18</w:t>
      </w:r>
      <w:proofErr w:type="gramEnd"/>
      <w:r w:rsidR="00802FA6">
        <w:rPr>
          <w:b/>
          <w:szCs w:val="24"/>
        </w:rPr>
        <w:t>.</w:t>
      </w:r>
      <w:r w:rsidRPr="00802FA6">
        <w:rPr>
          <w:szCs w:val="24"/>
        </w:rPr>
        <w:t xml:space="preserve"> </w:t>
      </w:r>
      <w:r w:rsidRPr="00020290">
        <w:rPr>
          <w:szCs w:val="24"/>
        </w:rPr>
        <w:t>Ekstrasellüler faktörler ve hipoksi aracılı LDHA gen regülasyonu ile LDH-5 aktivasyon yollarının şematik gösterimi (Augoff ve ark, 2015</w:t>
      </w:r>
      <w:r>
        <w:rPr>
          <w:szCs w:val="24"/>
        </w:rPr>
        <w:t>’ten değiştirilerek alınmıştır</w:t>
      </w:r>
      <w:r w:rsidRPr="00020290">
        <w:rPr>
          <w:szCs w:val="24"/>
        </w:rPr>
        <w:t>).</w:t>
      </w:r>
    </w:p>
    <w:p w:rsidR="00276E20" w:rsidRDefault="00276E20" w:rsidP="00276E20">
      <w:pPr>
        <w:tabs>
          <w:tab w:val="left" w:pos="1752"/>
        </w:tabs>
        <w:rPr>
          <w:szCs w:val="24"/>
        </w:rPr>
      </w:pPr>
    </w:p>
    <w:p w:rsidR="00276E20" w:rsidRPr="00020290" w:rsidRDefault="00276E20" w:rsidP="00276E20">
      <w:pPr>
        <w:tabs>
          <w:tab w:val="left" w:pos="1752"/>
        </w:tabs>
        <w:rPr>
          <w:b/>
          <w:szCs w:val="24"/>
        </w:rPr>
      </w:pPr>
    </w:p>
    <w:p w:rsidR="00276E20" w:rsidRDefault="00276E20" w:rsidP="000C080A">
      <w:pPr>
        <w:pStyle w:val="Balk2"/>
      </w:pPr>
      <w:r w:rsidRPr="00020290">
        <w:t>2.1</w:t>
      </w:r>
      <w:r w:rsidR="006F4696">
        <w:t>2</w:t>
      </w:r>
      <w:r w:rsidRPr="00020290">
        <w:t>.7. Laktat Metabolizması</w:t>
      </w:r>
    </w:p>
    <w:p w:rsidR="00276E20" w:rsidRPr="00020290" w:rsidRDefault="00276E20" w:rsidP="00276E20">
      <w:pPr>
        <w:tabs>
          <w:tab w:val="left" w:pos="1752"/>
        </w:tabs>
        <w:rPr>
          <w:b/>
          <w:szCs w:val="24"/>
        </w:rPr>
      </w:pPr>
    </w:p>
    <w:p w:rsidR="00276E20" w:rsidRPr="00020290" w:rsidRDefault="00276E20" w:rsidP="00276E20">
      <w:pPr>
        <w:autoSpaceDE w:val="0"/>
        <w:autoSpaceDN w:val="0"/>
        <w:adjustRightInd w:val="0"/>
        <w:ind w:firstLine="708"/>
        <w:rPr>
          <w:szCs w:val="24"/>
        </w:rPr>
      </w:pPr>
      <w:r w:rsidRPr="00020290">
        <w:rPr>
          <w:szCs w:val="24"/>
        </w:rPr>
        <w:t>Louis Pasteur 1863 yılında kas kasılması esnasında oksijen yetersizliği oluşması nedeniyle laktat üretildiğini öne sürmesiyle beraber laktat üzerine yapılan çalışmalar başlamıştır (Sun ve ark, 2018). Pasteur, Meyerhof ve A.V. Hill tarafından yapılan araştırmalar, glikolitik yolağın ve O</w:t>
      </w:r>
      <w:r w:rsidRPr="00020290">
        <w:rPr>
          <w:szCs w:val="24"/>
          <w:vertAlign w:val="subscript"/>
        </w:rPr>
        <w:t>2</w:t>
      </w:r>
      <w:r w:rsidRPr="00020290">
        <w:rPr>
          <w:szCs w:val="24"/>
        </w:rPr>
        <w:t xml:space="preserve"> eksikliğinin fermentasyon ve laktat birikimine neden olduğu fikrinin yaygınlaşmasını sağlamıştır. Son 50 yılda, laktatın hem güçlü bir yakıt hem de sinyal molekülü olduğu birçok deneysel çalışmada gösterilmiştir (Goodwin ve ark, 2015).</w:t>
      </w:r>
    </w:p>
    <w:p w:rsidR="00276E20" w:rsidRPr="00020290" w:rsidRDefault="00276E20" w:rsidP="00276E20">
      <w:pPr>
        <w:autoSpaceDE w:val="0"/>
        <w:autoSpaceDN w:val="0"/>
        <w:adjustRightInd w:val="0"/>
        <w:ind w:firstLine="708"/>
        <w:rPr>
          <w:szCs w:val="24"/>
        </w:rPr>
      </w:pPr>
      <w:r w:rsidRPr="00020290">
        <w:rPr>
          <w:szCs w:val="24"/>
        </w:rPr>
        <w:t xml:space="preserve">Laktat (2-hidroksipropanoat), insan vücudunda L-laktat ve D-laktat adlı iki iki stereoizomer şeklinde bulunabilen bir hidroksikarboksilik asittir. L-Laktat, fizyolojik olarak daha baskın bir enantiyomerdir (Connor ve ark, 1983; Talasniemi ve ark, 2008). Laktat / laktik asit çiftinin pKa'sı </w:t>
      </w:r>
      <w:proofErr w:type="gramStart"/>
      <w:r w:rsidRPr="00020290">
        <w:rPr>
          <w:szCs w:val="24"/>
        </w:rPr>
        <w:t>3.8</w:t>
      </w:r>
      <w:proofErr w:type="gramEnd"/>
      <w:r w:rsidRPr="00020290">
        <w:rPr>
          <w:szCs w:val="24"/>
        </w:rPr>
        <w:t xml:space="preserve"> olduğundan, anyon laktat insan vücudunda ortaya çıkan baskın </w:t>
      </w:r>
      <w:r w:rsidRPr="00020290">
        <w:rPr>
          <w:szCs w:val="24"/>
        </w:rPr>
        <w:lastRenderedPageBreak/>
        <w:t>kısımdır. L-laktat, esas olarak insan hücrelerinin sitozolüne yerleştirilmiş olan LDH tarafından katalizlenen geri dönüşümlü bir oksido-indirgeme reaksiyonu ile üretilir veya uzaklaştırılır. Reaksiyonun bir yönünde piruvat, L-laktat üretmek üzere indirgenirken NADH, NAD</w:t>
      </w:r>
      <w:r w:rsidRPr="00020290">
        <w:rPr>
          <w:szCs w:val="24"/>
          <w:vertAlign w:val="superscript"/>
        </w:rPr>
        <w:t>+</w:t>
      </w:r>
      <w:r w:rsidRPr="00020290">
        <w:rPr>
          <w:szCs w:val="24"/>
        </w:rPr>
        <w:t xml:space="preserve">’ye oksitlenir. İnsanlarda, hücre içi L-laktatın ana kaynakları glukoz ve alanindir  (Adeva-Andany ve ark, 2014). </w:t>
      </w:r>
    </w:p>
    <w:p w:rsidR="00276E20" w:rsidRPr="00020290" w:rsidRDefault="00276E20" w:rsidP="00276E20">
      <w:pPr>
        <w:autoSpaceDE w:val="0"/>
        <w:autoSpaceDN w:val="0"/>
        <w:adjustRightInd w:val="0"/>
        <w:ind w:firstLine="708"/>
        <w:rPr>
          <w:szCs w:val="24"/>
        </w:rPr>
      </w:pPr>
      <w:r w:rsidRPr="00020290">
        <w:rPr>
          <w:szCs w:val="24"/>
        </w:rPr>
        <w:t xml:space="preserve">Tüm vücut seviyesinde laktat metabolizması şu nedenlerden dolayı önem taşımaktadır: </w:t>
      </w:r>
      <w:r>
        <w:rPr>
          <w:szCs w:val="24"/>
        </w:rPr>
        <w:t>1</w:t>
      </w:r>
      <w:proofErr w:type="gramStart"/>
      <w:r>
        <w:rPr>
          <w:szCs w:val="24"/>
        </w:rPr>
        <w:t>)</w:t>
      </w:r>
      <w:proofErr w:type="gramEnd"/>
      <w:r>
        <w:rPr>
          <w:szCs w:val="24"/>
        </w:rPr>
        <w:t xml:space="preserve"> </w:t>
      </w:r>
      <w:r w:rsidRPr="00020290">
        <w:rPr>
          <w:szCs w:val="24"/>
        </w:rPr>
        <w:t xml:space="preserve">laktat önemli bir enerji kaynağıdır, 2) laktat önemli </w:t>
      </w:r>
      <w:r w:rsidR="00755C5C">
        <w:rPr>
          <w:szCs w:val="24"/>
        </w:rPr>
        <w:t xml:space="preserve">bir </w:t>
      </w:r>
      <w:r w:rsidRPr="00020290">
        <w:rPr>
          <w:szCs w:val="24"/>
        </w:rPr>
        <w:t>glukone</w:t>
      </w:r>
      <w:r w:rsidR="00755C5C">
        <w:rPr>
          <w:szCs w:val="24"/>
        </w:rPr>
        <w:t>ogenik</w:t>
      </w:r>
      <w:r w:rsidRPr="00020290">
        <w:rPr>
          <w:szCs w:val="24"/>
        </w:rPr>
        <w:t xml:space="preserve"> prekürsördür</w:t>
      </w:r>
      <w:r>
        <w:rPr>
          <w:szCs w:val="24"/>
        </w:rPr>
        <w:t>,</w:t>
      </w:r>
      <w:r w:rsidRPr="00020290">
        <w:rPr>
          <w:szCs w:val="24"/>
        </w:rPr>
        <w:t xml:space="preserve"> 3) laktat; otokrin, parakrin ve endokrin benzeri etkilere sahip bir sinyal molekülüdür ve buna “lactormon” denir. "Hücre- hücre laktat mekiği" ve "hücre içi laktat mekiği" kavramları, oksidatif ve glukoneojenik substratların yanı sıra hücre sinyalizasyonunda laktatın rolünü tanımlar (Brooks, 2018). </w:t>
      </w:r>
    </w:p>
    <w:p w:rsidR="00276E20" w:rsidRPr="00020290" w:rsidRDefault="00276E20" w:rsidP="00276E20">
      <w:pPr>
        <w:autoSpaceDE w:val="0"/>
        <w:autoSpaceDN w:val="0"/>
        <w:adjustRightInd w:val="0"/>
        <w:ind w:firstLine="708"/>
        <w:rPr>
          <w:szCs w:val="24"/>
        </w:rPr>
      </w:pPr>
      <w:r w:rsidRPr="00020290">
        <w:rPr>
          <w:szCs w:val="24"/>
        </w:rPr>
        <w:t>Laktat hem glukoz hem de glutamin oksidasyonundan üretilebilir ve ekstrasellüler asidoza katkıda bulunan tümör metabolizmasının bir atık ürünü olduğu düşünülmektedir.  Aerobik koşullar altında kanser hücrelerinde artan laktat üretimi, Warburg etkisinin önemli bir gözlemidir (Warburg ve ark, 1927). Tümör hücrelerinin metabolik yeniden programlanması, metabolik akışları değiştirir, Krebs döngüsünü yeniden yapılandırır ve glikolizi arttırır. Artan glikolitik karbon akışı, yüksek miktarda laktik asit üretimine yol açar. Tümör hücrelerinin normal hücrelere göre 40 kat daha fazla laktik asit ürettiği tahmin edilmektedir (Holm ve ark, 1995).</w:t>
      </w:r>
    </w:p>
    <w:p w:rsidR="00276E20" w:rsidRPr="00020290" w:rsidRDefault="00276E20" w:rsidP="00276E20">
      <w:pPr>
        <w:autoSpaceDE w:val="0"/>
        <w:autoSpaceDN w:val="0"/>
        <w:adjustRightInd w:val="0"/>
        <w:ind w:firstLine="708"/>
        <w:rPr>
          <w:szCs w:val="24"/>
        </w:rPr>
      </w:pPr>
      <w:r w:rsidRPr="00020290">
        <w:rPr>
          <w:szCs w:val="24"/>
        </w:rPr>
        <w:t xml:space="preserve">Literatürde laktatın, kalp, karaciğer, kas ve hatta beyin de </w:t>
      </w:r>
      <w:proofErr w:type="gramStart"/>
      <w:r w:rsidRPr="00020290">
        <w:rPr>
          <w:szCs w:val="24"/>
        </w:rPr>
        <w:t>dahil</w:t>
      </w:r>
      <w:proofErr w:type="gramEnd"/>
      <w:r w:rsidRPr="00020290">
        <w:rPr>
          <w:szCs w:val="24"/>
        </w:rPr>
        <w:t xml:space="preserve"> olmak üzere hemen hemen tüm hücrelerde (mitokondri içeren herhangi bir hücre) yakıt olarak glukozun yerini kolayca alabileceği tanımlanmıştır. Laktatın ayrıca, HIF1α'nın </w:t>
      </w:r>
      <w:proofErr w:type="gramStart"/>
      <w:r w:rsidRPr="00020290">
        <w:rPr>
          <w:szCs w:val="24"/>
        </w:rPr>
        <w:t>stabilizasyonunu</w:t>
      </w:r>
      <w:proofErr w:type="gramEnd"/>
      <w:r w:rsidRPr="00020290">
        <w:rPr>
          <w:szCs w:val="24"/>
        </w:rPr>
        <w:t xml:space="preserve"> tetikleyen ve anjiyogenez ile sonuçlanan VEGF ekspresyonunu artıran güçlü bir sinyal molekülü olduğu bulunmuştur (Goodwin ve ark, 2015). Laktattaki herhangi bir değişiklik derhal LDH katalizi sonucu piruvat ile dengeye gelir ve bunun tersi durum da geçerlidir. Biriken piruvat, proteazomdaki parçalanma için HIF-lα'yı hedefleyen sorumlu molekül olan 2-oksoglutarat oluşumunu inhibe eder. Böylece laktat (piruvat) seviyeleri arttığında HIF-lα, VEGF ekspresyonu yoluyla anjiyogenezi sağlar (Goodwin ve ark, 2015). Kanser hücreleri ile tümör içindeki diğer kanser hücreleri, tümör stromal hücreleri ve / veya hem </w:t>
      </w:r>
      <w:proofErr w:type="gramStart"/>
      <w:r w:rsidRPr="00020290">
        <w:rPr>
          <w:szCs w:val="24"/>
        </w:rPr>
        <w:t>lokal</w:t>
      </w:r>
      <w:proofErr w:type="gramEnd"/>
      <w:r w:rsidRPr="00020290">
        <w:rPr>
          <w:szCs w:val="24"/>
        </w:rPr>
        <w:t xml:space="preserve"> hem de tümörlü olmayan diğer hücreler arası</w:t>
      </w:r>
      <w:r w:rsidR="00BB7A29">
        <w:rPr>
          <w:szCs w:val="24"/>
        </w:rPr>
        <w:t>nda bir laktat mekiği mevcuttur</w:t>
      </w:r>
      <w:r w:rsidRPr="00020290">
        <w:rPr>
          <w:szCs w:val="24"/>
        </w:rPr>
        <w:t xml:space="preserve"> (Şekil </w:t>
      </w:r>
      <w:r>
        <w:rPr>
          <w:szCs w:val="24"/>
        </w:rPr>
        <w:t>1</w:t>
      </w:r>
      <w:r w:rsidR="0026769D">
        <w:rPr>
          <w:szCs w:val="24"/>
        </w:rPr>
        <w:t>9</w:t>
      </w:r>
      <w:r w:rsidRPr="00020290">
        <w:rPr>
          <w:szCs w:val="24"/>
        </w:rPr>
        <w:t>).</w:t>
      </w:r>
    </w:p>
    <w:p w:rsidR="00276E20" w:rsidRPr="00020290" w:rsidRDefault="00276E20" w:rsidP="00276E20">
      <w:pPr>
        <w:autoSpaceDE w:val="0"/>
        <w:autoSpaceDN w:val="0"/>
        <w:adjustRightInd w:val="0"/>
        <w:rPr>
          <w:szCs w:val="24"/>
        </w:rPr>
      </w:pPr>
    </w:p>
    <w:p w:rsidR="00276E20" w:rsidRDefault="00276E20" w:rsidP="00276E20">
      <w:pPr>
        <w:autoSpaceDE w:val="0"/>
        <w:autoSpaceDN w:val="0"/>
        <w:adjustRightInd w:val="0"/>
        <w:rPr>
          <w:szCs w:val="24"/>
        </w:rPr>
      </w:pPr>
      <w:r w:rsidRPr="00020290">
        <w:rPr>
          <w:noProof/>
          <w:szCs w:val="24"/>
          <w:lang w:eastAsia="tr-TR"/>
        </w:rPr>
        <w:lastRenderedPageBreak/>
        <w:drawing>
          <wp:inline distT="0" distB="0" distL="0" distR="0">
            <wp:extent cx="5082639" cy="2956956"/>
            <wp:effectExtent l="19050" t="0" r="3711" b="0"/>
            <wp:docPr id="27" name="Resim 27"/>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6" cstate="print"/>
                    <a:srcRect/>
                    <a:stretch>
                      <a:fillRect/>
                    </a:stretch>
                  </pic:blipFill>
                  <pic:spPr bwMode="auto">
                    <a:xfrm>
                      <a:off x="0" y="0"/>
                      <a:ext cx="5087991" cy="2960069"/>
                    </a:xfrm>
                    <a:prstGeom prst="rect">
                      <a:avLst/>
                    </a:prstGeom>
                    <a:noFill/>
                    <a:ln w="9525">
                      <a:noFill/>
                      <a:miter lim="800000"/>
                      <a:headEnd/>
                      <a:tailEnd/>
                    </a:ln>
                  </pic:spPr>
                </pic:pic>
              </a:graphicData>
            </a:graphic>
          </wp:inline>
        </w:drawing>
      </w:r>
    </w:p>
    <w:p w:rsidR="00276E20" w:rsidRPr="00020290" w:rsidRDefault="00C34D58" w:rsidP="00276E20">
      <w:pPr>
        <w:autoSpaceDE w:val="0"/>
        <w:autoSpaceDN w:val="0"/>
        <w:adjustRightInd w:val="0"/>
        <w:jc w:val="center"/>
        <w:rPr>
          <w:szCs w:val="24"/>
        </w:rPr>
      </w:pPr>
      <w:r>
        <w:rPr>
          <w:b/>
          <w:szCs w:val="24"/>
        </w:rPr>
        <w:t xml:space="preserve">Şekil </w:t>
      </w:r>
      <w:r w:rsidR="00276E20" w:rsidRPr="0026769D">
        <w:rPr>
          <w:b/>
          <w:szCs w:val="24"/>
        </w:rPr>
        <w:t>1</w:t>
      </w:r>
      <w:r w:rsidR="0026769D" w:rsidRPr="0026769D">
        <w:rPr>
          <w:b/>
          <w:szCs w:val="24"/>
        </w:rPr>
        <w:t>9</w:t>
      </w:r>
      <w:r w:rsidR="0026769D">
        <w:rPr>
          <w:szCs w:val="24"/>
        </w:rPr>
        <w:t>.</w:t>
      </w:r>
      <w:r w:rsidR="00276E20" w:rsidRPr="00020290">
        <w:rPr>
          <w:szCs w:val="24"/>
        </w:rPr>
        <w:t xml:space="preserve"> Tümörlerde laktat metabolizması: Laktatın kanser hücrelerinde izlediği yol ve anjiyogenezi yönlendirmede bir sinyal molekülü olarak potansiyel rolü (Goodwin ve ark, 2015’ten değiştirilerek alınmıştır).</w:t>
      </w:r>
    </w:p>
    <w:p w:rsidR="00276E20" w:rsidRPr="00020290" w:rsidRDefault="00276E20" w:rsidP="00276E20">
      <w:pPr>
        <w:autoSpaceDE w:val="0"/>
        <w:autoSpaceDN w:val="0"/>
        <w:adjustRightInd w:val="0"/>
        <w:rPr>
          <w:szCs w:val="24"/>
        </w:rPr>
      </w:pPr>
    </w:p>
    <w:p w:rsidR="00276E20" w:rsidRPr="00020290" w:rsidRDefault="00276E20" w:rsidP="00276E20">
      <w:pPr>
        <w:autoSpaceDE w:val="0"/>
        <w:autoSpaceDN w:val="0"/>
        <w:adjustRightInd w:val="0"/>
        <w:ind w:firstLine="708"/>
        <w:rPr>
          <w:szCs w:val="24"/>
        </w:rPr>
      </w:pPr>
      <w:r w:rsidRPr="00020290">
        <w:rPr>
          <w:szCs w:val="24"/>
        </w:rPr>
        <w:t>Laktatın anjiyogenez üzerindeki etkisi sadece HIF-1 ekspresyonu</w:t>
      </w:r>
      <w:r>
        <w:rPr>
          <w:szCs w:val="24"/>
        </w:rPr>
        <w:t xml:space="preserve">na bağlı değildir. </w:t>
      </w:r>
      <w:r w:rsidRPr="00521B8F">
        <w:rPr>
          <w:szCs w:val="24"/>
        </w:rPr>
        <w:t>V</w:t>
      </w:r>
      <w:r w:rsidR="00C37673" w:rsidRPr="00521B8F">
        <w:rPr>
          <w:szCs w:val="24"/>
        </w:rPr>
        <w:t>é</w:t>
      </w:r>
      <w:r w:rsidRPr="00521B8F">
        <w:rPr>
          <w:szCs w:val="24"/>
        </w:rPr>
        <w:t>gran</w:t>
      </w:r>
      <w:r>
        <w:rPr>
          <w:szCs w:val="24"/>
        </w:rPr>
        <w:t xml:space="preserve"> ve ark (2011),</w:t>
      </w:r>
      <w:r w:rsidR="00793DD2">
        <w:rPr>
          <w:szCs w:val="24"/>
        </w:rPr>
        <w:t xml:space="preserve"> </w:t>
      </w:r>
      <w:r>
        <w:rPr>
          <w:szCs w:val="24"/>
        </w:rPr>
        <w:t xml:space="preserve"> </w:t>
      </w:r>
      <w:r w:rsidRPr="00020290">
        <w:rPr>
          <w:szCs w:val="24"/>
        </w:rPr>
        <w:t>laktatın</w:t>
      </w:r>
      <w:r>
        <w:rPr>
          <w:szCs w:val="24"/>
        </w:rPr>
        <w:t xml:space="preserve"> ayrıca</w:t>
      </w:r>
      <w:r w:rsidRPr="00020290">
        <w:rPr>
          <w:szCs w:val="24"/>
        </w:rPr>
        <w:t xml:space="preserve"> endotel hücreleri tarafından, nükleer faktör-kappa B (NF-kB) stimülasyonu yoluyla, endotel hücreleri tarafından interlökin-8 (IL-8) üretimini </w:t>
      </w:r>
      <w:r>
        <w:rPr>
          <w:szCs w:val="24"/>
        </w:rPr>
        <w:t>indükleyebildiğini göstermiştir. S</w:t>
      </w:r>
      <w:r w:rsidRPr="00020290">
        <w:rPr>
          <w:szCs w:val="24"/>
        </w:rPr>
        <w:t xml:space="preserve">on zamanlarda yapılan bir çalışmada laktatın HIF'den bağımsız olarak anjiyojenezi </w:t>
      </w:r>
      <w:proofErr w:type="gramStart"/>
      <w:r w:rsidRPr="00020290">
        <w:rPr>
          <w:szCs w:val="24"/>
        </w:rPr>
        <w:t>modüle</w:t>
      </w:r>
      <w:proofErr w:type="gramEnd"/>
      <w:r w:rsidRPr="00020290">
        <w:rPr>
          <w:szCs w:val="24"/>
        </w:rPr>
        <w:t xml:space="preserve"> etmede doğrudan</w:t>
      </w:r>
      <w:r>
        <w:rPr>
          <w:szCs w:val="24"/>
        </w:rPr>
        <w:t xml:space="preserve"> bir rolü olduğu bildirilmiştir</w:t>
      </w:r>
      <w:r w:rsidRPr="00020290">
        <w:rPr>
          <w:szCs w:val="24"/>
        </w:rPr>
        <w:t xml:space="preserve"> (Lee ve ark, 2015). Ekstrasellüler laktat seviyelerindeki değişikliklerin, </w:t>
      </w:r>
      <w:r w:rsidR="004D23FB">
        <w:rPr>
          <w:i/>
          <w:szCs w:val="24"/>
        </w:rPr>
        <w:t>in vitro</w:t>
      </w:r>
      <w:r w:rsidRPr="00020290">
        <w:rPr>
          <w:szCs w:val="24"/>
        </w:rPr>
        <w:t xml:space="preserve"> farklı kanser hücrelerinde </w:t>
      </w:r>
      <w:proofErr w:type="gramStart"/>
      <w:r w:rsidRPr="00020290">
        <w:rPr>
          <w:szCs w:val="24"/>
        </w:rPr>
        <w:t>konsantrasyona</w:t>
      </w:r>
      <w:proofErr w:type="gramEnd"/>
      <w:r w:rsidRPr="00020290">
        <w:rPr>
          <w:szCs w:val="24"/>
        </w:rPr>
        <w:t xml:space="preserve"> bağlı bir şekilde </w:t>
      </w:r>
      <w:r>
        <w:rPr>
          <w:szCs w:val="24"/>
        </w:rPr>
        <w:t xml:space="preserve">hücrelerin </w:t>
      </w:r>
      <w:r w:rsidRPr="00020290">
        <w:rPr>
          <w:szCs w:val="24"/>
        </w:rPr>
        <w:t xml:space="preserve">rastgele göç etmelerini arttırdığı ve bunun da metastazı </w:t>
      </w:r>
      <w:r w:rsidR="00793DD2">
        <w:rPr>
          <w:szCs w:val="24"/>
        </w:rPr>
        <w:t>kolaylaştıracağı gösterilmiştir</w:t>
      </w:r>
      <w:r w:rsidRPr="00020290">
        <w:rPr>
          <w:szCs w:val="24"/>
        </w:rPr>
        <w:t xml:space="preserve"> (Goetze ve ark, 2011; Hirschhaeuser ve ark, 2011). </w:t>
      </w:r>
    </w:p>
    <w:p w:rsidR="00276E20" w:rsidRPr="00020290" w:rsidRDefault="00276E20" w:rsidP="00276E20">
      <w:pPr>
        <w:autoSpaceDE w:val="0"/>
        <w:autoSpaceDN w:val="0"/>
        <w:adjustRightInd w:val="0"/>
        <w:ind w:firstLine="708"/>
        <w:rPr>
          <w:szCs w:val="24"/>
        </w:rPr>
      </w:pPr>
      <w:r>
        <w:rPr>
          <w:szCs w:val="24"/>
        </w:rPr>
        <w:t xml:space="preserve">Hui ve ark (2017) </w:t>
      </w:r>
      <w:r w:rsidRPr="00020290">
        <w:rPr>
          <w:szCs w:val="24"/>
        </w:rPr>
        <w:t>ile Faubert ve ark</w:t>
      </w:r>
      <w:r>
        <w:rPr>
          <w:szCs w:val="24"/>
        </w:rPr>
        <w:t xml:space="preserve"> (2017),</w:t>
      </w:r>
      <w:r w:rsidRPr="00020290">
        <w:rPr>
          <w:szCs w:val="24"/>
        </w:rPr>
        <w:t xml:space="preserve"> birbirinden bağımsız bir şekilde yaptıkları çalışmalar ile laktatın normal dokularda ve tümörlerde mitokondriyal TCA döngüsü için birincil karbon kaynağı olduğunu tespit etmişlerdir</w:t>
      </w:r>
      <w:r>
        <w:rPr>
          <w:szCs w:val="24"/>
        </w:rPr>
        <w:t xml:space="preserve">. </w:t>
      </w:r>
      <w:r w:rsidRPr="00020290">
        <w:rPr>
          <w:szCs w:val="24"/>
        </w:rPr>
        <w:t xml:space="preserve">Mueller-Klieser’in grubu </w:t>
      </w:r>
      <w:r>
        <w:rPr>
          <w:szCs w:val="24"/>
        </w:rPr>
        <w:t xml:space="preserve">(2004) </w:t>
      </w:r>
      <w:r w:rsidRPr="00020290">
        <w:rPr>
          <w:szCs w:val="24"/>
        </w:rPr>
        <w:t xml:space="preserve">ilk kez laktat birikiminin primer rahim ağzı kanseri </w:t>
      </w:r>
      <w:proofErr w:type="gramStart"/>
      <w:r w:rsidRPr="00020290">
        <w:rPr>
          <w:szCs w:val="24"/>
        </w:rPr>
        <w:t>agresifliği</w:t>
      </w:r>
      <w:proofErr w:type="gramEnd"/>
      <w:r w:rsidRPr="00020290">
        <w:rPr>
          <w:szCs w:val="24"/>
        </w:rPr>
        <w:t xml:space="preserve"> ile anlamlı bir şekilde bağlantılı olduğu ve laktat miktarının hastanın sağkalımı ile ters orantılı seyrett</w:t>
      </w:r>
      <w:r>
        <w:rPr>
          <w:szCs w:val="24"/>
        </w:rPr>
        <w:t xml:space="preserve">iği verilerini elde etmişlerdir. </w:t>
      </w:r>
      <w:r w:rsidRPr="00020290">
        <w:rPr>
          <w:szCs w:val="24"/>
        </w:rPr>
        <w:t xml:space="preserve">Bu negatif </w:t>
      </w:r>
      <w:proofErr w:type="gramStart"/>
      <w:r w:rsidRPr="00020290">
        <w:rPr>
          <w:szCs w:val="24"/>
        </w:rPr>
        <w:t>korelasyon</w:t>
      </w:r>
      <w:proofErr w:type="gramEnd"/>
      <w:r w:rsidRPr="00020290">
        <w:rPr>
          <w:szCs w:val="24"/>
        </w:rPr>
        <w:t>, laktat ile tedavi edilen baş ve boyun skuamöz karsinoması (HNSCC) olan hastalar için de doğrulanmıştır (Walenta ve Mueller-Klieser, 2004; Ziebart ve ark, 2011).</w:t>
      </w:r>
      <w:r w:rsidR="00521B8F">
        <w:rPr>
          <w:szCs w:val="24"/>
        </w:rPr>
        <w:t xml:space="preserve"> </w:t>
      </w:r>
      <w:r w:rsidRPr="00020290">
        <w:rPr>
          <w:szCs w:val="24"/>
        </w:rPr>
        <w:t xml:space="preserve">Baş ve boyun, servikal ve küçük hücreli olmayan akciğer kanseri gibi çeşitli insan kanserlerinde yüksek laktat düzeylerinin metastaz, tümör nüksü ve kötü klinik sonuç ile </w:t>
      </w:r>
      <w:r w:rsidRPr="00020290">
        <w:rPr>
          <w:szCs w:val="24"/>
        </w:rPr>
        <w:lastRenderedPageBreak/>
        <w:t xml:space="preserve">korele olduğu tespit edilmiştir (Walenta ve ark, 2000). Laktat seviyeleri, radyasyona direnç ve metastaz olasılığı ile pozitif olarak ilişkili olmasının yanı sıra insan rektal adenokarsinoma, glioblastoma ve prostat tümörü </w:t>
      </w:r>
      <w:proofErr w:type="gramStart"/>
      <w:r w:rsidRPr="00020290">
        <w:rPr>
          <w:szCs w:val="24"/>
        </w:rPr>
        <w:t>agresifliğinin</w:t>
      </w:r>
      <w:proofErr w:type="gramEnd"/>
      <w:r w:rsidRPr="00020290">
        <w:rPr>
          <w:szCs w:val="24"/>
        </w:rPr>
        <w:t xml:space="preserve"> potansiyel bir belirteci olarak tanımlanmıştır (Walenta ve Mueller-Klieser, 2004; Saraswathy ve ark, 2009; </w:t>
      </w:r>
      <w:r w:rsidR="00521B8F" w:rsidRPr="00020290">
        <w:rPr>
          <w:szCs w:val="24"/>
        </w:rPr>
        <w:t>Park ve ark, 2010</w:t>
      </w:r>
      <w:r w:rsidR="00521B8F">
        <w:rPr>
          <w:szCs w:val="24"/>
        </w:rPr>
        <w:t>;</w:t>
      </w:r>
      <w:r w:rsidRPr="00020290">
        <w:rPr>
          <w:szCs w:val="24"/>
        </w:rPr>
        <w:t xml:space="preserve"> Yaligar ve ark, 2012</w:t>
      </w:r>
      <w:r w:rsidR="00521B8F">
        <w:rPr>
          <w:szCs w:val="24"/>
        </w:rPr>
        <w:t xml:space="preserve">; </w:t>
      </w:r>
      <w:r w:rsidR="00521B8F" w:rsidRPr="00020290">
        <w:rPr>
          <w:szCs w:val="24"/>
        </w:rPr>
        <w:t>Keshari ve ark, 2013</w:t>
      </w:r>
      <w:r w:rsidRPr="00020290">
        <w:rPr>
          <w:szCs w:val="24"/>
        </w:rPr>
        <w:t>).</w:t>
      </w:r>
    </w:p>
    <w:p w:rsidR="00276E20" w:rsidRPr="00020290" w:rsidRDefault="00276E20" w:rsidP="00276E20">
      <w:pPr>
        <w:autoSpaceDE w:val="0"/>
        <w:autoSpaceDN w:val="0"/>
        <w:adjustRightInd w:val="0"/>
        <w:ind w:firstLine="708"/>
        <w:rPr>
          <w:szCs w:val="24"/>
        </w:rPr>
      </w:pPr>
      <w:r w:rsidRPr="00020290">
        <w:rPr>
          <w:szCs w:val="24"/>
        </w:rPr>
        <w:t>Tümör kaynaklı laktat, tümör hücrelerinin enflamasyonunu ve immün yetmezliğini etkiler (Yabu ve ark, 2011). Laktatın kendisi, T hücreleri ve makrofajlarla interlökin (IL) -17A üretimini artıran ve tümör mikro-ortamlarında kronik enflamasyonun oluşumu ile sonuçlanan intrinsik bir enflamatuar aracı olarak işlev görür. Tümör hücrelerinden yüksek laktat salgılanması, T hücrelerinin sekresyonunu inhibe eder, böylece metabolizmal</w:t>
      </w:r>
      <w:r>
        <w:rPr>
          <w:szCs w:val="24"/>
        </w:rPr>
        <w:t xml:space="preserve">arını ve fonksiyonlarını bozar </w:t>
      </w:r>
      <w:r w:rsidRPr="00020290">
        <w:rPr>
          <w:szCs w:val="24"/>
        </w:rPr>
        <w:t xml:space="preserve">(Goetze </w:t>
      </w:r>
      <w:r>
        <w:rPr>
          <w:szCs w:val="24"/>
        </w:rPr>
        <w:t>ve ark, 2011</w:t>
      </w:r>
      <w:r w:rsidRPr="00020290">
        <w:rPr>
          <w:szCs w:val="24"/>
        </w:rPr>
        <w:t xml:space="preserve">). </w:t>
      </w:r>
    </w:p>
    <w:p w:rsidR="00276E20" w:rsidRPr="00020290" w:rsidRDefault="00276E20" w:rsidP="00276E20">
      <w:pPr>
        <w:autoSpaceDE w:val="0"/>
        <w:autoSpaceDN w:val="0"/>
        <w:adjustRightInd w:val="0"/>
        <w:ind w:firstLine="708"/>
        <w:rPr>
          <w:szCs w:val="24"/>
        </w:rPr>
      </w:pPr>
      <w:r w:rsidRPr="00020290">
        <w:rPr>
          <w:szCs w:val="24"/>
        </w:rPr>
        <w:t xml:space="preserve">Tümörler, aerobik ve hipoksik bölgeler içeren heterojen yapılardır (Kalyanaraman ve ark, 2017). Şekil </w:t>
      </w:r>
      <w:r>
        <w:rPr>
          <w:szCs w:val="24"/>
        </w:rPr>
        <w:t>17</w:t>
      </w:r>
      <w:r w:rsidRPr="00020290">
        <w:rPr>
          <w:szCs w:val="24"/>
        </w:rPr>
        <w:t>’de gösterildiği gibi kan damarlarını çevreleyen tümör hücreleri iyi oksijenlenmiş iken kan damarı uzağında bulunan tümör hücreleri zayıf oksijenlenmiş bölgelere sahiptir. Son zamanlarda, kanser hücrelerinin hipoksik ve aerobik bölgeleri arasında “metabolik bir simbiyozun” varlığı gösterilmiştir (Semenza ve ark, 2008; Semenza ve ark, 2011). Hipoksik hücrelerde glikolizden üretilen laktat salgılanır; aerobik kanser hücreleri tarafından bu laktat protona bağlı karboksilat taşıyıcı-1 (MCT1) yoluyla alınır ve LDH-B ile piruvat haline dönüştürülür. Substrat konumundaki piruvat daha sonra ATP üreten aerobik tümör hücrelerinde OXPHOS'a maruz kalır. Bu mekanizma ile hipoksik kanser hücresi metabolizması ve sağkalımı için daha fazla glukoz ayrılır (Kalyanaraman ve ark, 2017).</w:t>
      </w:r>
    </w:p>
    <w:p w:rsidR="00276E20" w:rsidRPr="00020290" w:rsidRDefault="00276E20" w:rsidP="00276E20">
      <w:pPr>
        <w:autoSpaceDE w:val="0"/>
        <w:autoSpaceDN w:val="0"/>
        <w:adjustRightInd w:val="0"/>
        <w:ind w:firstLine="708"/>
        <w:rPr>
          <w:szCs w:val="24"/>
        </w:rPr>
      </w:pPr>
      <w:r w:rsidRPr="00020290">
        <w:rPr>
          <w:szCs w:val="24"/>
        </w:rPr>
        <w:t xml:space="preserve">Tümör hücreleri, hücrede laktik asit birikimini önlemek için MCT’larını kullanırlar. MCT1 inhibe edildiğinde, aerobik kanser hücreleri artık laktatı alamaz, glukoz için hipoksik kanser hücreleri ile rekabet edemez ve yeterli glukoz kullanımına sahip hipoksik kanser hücreleri yok olur. Dolayısıyla, MCT1 inhibitörü potansiyel olarak hedeflenmiş bir kemoterapötik ajan olarak işlev görebilir. Özellikle MCT-1 ve MCT-4 izoformları kanser hücre metabolizmasında önemli rol oynar. Bu taşıyıcılar sitoplazmadan hücre dışı sıvıya laktik asit sekresyonunu hızlandırırlar ve böylelikle mikroortamın asidifikasyonuna engel olurlar (Kalyanaraman ve ark, 2017). Glioblastoma, meme kanseri, prostat ve kolon kanserinin de içinde olduğu birçok tümör dokusunda MCT-1 ve MCT-4 seviyelerinin </w:t>
      </w:r>
      <w:r w:rsidR="00793DD2">
        <w:rPr>
          <w:szCs w:val="24"/>
        </w:rPr>
        <w:t>artış gösterdiği belirlenmiştir</w:t>
      </w:r>
      <w:r w:rsidRPr="00020290">
        <w:rPr>
          <w:szCs w:val="24"/>
        </w:rPr>
        <w:t xml:space="preserve"> (</w:t>
      </w:r>
      <w:r w:rsidR="00521B8F" w:rsidRPr="00020290">
        <w:rPr>
          <w:szCs w:val="24"/>
        </w:rPr>
        <w:t>Pinheiro ve ark, 20</w:t>
      </w:r>
      <w:r w:rsidR="00521B8F">
        <w:rPr>
          <w:szCs w:val="24"/>
        </w:rPr>
        <w:t>08</w:t>
      </w:r>
      <w:r w:rsidR="00C37673">
        <w:rPr>
          <w:szCs w:val="24"/>
        </w:rPr>
        <w:t>;</w:t>
      </w:r>
      <w:r w:rsidRPr="00020290">
        <w:rPr>
          <w:szCs w:val="24"/>
        </w:rPr>
        <w:t xml:space="preserve"> Pinheiro ve ark, 2010;</w:t>
      </w:r>
      <w:r w:rsidR="00521B8F" w:rsidRPr="00521B8F">
        <w:rPr>
          <w:szCs w:val="24"/>
        </w:rPr>
        <w:t xml:space="preserve"> </w:t>
      </w:r>
      <w:r w:rsidR="00521B8F">
        <w:rPr>
          <w:szCs w:val="24"/>
        </w:rPr>
        <w:t>Per</w:t>
      </w:r>
      <w:r w:rsidR="00521B8F" w:rsidRPr="00521B8F">
        <w:rPr>
          <w:szCs w:val="24"/>
        </w:rPr>
        <w:t>téga</w:t>
      </w:r>
      <w:r w:rsidR="00521B8F" w:rsidRPr="00020290">
        <w:rPr>
          <w:szCs w:val="24"/>
        </w:rPr>
        <w:t>-Gomes ve ark, 2011</w:t>
      </w:r>
      <w:r w:rsidR="00521B8F">
        <w:rPr>
          <w:szCs w:val="24"/>
        </w:rPr>
        <w:t>;</w:t>
      </w:r>
      <w:r w:rsidRPr="00020290">
        <w:rPr>
          <w:szCs w:val="24"/>
        </w:rPr>
        <w:t xml:space="preserve"> </w:t>
      </w:r>
      <w:r w:rsidR="00521B8F" w:rsidRPr="00521B8F">
        <w:rPr>
          <w:szCs w:val="24"/>
        </w:rPr>
        <w:t>Miranda-Goncalves</w:t>
      </w:r>
      <w:r w:rsidR="00521B8F">
        <w:rPr>
          <w:szCs w:val="24"/>
        </w:rPr>
        <w:t xml:space="preserve"> ve ark, 2013</w:t>
      </w:r>
      <w:r w:rsidRPr="00020290">
        <w:rPr>
          <w:szCs w:val="24"/>
        </w:rPr>
        <w:t xml:space="preserve">). </w:t>
      </w:r>
    </w:p>
    <w:p w:rsidR="00276E20" w:rsidRPr="00020290" w:rsidRDefault="00276E20" w:rsidP="00276E20">
      <w:pPr>
        <w:autoSpaceDE w:val="0"/>
        <w:autoSpaceDN w:val="0"/>
        <w:adjustRightInd w:val="0"/>
        <w:ind w:firstLine="708"/>
        <w:rPr>
          <w:szCs w:val="24"/>
        </w:rPr>
      </w:pPr>
      <w:r w:rsidRPr="00020290">
        <w:rPr>
          <w:szCs w:val="24"/>
        </w:rPr>
        <w:t>Laktat üretiminin artışına bağlı olarak tümör mikroortamının pH’sı normal dokulara kıyasla</w:t>
      </w:r>
      <w:r>
        <w:rPr>
          <w:szCs w:val="24"/>
        </w:rPr>
        <w:t xml:space="preserve"> (pH </w:t>
      </w:r>
      <w:proofErr w:type="gramStart"/>
      <w:r>
        <w:rPr>
          <w:szCs w:val="24"/>
        </w:rPr>
        <w:t>7.2</w:t>
      </w:r>
      <w:proofErr w:type="gramEnd"/>
      <w:r>
        <w:rPr>
          <w:szCs w:val="24"/>
        </w:rPr>
        <w:t>-7.4) daha asidiktir (pH</w:t>
      </w:r>
      <w:r w:rsidRPr="00020290">
        <w:rPr>
          <w:szCs w:val="24"/>
        </w:rPr>
        <w:t xml:space="preserve"> 6.5-6.9) (Estrella ve ark, 2013). Hücre dışı </w:t>
      </w:r>
      <w:r w:rsidRPr="00020290">
        <w:rPr>
          <w:szCs w:val="24"/>
        </w:rPr>
        <w:lastRenderedPageBreak/>
        <w:t>asidifikasyon, iltihabın ve solid tümör dokus</w:t>
      </w:r>
      <w:r>
        <w:rPr>
          <w:szCs w:val="24"/>
        </w:rPr>
        <w:t xml:space="preserve">unun patolojik bir özelliğidir </w:t>
      </w:r>
      <w:r w:rsidRPr="00020290">
        <w:rPr>
          <w:szCs w:val="24"/>
        </w:rPr>
        <w:t>(</w:t>
      </w:r>
      <w:r>
        <w:rPr>
          <w:szCs w:val="24"/>
        </w:rPr>
        <w:t>Kato ve ark, 2013</w:t>
      </w:r>
      <w:r w:rsidRPr="00020290">
        <w:rPr>
          <w:szCs w:val="24"/>
        </w:rPr>
        <w:t xml:space="preserve">). Asidik hücre dışı pH, sadece asidik aralıkta </w:t>
      </w:r>
      <w:proofErr w:type="gramStart"/>
      <w:r w:rsidRPr="00020290">
        <w:rPr>
          <w:szCs w:val="24"/>
        </w:rPr>
        <w:t>optimal</w:t>
      </w:r>
      <w:proofErr w:type="gramEnd"/>
      <w:r w:rsidRPr="00020290">
        <w:rPr>
          <w:szCs w:val="24"/>
        </w:rPr>
        <w:t xml:space="preserve"> bir pH'da salgılanan lizozomal enzimleri aktive etmekle kalmaz aynı zamanda hipoksiden farklı hücre içi bir sinyal kaskadı vasıtasıyla bazı pro-metastatik faktör genlerinin ekspresyonunu da uyarır (Kato ve ark, 2013). Asidik mikro-ortam hem inflamasyonda hem de kanser hastalarında ağrı için tetikleyici olarak işlev görür (</w:t>
      </w:r>
      <w:r w:rsidR="00521B8F" w:rsidRPr="00521B8F">
        <w:rPr>
          <w:szCs w:val="24"/>
        </w:rPr>
        <w:t xml:space="preserve">Steen ve ark, 1995; </w:t>
      </w:r>
      <w:r w:rsidRPr="00020290">
        <w:rPr>
          <w:szCs w:val="24"/>
        </w:rPr>
        <w:t>Rocha-Gon</w:t>
      </w:r>
      <w:r w:rsidR="00521B8F" w:rsidRPr="00521B8F">
        <w:rPr>
          <w:szCs w:val="24"/>
        </w:rPr>
        <w:t>zá</w:t>
      </w:r>
      <w:r w:rsidRPr="00521B8F">
        <w:rPr>
          <w:szCs w:val="24"/>
        </w:rPr>
        <w:t>l</w:t>
      </w:r>
      <w:r w:rsidRPr="00020290">
        <w:rPr>
          <w:szCs w:val="24"/>
        </w:rPr>
        <w:t xml:space="preserve">ez ve ark, </w:t>
      </w:r>
      <w:r w:rsidR="00521B8F" w:rsidRPr="00521B8F">
        <w:rPr>
          <w:szCs w:val="24"/>
        </w:rPr>
        <w:t>2009</w:t>
      </w:r>
      <w:r w:rsidRPr="00020290">
        <w:rPr>
          <w:szCs w:val="24"/>
        </w:rPr>
        <w:t>). Laktik asidoz bazı kanserlerin metastazlarına da katkıda bulunabilir (</w:t>
      </w:r>
      <w:r w:rsidR="00521B8F" w:rsidRPr="00521B8F">
        <w:rPr>
          <w:szCs w:val="24"/>
        </w:rPr>
        <w:t>Kato</w:t>
      </w:r>
      <w:r w:rsidR="00521B8F" w:rsidRPr="00020290">
        <w:rPr>
          <w:szCs w:val="24"/>
        </w:rPr>
        <w:t xml:space="preserve"> ve ark, 2007</w:t>
      </w:r>
      <w:r w:rsidR="00521B8F">
        <w:rPr>
          <w:szCs w:val="24"/>
        </w:rPr>
        <w:t xml:space="preserve">; </w:t>
      </w:r>
      <w:r w:rsidRPr="00020290">
        <w:rPr>
          <w:szCs w:val="24"/>
        </w:rPr>
        <w:t xml:space="preserve">Romero-Garcia </w:t>
      </w:r>
      <w:r w:rsidR="00521B8F" w:rsidRPr="00521B8F">
        <w:rPr>
          <w:szCs w:val="24"/>
        </w:rPr>
        <w:t>ve ark, 2016</w:t>
      </w:r>
      <w:r w:rsidRPr="00020290">
        <w:rPr>
          <w:szCs w:val="24"/>
        </w:rPr>
        <w:t xml:space="preserve">). </w:t>
      </w:r>
    </w:p>
    <w:p w:rsidR="00276E20" w:rsidRDefault="00276E20" w:rsidP="00276E20">
      <w:pPr>
        <w:autoSpaceDE w:val="0"/>
        <w:autoSpaceDN w:val="0"/>
        <w:adjustRightInd w:val="0"/>
        <w:ind w:firstLine="708"/>
        <w:rPr>
          <w:szCs w:val="24"/>
        </w:rPr>
      </w:pPr>
      <w:r w:rsidRPr="00020290">
        <w:rPr>
          <w:szCs w:val="24"/>
        </w:rPr>
        <w:t xml:space="preserve">Laktat üretimi, tümör asidozu ve hipoksinin genellikle bağlantılı olduğu düşünülmektedir. Bununla birlikte, birçok çalışma da yüksek laktat </w:t>
      </w:r>
      <w:proofErr w:type="gramStart"/>
      <w:r w:rsidRPr="00020290">
        <w:rPr>
          <w:szCs w:val="24"/>
        </w:rPr>
        <w:t>konsantrasyonlarının</w:t>
      </w:r>
      <w:proofErr w:type="gramEnd"/>
      <w:r w:rsidRPr="00020290">
        <w:rPr>
          <w:szCs w:val="24"/>
        </w:rPr>
        <w:t xml:space="preserve"> mutlaka hipoksi ile ilişkili olmadığını ve iki olgunun, tümör boyunca farklı bölgelerde</w:t>
      </w:r>
      <w:r w:rsidR="00793DD2">
        <w:rPr>
          <w:szCs w:val="24"/>
        </w:rPr>
        <w:t xml:space="preserve"> meydana geldiğini göstermiştir</w:t>
      </w:r>
      <w:r w:rsidRPr="00020290">
        <w:rPr>
          <w:szCs w:val="24"/>
        </w:rPr>
        <w:t xml:space="preserve"> (Hunt ve ark, 2008; Yaromina ve ark, 2009). Aerobik glikoliz, artmış glutaminoliz ve kan damarlarının düşük perfüzyon oranları da hipoksik olmayan bölgelerde laktat</w:t>
      </w:r>
      <w:r w:rsidR="00793DD2">
        <w:rPr>
          <w:szCs w:val="24"/>
        </w:rPr>
        <w:t xml:space="preserve"> birikimine katkıda bulunabilir</w:t>
      </w:r>
      <w:r w:rsidRPr="00020290">
        <w:rPr>
          <w:szCs w:val="24"/>
        </w:rPr>
        <w:t xml:space="preserve"> (</w:t>
      </w:r>
      <w:r w:rsidR="00521B8F" w:rsidRPr="00521B8F">
        <w:rPr>
          <w:szCs w:val="24"/>
        </w:rPr>
        <w:t xml:space="preserve">Vaupel ve ark, 1989; Vander Heiden ve ark, 2009; </w:t>
      </w:r>
      <w:r w:rsidRPr="00521B8F">
        <w:rPr>
          <w:szCs w:val="24"/>
        </w:rPr>
        <w:t>Levine v</w:t>
      </w:r>
      <w:r w:rsidR="00521B8F">
        <w:rPr>
          <w:szCs w:val="24"/>
        </w:rPr>
        <w:t>e Puzio-Kuter, 2010</w:t>
      </w:r>
      <w:r w:rsidRPr="00020290">
        <w:rPr>
          <w:szCs w:val="24"/>
        </w:rPr>
        <w:t xml:space="preserve">). </w:t>
      </w:r>
    </w:p>
    <w:p w:rsidR="00B962B0" w:rsidRDefault="00B962B0" w:rsidP="00BB76F4"/>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657470" w:rsidRDefault="00657470" w:rsidP="001E30A6"/>
    <w:p w:rsidR="00657470" w:rsidRDefault="00657470" w:rsidP="001E30A6"/>
    <w:p w:rsidR="00657470" w:rsidRDefault="00657470" w:rsidP="001E30A6"/>
    <w:p w:rsidR="00657470" w:rsidRDefault="00657470" w:rsidP="001E30A6"/>
    <w:p w:rsidR="00657470" w:rsidRDefault="00657470" w:rsidP="001E30A6"/>
    <w:p w:rsidR="00657470" w:rsidRDefault="00657470" w:rsidP="001E30A6"/>
    <w:p w:rsidR="00657470" w:rsidRDefault="00657470" w:rsidP="001E30A6"/>
    <w:p w:rsidR="00405CF0" w:rsidRDefault="00405CF0" w:rsidP="001E30A6"/>
    <w:p w:rsidR="009E54D6" w:rsidRDefault="009E54D6" w:rsidP="009E54D6">
      <w:pPr>
        <w:ind w:firstLine="0"/>
      </w:pPr>
      <w:r>
        <w:br w:type="page"/>
      </w:r>
    </w:p>
    <w:bookmarkEnd w:id="26"/>
    <w:bookmarkEnd w:id="27"/>
    <w:bookmarkEnd w:id="28"/>
    <w:p w:rsidR="00A40077" w:rsidRPr="00E3678C" w:rsidRDefault="00002CBF" w:rsidP="00A40077">
      <w:pPr>
        <w:jc w:val="center"/>
        <w:rPr>
          <w:b/>
          <w:szCs w:val="24"/>
        </w:rPr>
      </w:pPr>
      <w:r w:rsidRPr="00E95407">
        <w:rPr>
          <w:b/>
          <w:sz w:val="28"/>
        </w:rPr>
        <w:lastRenderedPageBreak/>
        <w:t>3. GEREÇ VE YÖNTEM</w:t>
      </w:r>
    </w:p>
    <w:p w:rsidR="00A40077" w:rsidRDefault="00A40077" w:rsidP="00A40077">
      <w:pPr>
        <w:jc w:val="center"/>
        <w:rPr>
          <w:b/>
          <w:szCs w:val="24"/>
        </w:rPr>
      </w:pPr>
    </w:p>
    <w:p w:rsidR="00A40077" w:rsidRDefault="00A40077" w:rsidP="00A40077">
      <w:pPr>
        <w:pStyle w:val="Balk2"/>
        <w:rPr>
          <w:rFonts w:eastAsia="Times New Roman"/>
          <w:lang w:eastAsia="tr-TR"/>
        </w:rPr>
      </w:pPr>
      <w:bookmarkStart w:id="29" w:name="_Toc418111561"/>
      <w:r w:rsidRPr="00E35C8D">
        <w:rPr>
          <w:rFonts w:eastAsia="Times New Roman"/>
          <w:lang w:eastAsia="tr-TR"/>
        </w:rPr>
        <w:t xml:space="preserve">3.1. </w:t>
      </w:r>
      <w:bookmarkEnd w:id="29"/>
      <w:r>
        <w:rPr>
          <w:rFonts w:eastAsia="Times New Roman"/>
          <w:lang w:eastAsia="tr-TR"/>
        </w:rPr>
        <w:t>Kullanılan Cihazlar ve Kimyasal Maddeler</w:t>
      </w:r>
    </w:p>
    <w:p w:rsidR="00A40077" w:rsidRDefault="00A40077" w:rsidP="00A40077">
      <w:pPr>
        <w:autoSpaceDE w:val="0"/>
        <w:autoSpaceDN w:val="0"/>
        <w:adjustRightInd w:val="0"/>
        <w:rPr>
          <w:rFonts w:eastAsia="Times New Roman"/>
          <w:b/>
          <w:szCs w:val="24"/>
          <w:lang w:eastAsia="tr-TR"/>
        </w:rPr>
      </w:pPr>
      <w:r w:rsidRPr="00263CC9">
        <w:rPr>
          <w:rFonts w:eastAsia="Times New Roman"/>
          <w:b/>
          <w:szCs w:val="24"/>
          <w:lang w:eastAsia="tr-TR"/>
        </w:rPr>
        <w:t>Kullanılan Cihaz ve Malzemeler</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sidRPr="000456D6">
        <w:rPr>
          <w:rFonts w:eastAsia="Times New Roman"/>
          <w:szCs w:val="24"/>
          <w:lang w:eastAsia="tr-TR"/>
        </w:rPr>
        <w:t>C0</w:t>
      </w:r>
      <w:r w:rsidRPr="000456D6">
        <w:rPr>
          <w:rFonts w:eastAsia="Times New Roman"/>
          <w:szCs w:val="24"/>
          <w:vertAlign w:val="subscript"/>
          <w:lang w:eastAsia="tr-TR"/>
        </w:rPr>
        <w:t>2</w:t>
      </w:r>
      <w:r>
        <w:rPr>
          <w:rFonts w:eastAsia="Times New Roman"/>
          <w:szCs w:val="24"/>
          <w:lang w:eastAsia="tr-TR"/>
        </w:rPr>
        <w:t xml:space="preserve"> inkübatörü </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Laminar akımlı kabin</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Işık mikroskobu</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 xml:space="preserve">Mikroskop </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Santrifüj</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Sıcak su banyosu</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-80</w:t>
      </w:r>
      <w:r>
        <w:rPr>
          <w:rFonts w:eastAsia="Times New Roman" w:cs="Times New Roman"/>
          <w:szCs w:val="24"/>
          <w:lang w:eastAsia="tr-TR"/>
        </w:rPr>
        <w:t>°</w:t>
      </w:r>
      <w:r>
        <w:rPr>
          <w:rFonts w:eastAsia="Times New Roman"/>
          <w:szCs w:val="24"/>
          <w:lang w:eastAsia="tr-TR"/>
        </w:rPr>
        <w:t xml:space="preserve"> </w:t>
      </w:r>
      <w:r w:rsidR="00255BE4">
        <w:rPr>
          <w:rFonts w:eastAsia="Times New Roman"/>
          <w:szCs w:val="24"/>
          <w:lang w:eastAsia="tr-TR"/>
        </w:rPr>
        <w:t>Derin Dondurucu</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Buzdolabı</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Hassas terazi</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ELISA Okuyucu</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Spektrofotometre</w:t>
      </w:r>
    </w:p>
    <w:p w:rsidR="00A40077" w:rsidRPr="000456D6"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Modüler İnkübatör Chamber</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Hemositometre</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Şarjlı pipetör</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Vorteks</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Serolojik pipet</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 xml:space="preserve">Mikropipet (1000, 200, 10 </w:t>
      </w:r>
      <w:r>
        <w:rPr>
          <w:rFonts w:eastAsia="Times New Roman" w:cs="Times New Roman"/>
          <w:szCs w:val="24"/>
          <w:lang w:eastAsia="tr-TR"/>
        </w:rPr>
        <w:t>µ</w:t>
      </w:r>
      <w:r>
        <w:rPr>
          <w:rFonts w:eastAsia="Times New Roman"/>
          <w:szCs w:val="24"/>
          <w:lang w:eastAsia="tr-TR"/>
        </w:rPr>
        <w:t>L)</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Kriyo tüp</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75 ve 25 cm</w:t>
      </w:r>
      <w:r w:rsidRPr="00A231D9">
        <w:rPr>
          <w:rFonts w:eastAsia="Times New Roman"/>
          <w:szCs w:val="24"/>
          <w:vertAlign w:val="superscript"/>
          <w:lang w:eastAsia="tr-TR"/>
        </w:rPr>
        <w:t>2</w:t>
      </w:r>
      <w:r>
        <w:rPr>
          <w:rFonts w:eastAsia="Times New Roman"/>
          <w:szCs w:val="24"/>
          <w:vertAlign w:val="superscript"/>
          <w:lang w:eastAsia="tr-TR"/>
        </w:rPr>
        <w:t xml:space="preserve"> </w:t>
      </w:r>
      <w:r>
        <w:rPr>
          <w:rFonts w:eastAsia="Times New Roman"/>
          <w:szCs w:val="24"/>
          <w:lang w:eastAsia="tr-TR"/>
        </w:rPr>
        <w:t>Flask</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Falkon tüp</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 xml:space="preserve">Pipet ucu (1000, 200, 10 </w:t>
      </w:r>
      <w:r>
        <w:rPr>
          <w:rFonts w:eastAsia="Times New Roman" w:cs="Times New Roman"/>
          <w:szCs w:val="24"/>
          <w:lang w:eastAsia="tr-TR"/>
        </w:rPr>
        <w:t>µ</w:t>
      </w:r>
      <w:r>
        <w:rPr>
          <w:rFonts w:eastAsia="Times New Roman"/>
          <w:szCs w:val="24"/>
          <w:lang w:eastAsia="tr-TR"/>
        </w:rPr>
        <w:t>L)</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Steril filtre</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Steril enjektör</w:t>
      </w:r>
    </w:p>
    <w:p w:rsidR="00A40077" w:rsidRDefault="00A40077" w:rsidP="00A40077">
      <w:pPr>
        <w:pStyle w:val="ListeParagraf"/>
        <w:numPr>
          <w:ilvl w:val="0"/>
          <w:numId w:val="14"/>
        </w:numPr>
        <w:autoSpaceDE w:val="0"/>
        <w:autoSpaceDN w:val="0"/>
        <w:adjustRightInd w:val="0"/>
        <w:rPr>
          <w:rFonts w:eastAsia="Times New Roman"/>
          <w:szCs w:val="24"/>
          <w:lang w:eastAsia="tr-TR"/>
        </w:rPr>
      </w:pPr>
      <w:r>
        <w:rPr>
          <w:rFonts w:eastAsia="Times New Roman"/>
          <w:szCs w:val="24"/>
          <w:lang w:eastAsia="tr-TR"/>
        </w:rPr>
        <w:t>96’lı ve 6’lı plaka</w:t>
      </w:r>
    </w:p>
    <w:p w:rsidR="00A40077" w:rsidRDefault="00A40077" w:rsidP="00A40077">
      <w:pPr>
        <w:autoSpaceDE w:val="0"/>
        <w:autoSpaceDN w:val="0"/>
        <w:adjustRightInd w:val="0"/>
        <w:rPr>
          <w:rFonts w:eastAsia="Times New Roman"/>
          <w:szCs w:val="24"/>
          <w:lang w:eastAsia="tr-TR"/>
        </w:rPr>
      </w:pPr>
    </w:p>
    <w:p w:rsidR="00A40077" w:rsidRDefault="00A40077" w:rsidP="00A40077">
      <w:pPr>
        <w:autoSpaceDE w:val="0"/>
        <w:autoSpaceDN w:val="0"/>
        <w:adjustRightInd w:val="0"/>
        <w:rPr>
          <w:rFonts w:eastAsia="Times New Roman"/>
          <w:szCs w:val="24"/>
          <w:lang w:eastAsia="tr-TR"/>
        </w:rPr>
      </w:pPr>
    </w:p>
    <w:p w:rsidR="00A40077" w:rsidRDefault="00A40077" w:rsidP="00A40077">
      <w:pPr>
        <w:autoSpaceDE w:val="0"/>
        <w:autoSpaceDN w:val="0"/>
        <w:adjustRightInd w:val="0"/>
        <w:rPr>
          <w:rFonts w:eastAsia="Times New Roman"/>
          <w:szCs w:val="24"/>
          <w:lang w:eastAsia="tr-TR"/>
        </w:rPr>
      </w:pPr>
    </w:p>
    <w:p w:rsidR="00A40077" w:rsidRPr="003F1425" w:rsidRDefault="00A40077" w:rsidP="00A40077">
      <w:pPr>
        <w:autoSpaceDE w:val="0"/>
        <w:autoSpaceDN w:val="0"/>
        <w:adjustRightInd w:val="0"/>
        <w:rPr>
          <w:rFonts w:eastAsia="Times New Roman"/>
          <w:szCs w:val="24"/>
          <w:lang w:eastAsia="tr-TR"/>
        </w:rPr>
      </w:pPr>
    </w:p>
    <w:p w:rsidR="00A40077" w:rsidRDefault="00A40077" w:rsidP="001E47F1">
      <w:pPr>
        <w:autoSpaceDE w:val="0"/>
        <w:autoSpaceDN w:val="0"/>
        <w:adjustRightInd w:val="0"/>
        <w:ind w:firstLine="0"/>
        <w:rPr>
          <w:rFonts w:eastAsia="Times New Roman"/>
          <w:b/>
          <w:szCs w:val="24"/>
          <w:lang w:eastAsia="tr-TR"/>
        </w:rPr>
      </w:pPr>
      <w:r w:rsidRPr="006036A5">
        <w:rPr>
          <w:rFonts w:eastAsia="Times New Roman"/>
          <w:b/>
          <w:szCs w:val="24"/>
          <w:lang w:eastAsia="tr-TR"/>
        </w:rPr>
        <w:lastRenderedPageBreak/>
        <w:t>Kullanılan Kimyasal Maddeler</w:t>
      </w:r>
    </w:p>
    <w:p w:rsidR="00A40077" w:rsidRDefault="00A40077" w:rsidP="00A40077">
      <w:pPr>
        <w:autoSpaceDE w:val="0"/>
        <w:autoSpaceDN w:val="0"/>
        <w:adjustRightInd w:val="0"/>
        <w:rPr>
          <w:rFonts w:eastAsia="Times New Roman"/>
          <w:b/>
          <w:szCs w:val="24"/>
          <w:lang w:eastAsia="tr-TR"/>
        </w:rPr>
      </w:pPr>
    </w:p>
    <w:p w:rsidR="00A40077" w:rsidRDefault="00A40077" w:rsidP="00A40077">
      <w:pPr>
        <w:pStyle w:val="Balk2"/>
        <w:rPr>
          <w:rFonts w:eastAsia="Times New Roman"/>
          <w:lang w:eastAsia="tr-TR"/>
        </w:rPr>
      </w:pPr>
      <w:r w:rsidRPr="001C7A5C">
        <w:rPr>
          <w:rFonts w:eastAsia="Times New Roman"/>
          <w:lang w:eastAsia="tr-TR"/>
        </w:rPr>
        <w:t xml:space="preserve">Tablo 1. </w:t>
      </w:r>
      <w:r w:rsidR="0060700F">
        <w:rPr>
          <w:rFonts w:eastAsia="Times New Roman"/>
          <w:b w:val="0"/>
          <w:lang w:eastAsia="tr-TR"/>
        </w:rPr>
        <w:t>Kullanılan kimyasal m</w:t>
      </w:r>
      <w:r w:rsidRPr="00A40077">
        <w:rPr>
          <w:rFonts w:eastAsia="Times New Roman"/>
          <w:b w:val="0"/>
          <w:lang w:eastAsia="tr-TR"/>
        </w:rPr>
        <w:t>addeler</w:t>
      </w:r>
      <w:r w:rsidR="00B02C28">
        <w:rPr>
          <w:rFonts w:eastAsia="Times New Roman"/>
          <w:b w:val="0"/>
          <w:lang w:eastAsia="tr-TR"/>
        </w:rPr>
        <w:t>.</w:t>
      </w:r>
    </w:p>
    <w:tbl>
      <w:tblPr>
        <w:tblStyle w:val="AkGlgeleme1"/>
        <w:tblW w:w="0" w:type="auto"/>
        <w:tblInd w:w="108" w:type="dxa"/>
        <w:tblLook w:val="04A0" w:firstRow="1" w:lastRow="0" w:firstColumn="1" w:lastColumn="0" w:noHBand="0" w:noVBand="1"/>
      </w:tblPr>
      <w:tblGrid>
        <w:gridCol w:w="4307"/>
        <w:gridCol w:w="3268"/>
      </w:tblGrid>
      <w:tr w:rsidR="00A40077" w:rsidRPr="00A231D9" w:rsidTr="00F00B6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A231D9" w:rsidRDefault="00A40077" w:rsidP="008A3186">
            <w:pPr>
              <w:autoSpaceDE w:val="0"/>
              <w:autoSpaceDN w:val="0"/>
              <w:adjustRightInd w:val="0"/>
              <w:spacing w:before="240"/>
              <w:jc w:val="center"/>
              <w:rPr>
                <w:rFonts w:eastAsia="Times New Roman"/>
                <w:szCs w:val="24"/>
                <w:lang w:eastAsia="tr-TR"/>
              </w:rPr>
            </w:pPr>
            <w:r>
              <w:rPr>
                <w:rFonts w:eastAsia="Times New Roman"/>
                <w:szCs w:val="24"/>
                <w:lang w:eastAsia="tr-TR"/>
              </w:rPr>
              <w:t>Kimyasallar</w:t>
            </w:r>
          </w:p>
        </w:tc>
        <w:tc>
          <w:tcPr>
            <w:tcW w:w="3268" w:type="dxa"/>
            <w:shd w:val="clear" w:color="auto" w:fill="auto"/>
          </w:tcPr>
          <w:p w:rsidR="00A40077" w:rsidRPr="00A231D9" w:rsidRDefault="00A40077" w:rsidP="008A3186">
            <w:pPr>
              <w:autoSpaceDE w:val="0"/>
              <w:autoSpaceDN w:val="0"/>
              <w:adjustRightInd w:val="0"/>
              <w:spacing w:before="24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tr-TR"/>
              </w:rPr>
            </w:pPr>
            <w:r w:rsidRPr="003D7F5B">
              <w:rPr>
                <w:rFonts w:eastAsia="Times New Roman"/>
                <w:szCs w:val="24"/>
                <w:lang w:eastAsia="tr-TR"/>
              </w:rPr>
              <w:t>Üretici Firma</w:t>
            </w:r>
          </w:p>
        </w:tc>
      </w:tr>
      <w:tr w:rsidR="00A40077" w:rsidRPr="00A231D9" w:rsidTr="00F00B6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000000" w:themeColor="text1"/>
              <w:bottom w:val="nil"/>
            </w:tcBorders>
            <w:shd w:val="clear" w:color="auto" w:fill="auto"/>
          </w:tcPr>
          <w:p w:rsidR="00A40077" w:rsidRPr="003D7F5B" w:rsidRDefault="00A40077" w:rsidP="00A40077">
            <w:pPr>
              <w:autoSpaceDE w:val="0"/>
              <w:autoSpaceDN w:val="0"/>
              <w:adjustRightInd w:val="0"/>
              <w:jc w:val="center"/>
              <w:rPr>
                <w:rFonts w:eastAsia="Times New Roman"/>
                <w:szCs w:val="24"/>
                <w:lang w:eastAsia="tr-TR"/>
              </w:rPr>
            </w:pPr>
            <w:r w:rsidRPr="003D7F5B">
              <w:rPr>
                <w:rFonts w:eastAsia="Times New Roman"/>
                <w:szCs w:val="24"/>
                <w:lang w:eastAsia="tr-TR"/>
              </w:rPr>
              <w:t xml:space="preserve">Dulbecco’s Modified Eagle Medium </w:t>
            </w:r>
            <w:r>
              <w:rPr>
                <w:rFonts w:eastAsia="Times New Roman"/>
                <w:szCs w:val="24"/>
                <w:lang w:eastAsia="tr-TR"/>
              </w:rPr>
              <w:t xml:space="preserve">    </w:t>
            </w:r>
            <w:r w:rsidRPr="003D7F5B">
              <w:rPr>
                <w:rFonts w:eastAsia="Times New Roman"/>
                <w:szCs w:val="24"/>
                <w:lang w:eastAsia="tr-TR"/>
              </w:rPr>
              <w:t>(DMEM)</w:t>
            </w:r>
          </w:p>
        </w:tc>
        <w:tc>
          <w:tcPr>
            <w:tcW w:w="3268" w:type="dxa"/>
            <w:tcBorders>
              <w:top w:val="single" w:sz="8" w:space="0" w:color="000000" w:themeColor="text1"/>
              <w:bottom w:val="nil"/>
            </w:tcBorders>
            <w:shd w:val="clear" w:color="auto" w:fill="auto"/>
          </w:tcPr>
          <w:p w:rsidR="00A40077" w:rsidRPr="00A231D9" w:rsidRDefault="00A40077" w:rsidP="00A400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A231D9">
              <w:rPr>
                <w:rFonts w:eastAsia="Times New Roman"/>
                <w:szCs w:val="24"/>
                <w:lang w:eastAsia="tr-TR"/>
              </w:rPr>
              <w:t>Sigma-Aldrich</w:t>
            </w:r>
          </w:p>
        </w:tc>
      </w:tr>
      <w:tr w:rsidR="00A40077" w:rsidRPr="00A231D9" w:rsidTr="00F00B65">
        <w:trPr>
          <w:trHeight w:val="379"/>
        </w:trPr>
        <w:tc>
          <w:tcPr>
            <w:cnfStyle w:val="001000000000" w:firstRow="0" w:lastRow="0" w:firstColumn="1" w:lastColumn="0" w:oddVBand="0" w:evenVBand="0" w:oddHBand="0" w:evenHBand="0" w:firstRowFirstColumn="0" w:firstRowLastColumn="0" w:lastRowFirstColumn="0" w:lastRowLastColumn="0"/>
            <w:tcW w:w="4307" w:type="dxa"/>
            <w:tcBorders>
              <w:top w:val="nil"/>
            </w:tcBorders>
            <w:shd w:val="clear" w:color="auto" w:fill="auto"/>
          </w:tcPr>
          <w:p w:rsidR="00A40077" w:rsidRPr="003D7F5B" w:rsidRDefault="00A40077" w:rsidP="00A40077">
            <w:pPr>
              <w:autoSpaceDE w:val="0"/>
              <w:autoSpaceDN w:val="0"/>
              <w:adjustRightInd w:val="0"/>
              <w:jc w:val="center"/>
              <w:rPr>
                <w:rFonts w:eastAsia="Times New Roman"/>
                <w:szCs w:val="24"/>
                <w:lang w:eastAsia="tr-TR"/>
              </w:rPr>
            </w:pPr>
            <w:r>
              <w:rPr>
                <w:rFonts w:eastAsia="Times New Roman"/>
                <w:szCs w:val="24"/>
                <w:lang w:eastAsia="tr-TR"/>
              </w:rPr>
              <w:t>DMEM (glu</w:t>
            </w:r>
            <w:r w:rsidRPr="003D7F5B">
              <w:rPr>
                <w:rFonts w:eastAsia="Times New Roman"/>
                <w:szCs w:val="24"/>
                <w:lang w:eastAsia="tr-TR"/>
              </w:rPr>
              <w:t>kozsuz)</w:t>
            </w:r>
          </w:p>
        </w:tc>
        <w:tc>
          <w:tcPr>
            <w:tcW w:w="3268" w:type="dxa"/>
            <w:tcBorders>
              <w:top w:val="nil"/>
            </w:tcBorders>
            <w:shd w:val="clear" w:color="auto" w:fill="auto"/>
          </w:tcPr>
          <w:p w:rsidR="00A40077" w:rsidRPr="00A231D9" w:rsidRDefault="00A40077" w:rsidP="00A400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A231D9">
              <w:rPr>
                <w:rFonts w:eastAsia="Times New Roman"/>
                <w:szCs w:val="24"/>
                <w:lang w:eastAsia="tr-TR"/>
              </w:rPr>
              <w:t>Gibco</w:t>
            </w:r>
          </w:p>
        </w:tc>
      </w:tr>
      <w:tr w:rsidR="00A40077" w:rsidRPr="00A231D9" w:rsidTr="00F00B6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3D7F5B" w:rsidRDefault="00A40077" w:rsidP="00A40077">
            <w:pPr>
              <w:autoSpaceDE w:val="0"/>
              <w:autoSpaceDN w:val="0"/>
              <w:adjustRightInd w:val="0"/>
              <w:jc w:val="center"/>
              <w:rPr>
                <w:rFonts w:eastAsia="Times New Roman"/>
                <w:szCs w:val="24"/>
                <w:lang w:eastAsia="tr-TR"/>
              </w:rPr>
            </w:pPr>
            <w:r w:rsidRPr="003D7F5B">
              <w:rPr>
                <w:rFonts w:eastAsia="Times New Roman"/>
                <w:szCs w:val="24"/>
                <w:lang w:eastAsia="tr-TR"/>
              </w:rPr>
              <w:t>Fetal Sığır Serumu (FBS)</w:t>
            </w:r>
          </w:p>
        </w:tc>
        <w:tc>
          <w:tcPr>
            <w:tcW w:w="3268" w:type="dxa"/>
            <w:shd w:val="clear" w:color="auto" w:fill="auto"/>
          </w:tcPr>
          <w:p w:rsidR="00A40077" w:rsidRPr="00A231D9" w:rsidRDefault="00A40077" w:rsidP="00A400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A231D9">
              <w:rPr>
                <w:rFonts w:eastAsia="Times New Roman"/>
                <w:szCs w:val="24"/>
                <w:lang w:eastAsia="tr-TR"/>
              </w:rPr>
              <w:t>Gibco</w:t>
            </w:r>
          </w:p>
        </w:tc>
      </w:tr>
      <w:tr w:rsidR="00A40077" w:rsidRPr="00A231D9" w:rsidTr="00F00B65">
        <w:trPr>
          <w:trHeight w:val="388"/>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3D7F5B" w:rsidRDefault="00A40077" w:rsidP="00A40077">
            <w:pPr>
              <w:autoSpaceDE w:val="0"/>
              <w:autoSpaceDN w:val="0"/>
              <w:adjustRightInd w:val="0"/>
              <w:jc w:val="center"/>
              <w:rPr>
                <w:rFonts w:eastAsia="Times New Roman"/>
                <w:szCs w:val="24"/>
                <w:lang w:eastAsia="tr-TR"/>
              </w:rPr>
            </w:pPr>
            <w:r w:rsidRPr="003D7F5B">
              <w:rPr>
                <w:rFonts w:eastAsia="Times New Roman"/>
                <w:szCs w:val="24"/>
                <w:lang w:eastAsia="tr-TR"/>
              </w:rPr>
              <w:t>Dimetil sülfoksit (DMSO)</w:t>
            </w:r>
          </w:p>
        </w:tc>
        <w:tc>
          <w:tcPr>
            <w:tcW w:w="3268" w:type="dxa"/>
            <w:shd w:val="clear" w:color="auto" w:fill="auto"/>
          </w:tcPr>
          <w:p w:rsidR="00A40077" w:rsidRPr="00A231D9" w:rsidRDefault="00A40077" w:rsidP="00A400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A231D9">
              <w:rPr>
                <w:rFonts w:eastAsia="Times New Roman"/>
                <w:szCs w:val="24"/>
                <w:lang w:eastAsia="tr-TR"/>
              </w:rPr>
              <w:t>Sigma-Aldrich</w:t>
            </w:r>
          </w:p>
        </w:tc>
      </w:tr>
      <w:tr w:rsidR="00A40077" w:rsidRPr="00A231D9" w:rsidTr="00F00B6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3D7F5B" w:rsidRDefault="00A40077" w:rsidP="00A40077">
            <w:pPr>
              <w:autoSpaceDE w:val="0"/>
              <w:autoSpaceDN w:val="0"/>
              <w:adjustRightInd w:val="0"/>
              <w:jc w:val="center"/>
              <w:rPr>
                <w:rFonts w:eastAsia="Times New Roman"/>
                <w:szCs w:val="24"/>
                <w:lang w:eastAsia="tr-TR"/>
              </w:rPr>
            </w:pPr>
            <w:r w:rsidRPr="003D7F5B">
              <w:rPr>
                <w:rFonts w:eastAsia="Times New Roman"/>
                <w:szCs w:val="24"/>
                <w:lang w:eastAsia="tr-TR"/>
              </w:rPr>
              <w:t>Penisilin-Streptomisin</w:t>
            </w:r>
          </w:p>
        </w:tc>
        <w:tc>
          <w:tcPr>
            <w:tcW w:w="3268" w:type="dxa"/>
            <w:shd w:val="clear" w:color="auto" w:fill="auto"/>
          </w:tcPr>
          <w:p w:rsidR="00A40077" w:rsidRPr="00A231D9" w:rsidRDefault="00A40077" w:rsidP="00A400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A231D9">
              <w:rPr>
                <w:rFonts w:eastAsia="Times New Roman"/>
                <w:szCs w:val="24"/>
                <w:lang w:eastAsia="tr-TR"/>
              </w:rPr>
              <w:t>Gibco</w:t>
            </w:r>
          </w:p>
        </w:tc>
      </w:tr>
      <w:tr w:rsidR="00A40077" w:rsidRPr="00A231D9" w:rsidTr="00F00B65">
        <w:trPr>
          <w:trHeight w:val="388"/>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3D7F5B" w:rsidRDefault="00A40077" w:rsidP="00A40077">
            <w:pPr>
              <w:autoSpaceDE w:val="0"/>
              <w:autoSpaceDN w:val="0"/>
              <w:adjustRightInd w:val="0"/>
              <w:jc w:val="center"/>
              <w:rPr>
                <w:rFonts w:eastAsia="Times New Roman"/>
                <w:szCs w:val="24"/>
                <w:lang w:eastAsia="tr-TR"/>
              </w:rPr>
            </w:pPr>
            <w:r w:rsidRPr="003D7F5B">
              <w:rPr>
                <w:rFonts w:eastAsia="Times New Roman"/>
                <w:szCs w:val="24"/>
                <w:lang w:eastAsia="tr-TR"/>
              </w:rPr>
              <w:t>L-Glutamin</w:t>
            </w:r>
          </w:p>
        </w:tc>
        <w:tc>
          <w:tcPr>
            <w:tcW w:w="3268" w:type="dxa"/>
            <w:shd w:val="clear" w:color="auto" w:fill="auto"/>
          </w:tcPr>
          <w:p w:rsidR="00A40077" w:rsidRPr="00A231D9" w:rsidRDefault="00A40077" w:rsidP="00A400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A231D9">
              <w:rPr>
                <w:rFonts w:eastAsia="Times New Roman"/>
                <w:szCs w:val="24"/>
                <w:lang w:eastAsia="tr-TR"/>
              </w:rPr>
              <w:t>Gibco</w:t>
            </w:r>
          </w:p>
        </w:tc>
      </w:tr>
      <w:tr w:rsidR="00A40077" w:rsidRPr="00A231D9" w:rsidTr="00F00B6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2A0A43" w:rsidRDefault="00A40077" w:rsidP="00A40077">
            <w:pPr>
              <w:autoSpaceDE w:val="0"/>
              <w:autoSpaceDN w:val="0"/>
              <w:adjustRightInd w:val="0"/>
              <w:jc w:val="center"/>
              <w:rPr>
                <w:rFonts w:eastAsia="Times New Roman"/>
                <w:szCs w:val="24"/>
                <w:lang w:eastAsia="tr-TR"/>
              </w:rPr>
            </w:pPr>
            <w:r w:rsidRPr="002A0A43">
              <w:rPr>
                <w:rFonts w:eastAsia="Times New Roman"/>
                <w:szCs w:val="24"/>
                <w:lang w:eastAsia="tr-TR"/>
              </w:rPr>
              <w:t>%0.25 Tripsin-EDTA</w:t>
            </w:r>
          </w:p>
        </w:tc>
        <w:tc>
          <w:tcPr>
            <w:tcW w:w="3268" w:type="dxa"/>
            <w:shd w:val="clear" w:color="auto" w:fill="auto"/>
          </w:tcPr>
          <w:p w:rsidR="00A40077" w:rsidRPr="00A231D9" w:rsidRDefault="00A40077" w:rsidP="00A400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A231D9">
              <w:rPr>
                <w:rFonts w:eastAsia="Times New Roman"/>
                <w:szCs w:val="24"/>
                <w:lang w:eastAsia="tr-TR"/>
              </w:rPr>
              <w:t>Gibco</w:t>
            </w:r>
          </w:p>
        </w:tc>
      </w:tr>
      <w:tr w:rsidR="00A40077" w:rsidRPr="00A231D9" w:rsidTr="00F00B65">
        <w:trPr>
          <w:trHeight w:val="388"/>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A231D9" w:rsidRDefault="00A40077" w:rsidP="00A40077">
            <w:pPr>
              <w:autoSpaceDE w:val="0"/>
              <w:autoSpaceDN w:val="0"/>
              <w:adjustRightInd w:val="0"/>
              <w:jc w:val="center"/>
              <w:rPr>
                <w:rFonts w:eastAsia="Times New Roman"/>
                <w:szCs w:val="24"/>
                <w:lang w:eastAsia="tr-TR"/>
              </w:rPr>
            </w:pPr>
            <w:r w:rsidRPr="00A231D9">
              <w:rPr>
                <w:rFonts w:eastAsia="Times New Roman"/>
                <w:szCs w:val="24"/>
                <w:lang w:eastAsia="tr-TR"/>
              </w:rPr>
              <w:t>Fosfat Tamponu Çözeltisi (PBS)</w:t>
            </w:r>
          </w:p>
        </w:tc>
        <w:tc>
          <w:tcPr>
            <w:tcW w:w="3268" w:type="dxa"/>
            <w:shd w:val="clear" w:color="auto" w:fill="auto"/>
          </w:tcPr>
          <w:p w:rsidR="00A40077" w:rsidRPr="00A231D9" w:rsidRDefault="00A40077" w:rsidP="00A400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A231D9">
              <w:rPr>
                <w:rFonts w:eastAsia="Times New Roman"/>
                <w:szCs w:val="24"/>
                <w:lang w:eastAsia="tr-TR"/>
              </w:rPr>
              <w:t>Life Technologies</w:t>
            </w:r>
            <w:r w:rsidRPr="003D7F5B">
              <w:rPr>
                <w:rFonts w:eastAsia="Times New Roman"/>
                <w:szCs w:val="24"/>
                <w:vertAlign w:val="superscript"/>
                <w:lang w:eastAsia="tr-TR"/>
              </w:rPr>
              <w:t>TM</w:t>
            </w:r>
          </w:p>
        </w:tc>
      </w:tr>
      <w:tr w:rsidR="00A40077" w:rsidRPr="00A231D9" w:rsidTr="00F00B6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A231D9" w:rsidRDefault="00A40077" w:rsidP="00A40077">
            <w:pPr>
              <w:autoSpaceDE w:val="0"/>
              <w:autoSpaceDN w:val="0"/>
              <w:adjustRightInd w:val="0"/>
              <w:jc w:val="center"/>
              <w:rPr>
                <w:rFonts w:eastAsia="Times New Roman"/>
                <w:szCs w:val="24"/>
                <w:lang w:eastAsia="tr-TR"/>
              </w:rPr>
            </w:pPr>
            <w:r w:rsidRPr="00A231D9">
              <w:rPr>
                <w:rFonts w:eastAsia="Times New Roman"/>
                <w:szCs w:val="24"/>
                <w:lang w:eastAsia="tr-TR"/>
              </w:rPr>
              <w:t>Non-esansiyel Aminoasit Çözeltisi</w:t>
            </w:r>
          </w:p>
        </w:tc>
        <w:tc>
          <w:tcPr>
            <w:tcW w:w="3268" w:type="dxa"/>
            <w:shd w:val="clear" w:color="auto" w:fill="auto"/>
          </w:tcPr>
          <w:p w:rsidR="00A40077" w:rsidRPr="00A231D9" w:rsidRDefault="00A40077" w:rsidP="00A400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A231D9">
              <w:rPr>
                <w:rFonts w:eastAsia="Times New Roman"/>
                <w:szCs w:val="24"/>
                <w:lang w:eastAsia="tr-TR"/>
              </w:rPr>
              <w:t>Sigma-Aldrich</w:t>
            </w:r>
          </w:p>
        </w:tc>
      </w:tr>
      <w:tr w:rsidR="00A40077" w:rsidRPr="00A231D9" w:rsidTr="00F00B65">
        <w:trPr>
          <w:trHeight w:val="379"/>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A231D9" w:rsidRDefault="00A40077" w:rsidP="00A40077">
            <w:pPr>
              <w:autoSpaceDE w:val="0"/>
              <w:autoSpaceDN w:val="0"/>
              <w:adjustRightInd w:val="0"/>
              <w:jc w:val="center"/>
              <w:rPr>
                <w:rFonts w:eastAsia="Times New Roman"/>
                <w:szCs w:val="24"/>
                <w:lang w:eastAsia="tr-TR"/>
              </w:rPr>
            </w:pPr>
            <w:r>
              <w:rPr>
                <w:rFonts w:eastAsia="Times New Roman"/>
                <w:szCs w:val="24"/>
                <w:lang w:eastAsia="tr-TR"/>
              </w:rPr>
              <w:t>Sodyum piruvat</w:t>
            </w:r>
          </w:p>
        </w:tc>
        <w:tc>
          <w:tcPr>
            <w:tcW w:w="3268" w:type="dxa"/>
            <w:shd w:val="clear" w:color="auto" w:fill="auto"/>
          </w:tcPr>
          <w:p w:rsidR="00A40077" w:rsidRPr="00A231D9" w:rsidRDefault="00A40077" w:rsidP="00A400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A231D9">
              <w:rPr>
                <w:rFonts w:eastAsia="Times New Roman"/>
                <w:szCs w:val="24"/>
                <w:lang w:eastAsia="tr-TR"/>
              </w:rPr>
              <w:t>Sigma-Aldrich</w:t>
            </w:r>
          </w:p>
        </w:tc>
      </w:tr>
      <w:tr w:rsidR="00A40077" w:rsidRPr="00A231D9" w:rsidTr="00F00B6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A231D9" w:rsidRDefault="00A40077" w:rsidP="00A40077">
            <w:pPr>
              <w:autoSpaceDE w:val="0"/>
              <w:autoSpaceDN w:val="0"/>
              <w:adjustRightInd w:val="0"/>
              <w:jc w:val="center"/>
              <w:rPr>
                <w:rFonts w:eastAsia="Times New Roman"/>
                <w:szCs w:val="24"/>
                <w:lang w:eastAsia="tr-TR"/>
              </w:rPr>
            </w:pPr>
            <w:r w:rsidRPr="00A231D9">
              <w:rPr>
                <w:rFonts w:eastAsia="Times New Roman"/>
                <w:szCs w:val="24"/>
                <w:lang w:eastAsia="tr-TR"/>
              </w:rPr>
              <w:t>Glikoz</w:t>
            </w:r>
          </w:p>
        </w:tc>
        <w:tc>
          <w:tcPr>
            <w:tcW w:w="3268" w:type="dxa"/>
            <w:shd w:val="clear" w:color="auto" w:fill="auto"/>
          </w:tcPr>
          <w:p w:rsidR="00A40077" w:rsidRPr="00A231D9" w:rsidRDefault="00A40077" w:rsidP="00A400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A231D9">
              <w:rPr>
                <w:rFonts w:eastAsia="Times New Roman"/>
                <w:szCs w:val="24"/>
                <w:lang w:eastAsia="tr-TR"/>
              </w:rPr>
              <w:t>Sigma-Aldrich</w:t>
            </w:r>
          </w:p>
        </w:tc>
      </w:tr>
      <w:tr w:rsidR="00A40077" w:rsidRPr="00A231D9" w:rsidTr="00F00B65">
        <w:trPr>
          <w:trHeight w:val="396"/>
        </w:trPr>
        <w:tc>
          <w:tcPr>
            <w:cnfStyle w:val="001000000000" w:firstRow="0" w:lastRow="0" w:firstColumn="1" w:lastColumn="0" w:oddVBand="0" w:evenVBand="0" w:oddHBand="0" w:evenHBand="0" w:firstRowFirstColumn="0" w:firstRowLastColumn="0" w:lastRowFirstColumn="0" w:lastRowLastColumn="0"/>
            <w:tcW w:w="4307" w:type="dxa"/>
            <w:shd w:val="clear" w:color="auto" w:fill="auto"/>
          </w:tcPr>
          <w:p w:rsidR="00A40077" w:rsidRPr="00A231D9" w:rsidRDefault="00A40077" w:rsidP="00A40077">
            <w:pPr>
              <w:autoSpaceDE w:val="0"/>
              <w:autoSpaceDN w:val="0"/>
              <w:adjustRightInd w:val="0"/>
              <w:jc w:val="center"/>
              <w:rPr>
                <w:rFonts w:eastAsia="Times New Roman"/>
                <w:szCs w:val="24"/>
                <w:lang w:eastAsia="tr-TR"/>
              </w:rPr>
            </w:pPr>
            <w:r w:rsidRPr="00A231D9">
              <w:rPr>
                <w:rFonts w:eastAsia="Times New Roman"/>
                <w:szCs w:val="24"/>
                <w:lang w:eastAsia="tr-TR"/>
              </w:rPr>
              <w:t>WST-1</w:t>
            </w:r>
          </w:p>
        </w:tc>
        <w:tc>
          <w:tcPr>
            <w:tcW w:w="3268" w:type="dxa"/>
            <w:shd w:val="clear" w:color="auto" w:fill="auto"/>
          </w:tcPr>
          <w:p w:rsidR="00A40077" w:rsidRPr="00A231D9" w:rsidRDefault="00A40077" w:rsidP="00A400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A231D9">
              <w:rPr>
                <w:rFonts w:eastAsia="Times New Roman"/>
                <w:szCs w:val="24"/>
                <w:lang w:eastAsia="tr-TR"/>
              </w:rPr>
              <w:t>Roche</w:t>
            </w:r>
          </w:p>
        </w:tc>
      </w:tr>
    </w:tbl>
    <w:p w:rsidR="00A40077" w:rsidRDefault="00A40077" w:rsidP="00A40077">
      <w:pPr>
        <w:autoSpaceDE w:val="0"/>
        <w:autoSpaceDN w:val="0"/>
        <w:adjustRightInd w:val="0"/>
        <w:ind w:left="360"/>
        <w:rPr>
          <w:rFonts w:eastAsia="Times New Roman"/>
          <w:b/>
          <w:szCs w:val="24"/>
          <w:lang w:eastAsia="tr-TR"/>
        </w:rPr>
      </w:pPr>
    </w:p>
    <w:p w:rsidR="00A40077" w:rsidRPr="00473856" w:rsidRDefault="00A40077" w:rsidP="00A40077">
      <w:pPr>
        <w:autoSpaceDE w:val="0"/>
        <w:autoSpaceDN w:val="0"/>
        <w:adjustRightInd w:val="0"/>
        <w:ind w:left="360"/>
        <w:rPr>
          <w:rFonts w:eastAsia="Times New Roman"/>
          <w:b/>
          <w:szCs w:val="24"/>
          <w:lang w:eastAsia="tr-TR"/>
        </w:rPr>
      </w:pPr>
    </w:p>
    <w:p w:rsidR="00A40077" w:rsidRDefault="00A40077" w:rsidP="00A40077">
      <w:pPr>
        <w:pStyle w:val="Balk2"/>
        <w:rPr>
          <w:rFonts w:eastAsia="Times New Roman"/>
          <w:lang w:eastAsia="tr-TR"/>
        </w:rPr>
      </w:pPr>
      <w:r w:rsidRPr="00473856">
        <w:rPr>
          <w:rFonts w:eastAsia="Times New Roman"/>
          <w:lang w:eastAsia="tr-TR"/>
        </w:rPr>
        <w:t xml:space="preserve">3.2. Hücre Kültürü </w:t>
      </w:r>
    </w:p>
    <w:p w:rsidR="00A40077" w:rsidRDefault="00A40077" w:rsidP="00A40077">
      <w:pPr>
        <w:rPr>
          <w:rFonts w:eastAsia="Times New Roman"/>
          <w:b/>
          <w:szCs w:val="24"/>
          <w:lang w:eastAsia="tr-TR"/>
        </w:rPr>
      </w:pPr>
    </w:p>
    <w:p w:rsidR="00A40077" w:rsidRDefault="00A40077" w:rsidP="00A40077">
      <w:pPr>
        <w:pStyle w:val="Balk2"/>
        <w:rPr>
          <w:rFonts w:eastAsia="Times New Roman"/>
          <w:lang w:eastAsia="tr-TR"/>
        </w:rPr>
      </w:pPr>
      <w:r>
        <w:rPr>
          <w:rFonts w:eastAsia="Times New Roman"/>
          <w:lang w:eastAsia="tr-TR"/>
        </w:rPr>
        <w:t>3.2.1</w:t>
      </w:r>
      <w:r w:rsidR="00861AA3">
        <w:rPr>
          <w:rFonts w:eastAsia="Times New Roman"/>
          <w:lang w:eastAsia="tr-TR"/>
        </w:rPr>
        <w:t>.</w:t>
      </w:r>
      <w:r>
        <w:rPr>
          <w:rFonts w:eastAsia="Times New Roman"/>
          <w:lang w:eastAsia="tr-TR"/>
        </w:rPr>
        <w:t xml:space="preserve"> MCF-7 Hücresinin Özellikleri</w:t>
      </w:r>
    </w:p>
    <w:p w:rsidR="00A40077" w:rsidRDefault="00A40077" w:rsidP="00A40077">
      <w:pPr>
        <w:rPr>
          <w:rFonts w:eastAsia="Times New Roman"/>
          <w:b/>
          <w:szCs w:val="24"/>
          <w:lang w:eastAsia="tr-TR"/>
        </w:rPr>
      </w:pPr>
    </w:p>
    <w:p w:rsidR="00A40077" w:rsidRDefault="00A40077" w:rsidP="00A40077">
      <w:pPr>
        <w:autoSpaceDE w:val="0"/>
        <w:autoSpaceDN w:val="0"/>
        <w:adjustRightInd w:val="0"/>
        <w:rPr>
          <w:rFonts w:eastAsia="Times New Roman"/>
          <w:szCs w:val="24"/>
          <w:lang w:eastAsia="tr-TR"/>
        </w:rPr>
      </w:pPr>
      <w:r w:rsidRPr="001B1DF5">
        <w:rPr>
          <w:rFonts w:eastAsia="Times New Roman"/>
          <w:szCs w:val="24"/>
          <w:lang w:eastAsia="tr-TR"/>
        </w:rPr>
        <w:t xml:space="preserve">MCF-7 hücreleri, Haziran 1970 tarihinde 64 yaşında evre IV invaziv duktal karsinomalı bir kadın olgunun plevral efüzyonundan elde edilmiştir (Soule </w:t>
      </w:r>
      <w:r>
        <w:rPr>
          <w:rFonts w:eastAsia="Times New Roman"/>
          <w:szCs w:val="24"/>
          <w:lang w:eastAsia="tr-TR"/>
        </w:rPr>
        <w:t>ve ark</w:t>
      </w:r>
      <w:r w:rsidRPr="001B1DF5">
        <w:rPr>
          <w:rFonts w:eastAsia="Times New Roman"/>
          <w:szCs w:val="24"/>
          <w:lang w:eastAsia="tr-TR"/>
        </w:rPr>
        <w:t xml:space="preserve">, 1973). </w:t>
      </w:r>
      <w:r w:rsidRPr="003D343F">
        <w:rPr>
          <w:rFonts w:eastAsia="Times New Roman"/>
          <w:szCs w:val="24"/>
          <w:lang w:eastAsia="tr-TR"/>
        </w:rPr>
        <w:t>MCF-7 hücre hattı insan meme dokusundan ve metastatik bölgelerden elde edilir. Hücre çe</w:t>
      </w:r>
      <w:r>
        <w:rPr>
          <w:rFonts w:eastAsia="Times New Roman"/>
          <w:szCs w:val="24"/>
          <w:lang w:eastAsia="tr-TR"/>
        </w:rPr>
        <w:t>ş</w:t>
      </w:r>
      <w:r w:rsidRPr="003D343F">
        <w:rPr>
          <w:rFonts w:eastAsia="Times New Roman"/>
          <w:szCs w:val="24"/>
          <w:lang w:eastAsia="tr-TR"/>
        </w:rPr>
        <w:t>idi olarak sadece epitel hü</w:t>
      </w:r>
      <w:r>
        <w:rPr>
          <w:rFonts w:eastAsia="Times New Roman"/>
          <w:szCs w:val="24"/>
          <w:lang w:eastAsia="tr-TR"/>
        </w:rPr>
        <w:t xml:space="preserve">creleri içerir (Levenson ve Jordan, </w:t>
      </w:r>
      <w:r w:rsidRPr="003D343F">
        <w:rPr>
          <w:rFonts w:eastAsia="Times New Roman"/>
          <w:szCs w:val="24"/>
          <w:lang w:eastAsia="tr-TR"/>
        </w:rPr>
        <w:t xml:space="preserve">1997). </w:t>
      </w:r>
      <w:r w:rsidRPr="001B1DF5">
        <w:rPr>
          <w:rFonts w:eastAsia="Times New Roman"/>
          <w:szCs w:val="24"/>
          <w:lang w:eastAsia="tr-TR"/>
        </w:rPr>
        <w:t>Çalışmada A</w:t>
      </w:r>
      <w:r w:rsidR="00255BE4">
        <w:rPr>
          <w:rFonts w:eastAsia="Times New Roman"/>
          <w:szCs w:val="24"/>
          <w:lang w:eastAsia="tr-TR"/>
        </w:rPr>
        <w:t xml:space="preserve">DÜ </w:t>
      </w:r>
      <w:r w:rsidRPr="001B1DF5">
        <w:rPr>
          <w:rFonts w:eastAsia="Times New Roman"/>
          <w:szCs w:val="24"/>
          <w:lang w:eastAsia="tr-TR"/>
        </w:rPr>
        <w:t>Veteriner Fakültesi Biyokimya Laboratuvarı stoklarında bulunan 5. pasaj östrojen pozitif MCF-7 hücre hattı kullanıldı.</w:t>
      </w:r>
      <w:r w:rsidRPr="003D343F">
        <w:t xml:space="preserve"> </w:t>
      </w:r>
      <w:r>
        <w:rPr>
          <w:rFonts w:eastAsia="Times New Roman"/>
          <w:szCs w:val="24"/>
          <w:lang w:eastAsia="tr-TR"/>
        </w:rPr>
        <w:t>MCF-7 hücrelerinin görüntüsü Resim</w:t>
      </w:r>
      <w:r w:rsidRPr="003D343F">
        <w:rPr>
          <w:rFonts w:eastAsia="Times New Roman"/>
          <w:szCs w:val="24"/>
          <w:lang w:eastAsia="tr-TR"/>
        </w:rPr>
        <w:t xml:space="preserve"> </w:t>
      </w:r>
      <w:r>
        <w:rPr>
          <w:rFonts w:eastAsia="Times New Roman"/>
          <w:szCs w:val="24"/>
          <w:lang w:eastAsia="tr-TR"/>
        </w:rPr>
        <w:t>1’</w:t>
      </w:r>
      <w:r w:rsidRPr="003D343F">
        <w:rPr>
          <w:rFonts w:eastAsia="Times New Roman"/>
          <w:szCs w:val="24"/>
          <w:lang w:eastAsia="tr-TR"/>
        </w:rPr>
        <w:t>de gösterilmi</w:t>
      </w:r>
      <w:r>
        <w:rPr>
          <w:rFonts w:eastAsia="Times New Roman"/>
          <w:szCs w:val="24"/>
          <w:lang w:eastAsia="tr-TR"/>
        </w:rPr>
        <w:t>ş</w:t>
      </w:r>
      <w:r w:rsidRPr="003D343F">
        <w:rPr>
          <w:rFonts w:eastAsia="Times New Roman"/>
          <w:szCs w:val="24"/>
          <w:lang w:eastAsia="tr-TR"/>
        </w:rPr>
        <w:t>tir.</w:t>
      </w:r>
    </w:p>
    <w:p w:rsidR="00A40077" w:rsidRDefault="00A40077" w:rsidP="00A40077">
      <w:pPr>
        <w:jc w:val="center"/>
        <w:rPr>
          <w:rFonts w:eastAsia="Times New Roman"/>
          <w:szCs w:val="24"/>
          <w:lang w:eastAsia="tr-TR"/>
        </w:rPr>
      </w:pPr>
      <w:r w:rsidRPr="003D343F">
        <w:rPr>
          <w:rFonts w:eastAsia="Times New Roman"/>
          <w:noProof/>
          <w:szCs w:val="24"/>
          <w:lang w:eastAsia="tr-TR"/>
        </w:rPr>
        <w:lastRenderedPageBreak/>
        <w:drawing>
          <wp:inline distT="0" distB="0" distL="0" distR="0">
            <wp:extent cx="4076700" cy="3276600"/>
            <wp:effectExtent l="38100" t="57150" r="114300" b="95250"/>
            <wp:docPr id="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4076251" cy="3276239"/>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A40077" w:rsidRDefault="0088250B" w:rsidP="00A40077">
      <w:pPr>
        <w:jc w:val="center"/>
        <w:rPr>
          <w:rFonts w:eastAsia="Times New Roman"/>
          <w:szCs w:val="24"/>
          <w:lang w:eastAsia="tr-TR"/>
        </w:rPr>
      </w:pPr>
      <w:r>
        <w:rPr>
          <w:rFonts w:eastAsia="Times New Roman"/>
          <w:b/>
          <w:szCs w:val="24"/>
          <w:lang w:eastAsia="tr-TR"/>
        </w:rPr>
        <w:t xml:space="preserve">Resim </w:t>
      </w:r>
      <w:r w:rsidR="00A40077" w:rsidRPr="00A40077">
        <w:rPr>
          <w:rFonts w:eastAsia="Times New Roman"/>
          <w:b/>
          <w:szCs w:val="24"/>
          <w:lang w:eastAsia="tr-TR"/>
        </w:rPr>
        <w:t>1.</w:t>
      </w:r>
      <w:r w:rsidR="00A40077">
        <w:rPr>
          <w:rFonts w:eastAsia="Times New Roman"/>
          <w:szCs w:val="24"/>
          <w:lang w:eastAsia="tr-TR"/>
        </w:rPr>
        <w:t xml:space="preserve"> </w:t>
      </w:r>
      <w:r w:rsidR="00A40077" w:rsidRPr="003D343F">
        <w:rPr>
          <w:rFonts w:eastAsia="Times New Roman"/>
          <w:szCs w:val="24"/>
          <w:lang w:eastAsia="tr-TR"/>
        </w:rPr>
        <w:t>MCF-7 hücrelerinin görüntüsü (4x büyütme)</w:t>
      </w:r>
      <w:r w:rsidR="00D15664">
        <w:rPr>
          <w:rFonts w:eastAsia="Times New Roman"/>
          <w:szCs w:val="24"/>
          <w:lang w:eastAsia="tr-TR"/>
        </w:rPr>
        <w:t>.</w:t>
      </w:r>
    </w:p>
    <w:p w:rsidR="00A40077" w:rsidRDefault="00A40077" w:rsidP="00A40077">
      <w:pPr>
        <w:jc w:val="center"/>
        <w:rPr>
          <w:rFonts w:eastAsia="Times New Roman"/>
          <w:szCs w:val="24"/>
          <w:lang w:eastAsia="tr-TR"/>
        </w:rPr>
      </w:pPr>
    </w:p>
    <w:p w:rsidR="00A40077" w:rsidRDefault="00A40077" w:rsidP="00A40077">
      <w:pPr>
        <w:jc w:val="center"/>
        <w:rPr>
          <w:rFonts w:eastAsia="Times New Roman"/>
          <w:szCs w:val="24"/>
          <w:lang w:eastAsia="tr-TR"/>
        </w:rPr>
      </w:pPr>
    </w:p>
    <w:p w:rsidR="00A40077" w:rsidRDefault="00A40077" w:rsidP="00A40077">
      <w:pPr>
        <w:pStyle w:val="Balk2"/>
        <w:rPr>
          <w:rFonts w:eastAsia="Times New Roman"/>
          <w:lang w:eastAsia="tr-TR"/>
        </w:rPr>
      </w:pPr>
      <w:r>
        <w:rPr>
          <w:rFonts w:eastAsia="Times New Roman"/>
          <w:lang w:eastAsia="tr-TR"/>
        </w:rPr>
        <w:t>3.2.</w:t>
      </w:r>
      <w:r w:rsidR="00C45E65">
        <w:rPr>
          <w:rFonts w:eastAsia="Times New Roman"/>
          <w:lang w:eastAsia="tr-TR"/>
        </w:rPr>
        <w:t>2</w:t>
      </w:r>
      <w:r w:rsidR="00861AA3">
        <w:rPr>
          <w:rFonts w:eastAsia="Times New Roman"/>
          <w:lang w:eastAsia="tr-TR"/>
        </w:rPr>
        <w:t>.</w:t>
      </w:r>
      <w:r>
        <w:rPr>
          <w:rFonts w:eastAsia="Times New Roman"/>
          <w:lang w:eastAsia="tr-TR"/>
        </w:rPr>
        <w:t xml:space="preserve"> Hücre Kültürü Ortamı</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sidRPr="00045E21">
        <w:rPr>
          <w:rFonts w:eastAsia="Times New Roman"/>
          <w:szCs w:val="24"/>
          <w:lang w:eastAsia="tr-TR"/>
        </w:rPr>
        <w:t xml:space="preserve">Hücre kültürü çalışması </w:t>
      </w:r>
      <w:proofErr w:type="gramStart"/>
      <w:r w:rsidRPr="00045E21">
        <w:rPr>
          <w:rFonts w:eastAsia="Times New Roman"/>
          <w:szCs w:val="24"/>
          <w:lang w:eastAsia="tr-TR"/>
        </w:rPr>
        <w:t>steril</w:t>
      </w:r>
      <w:proofErr w:type="gramEnd"/>
      <w:r w:rsidRPr="00045E21">
        <w:rPr>
          <w:rFonts w:eastAsia="Times New Roman"/>
          <w:szCs w:val="24"/>
          <w:lang w:eastAsia="tr-TR"/>
        </w:rPr>
        <w:t xml:space="preserve"> sınıf II laminar akışlı mikrobiyolojik güvenlik kabininde yürütüldü.</w:t>
      </w:r>
      <w:r>
        <w:rPr>
          <w:rFonts w:eastAsia="Times New Roman"/>
          <w:szCs w:val="24"/>
          <w:lang w:eastAsia="tr-TR"/>
        </w:rPr>
        <w:t xml:space="preserve"> MCF 7 meme kanseri hücre hattı; %10 </w:t>
      </w:r>
      <w:r w:rsidRPr="00045E21">
        <w:rPr>
          <w:rFonts w:eastAsia="Times New Roman"/>
          <w:szCs w:val="24"/>
          <w:lang w:eastAsia="tr-TR"/>
        </w:rPr>
        <w:t>FBS, 1mM sodyum piruvat, 2 mM L-Glutamin, 10 U/mL penisilin ve 10</w:t>
      </w:r>
      <w:r w:rsidR="0088250B">
        <w:rPr>
          <w:rFonts w:eastAsia="Times New Roman"/>
          <w:szCs w:val="24"/>
          <w:lang w:eastAsia="tr-TR"/>
        </w:rPr>
        <w:t xml:space="preserve"> </w:t>
      </w:r>
      <w:r w:rsidRPr="00045E21">
        <w:rPr>
          <w:rFonts w:eastAsia="Times New Roman"/>
          <w:szCs w:val="24"/>
          <w:lang w:eastAsia="tr-TR"/>
        </w:rPr>
        <w:t xml:space="preserve">µg/mL streptomisin </w:t>
      </w:r>
      <w:r>
        <w:rPr>
          <w:rFonts w:eastAsia="Times New Roman"/>
          <w:szCs w:val="24"/>
          <w:lang w:eastAsia="tr-TR"/>
        </w:rPr>
        <w:t>içeren</w:t>
      </w:r>
      <w:r w:rsidRPr="00045E21">
        <w:rPr>
          <w:rFonts w:eastAsia="Times New Roman"/>
          <w:szCs w:val="24"/>
          <w:lang w:eastAsia="tr-TR"/>
        </w:rPr>
        <w:t xml:space="preserve"> DMEM besiyerinde %5 C0</w:t>
      </w:r>
      <w:r w:rsidRPr="00CE15F9">
        <w:rPr>
          <w:rFonts w:eastAsia="Times New Roman"/>
          <w:szCs w:val="24"/>
          <w:vertAlign w:val="subscript"/>
          <w:lang w:eastAsia="tr-TR"/>
        </w:rPr>
        <w:t>2</w:t>
      </w:r>
      <w:r w:rsidRPr="00045E21">
        <w:rPr>
          <w:rFonts w:eastAsia="Times New Roman"/>
          <w:szCs w:val="24"/>
          <w:lang w:eastAsia="tr-TR"/>
        </w:rPr>
        <w:t xml:space="preserve"> ve 37 ºC sıcaklıktaki </w:t>
      </w:r>
      <w:r>
        <w:rPr>
          <w:rFonts w:eastAsia="Times New Roman"/>
          <w:szCs w:val="24"/>
          <w:lang w:eastAsia="tr-TR"/>
        </w:rPr>
        <w:t>inkübatörde</w:t>
      </w:r>
      <w:r w:rsidRPr="00045E21">
        <w:rPr>
          <w:rFonts w:eastAsia="Times New Roman"/>
          <w:szCs w:val="24"/>
          <w:lang w:eastAsia="tr-TR"/>
        </w:rPr>
        <w:t xml:space="preserve"> üretildi.</w:t>
      </w:r>
    </w:p>
    <w:p w:rsidR="00A40077" w:rsidRDefault="00A40077" w:rsidP="00A40077">
      <w:pPr>
        <w:rPr>
          <w:rFonts w:eastAsia="Times New Roman"/>
          <w:szCs w:val="24"/>
          <w:lang w:eastAsia="tr-TR"/>
        </w:rPr>
      </w:pPr>
    </w:p>
    <w:p w:rsidR="00A40077" w:rsidRDefault="00A40077" w:rsidP="00A40077">
      <w:pPr>
        <w:rPr>
          <w:rFonts w:eastAsia="Times New Roman"/>
          <w:szCs w:val="24"/>
          <w:lang w:eastAsia="tr-TR"/>
        </w:rPr>
      </w:pPr>
    </w:p>
    <w:p w:rsidR="00A40077" w:rsidRDefault="00A40077" w:rsidP="00A40077">
      <w:pPr>
        <w:pStyle w:val="Balk2"/>
        <w:rPr>
          <w:rFonts w:eastAsia="Times New Roman"/>
          <w:lang w:eastAsia="tr-TR"/>
        </w:rPr>
      </w:pPr>
      <w:r>
        <w:rPr>
          <w:rFonts w:eastAsia="Times New Roman"/>
          <w:lang w:eastAsia="tr-TR"/>
        </w:rPr>
        <w:t>3.2.</w:t>
      </w:r>
      <w:r w:rsidR="00C45E65">
        <w:rPr>
          <w:rFonts w:eastAsia="Times New Roman"/>
          <w:lang w:eastAsia="tr-TR"/>
        </w:rPr>
        <w:t>3</w:t>
      </w:r>
      <w:r w:rsidR="00861AA3">
        <w:rPr>
          <w:rFonts w:eastAsia="Times New Roman"/>
          <w:lang w:eastAsia="tr-TR"/>
        </w:rPr>
        <w:t>.</w:t>
      </w:r>
      <w:r>
        <w:rPr>
          <w:rFonts w:eastAsia="Times New Roman"/>
          <w:lang w:eastAsia="tr-TR"/>
        </w:rPr>
        <w:t xml:space="preserve"> Hücrelerin Pasajlanması</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sidRPr="00FC1E8C">
        <w:rPr>
          <w:rFonts w:eastAsia="Times New Roman"/>
          <w:szCs w:val="24"/>
          <w:lang w:eastAsia="tr-TR"/>
        </w:rPr>
        <w:t>Hücreler 25 cm</w:t>
      </w:r>
      <w:r w:rsidRPr="00FC1E8C">
        <w:rPr>
          <w:rFonts w:eastAsia="Times New Roman"/>
          <w:szCs w:val="24"/>
          <w:vertAlign w:val="superscript"/>
          <w:lang w:eastAsia="tr-TR"/>
        </w:rPr>
        <w:t>2</w:t>
      </w:r>
      <w:r w:rsidRPr="00FC1E8C">
        <w:rPr>
          <w:rFonts w:eastAsia="Times New Roman"/>
          <w:szCs w:val="24"/>
          <w:lang w:eastAsia="tr-TR"/>
        </w:rPr>
        <w:t xml:space="preserve"> ve 75 cm</w:t>
      </w:r>
      <w:r w:rsidRPr="00FC1E8C">
        <w:rPr>
          <w:rFonts w:eastAsia="Times New Roman"/>
          <w:szCs w:val="24"/>
          <w:vertAlign w:val="superscript"/>
          <w:lang w:eastAsia="tr-TR"/>
        </w:rPr>
        <w:t>2</w:t>
      </w:r>
      <w:r>
        <w:rPr>
          <w:rFonts w:eastAsia="Times New Roman"/>
          <w:szCs w:val="24"/>
          <w:lang w:eastAsia="tr-TR"/>
        </w:rPr>
        <w:t>’</w:t>
      </w:r>
      <w:r w:rsidRPr="00FC1E8C">
        <w:rPr>
          <w:rFonts w:eastAsia="Times New Roman"/>
          <w:szCs w:val="24"/>
          <w:lang w:eastAsia="tr-TR"/>
        </w:rPr>
        <w:t xml:space="preserve">lik flasklara ekildi ve her iki-üç günde bir yaklaşık %80-90 yoğunluğa ulaştıklarında pasajlandı. Hücreleri </w:t>
      </w:r>
      <w:r>
        <w:rPr>
          <w:rFonts w:eastAsia="Times New Roman"/>
          <w:szCs w:val="24"/>
          <w:lang w:eastAsia="tr-TR"/>
        </w:rPr>
        <w:t>pasajlama işlemine hazırlamak</w:t>
      </w:r>
      <w:r w:rsidRPr="00FC1E8C">
        <w:rPr>
          <w:rFonts w:eastAsia="Times New Roman"/>
          <w:szCs w:val="24"/>
          <w:lang w:eastAsia="tr-TR"/>
        </w:rPr>
        <w:t xml:space="preserve"> için flask içindeki </w:t>
      </w:r>
      <w:r>
        <w:rPr>
          <w:rFonts w:eastAsia="Times New Roman"/>
          <w:szCs w:val="24"/>
          <w:lang w:eastAsia="tr-TR"/>
        </w:rPr>
        <w:t>vasat</w:t>
      </w:r>
      <w:r w:rsidRPr="00FC1E8C">
        <w:rPr>
          <w:rFonts w:eastAsia="Times New Roman"/>
          <w:szCs w:val="24"/>
          <w:lang w:eastAsia="tr-TR"/>
        </w:rPr>
        <w:t xml:space="preserve"> alındı, hücreler fosfat tampon solüsyonu (PBS) ile iki kez yıkandı. PBS uzaklaştırıldıktan sonra 25 cm</w:t>
      </w:r>
      <w:r w:rsidRPr="00FC1E8C">
        <w:rPr>
          <w:rFonts w:eastAsia="Times New Roman"/>
          <w:szCs w:val="24"/>
          <w:vertAlign w:val="superscript"/>
          <w:lang w:eastAsia="tr-TR"/>
        </w:rPr>
        <w:t>2</w:t>
      </w:r>
      <w:r w:rsidRPr="00FC1E8C">
        <w:rPr>
          <w:rFonts w:eastAsia="Times New Roman"/>
          <w:szCs w:val="24"/>
          <w:lang w:eastAsia="tr-TR"/>
        </w:rPr>
        <w:t>’lik flask için 2 mL ve 75 cm</w:t>
      </w:r>
      <w:r w:rsidRPr="00FC1E8C">
        <w:rPr>
          <w:rFonts w:eastAsia="Times New Roman"/>
          <w:szCs w:val="24"/>
          <w:vertAlign w:val="superscript"/>
          <w:lang w:eastAsia="tr-TR"/>
        </w:rPr>
        <w:t>2</w:t>
      </w:r>
      <w:r w:rsidRPr="00FC1E8C">
        <w:rPr>
          <w:rFonts w:eastAsia="Times New Roman"/>
          <w:szCs w:val="24"/>
          <w:lang w:eastAsia="tr-TR"/>
        </w:rPr>
        <w:t xml:space="preserve">’lik flask için 3-4 mL Tripsin-EDTA </w:t>
      </w:r>
      <w:r>
        <w:rPr>
          <w:rFonts w:eastAsia="Times New Roman"/>
          <w:szCs w:val="24"/>
          <w:lang w:eastAsia="tr-TR"/>
        </w:rPr>
        <w:t>ilave edilerek 5 dakika boyunca 37 ºC’de</w:t>
      </w:r>
      <w:r w:rsidRPr="00FC1E8C">
        <w:rPr>
          <w:rFonts w:eastAsia="Times New Roman"/>
          <w:szCs w:val="24"/>
          <w:lang w:eastAsia="tr-TR"/>
        </w:rPr>
        <w:t xml:space="preserve"> </w:t>
      </w:r>
      <w:r>
        <w:rPr>
          <w:rFonts w:eastAsia="Times New Roman"/>
          <w:szCs w:val="24"/>
          <w:lang w:eastAsia="tr-TR"/>
        </w:rPr>
        <w:t>inkübasyon gerçekleştirildi</w:t>
      </w:r>
      <w:r w:rsidRPr="00FC1E8C">
        <w:rPr>
          <w:rFonts w:eastAsia="Times New Roman"/>
          <w:szCs w:val="24"/>
          <w:lang w:eastAsia="tr-TR"/>
        </w:rPr>
        <w:t xml:space="preserve">. Yüzeye yapışık tüm hücrelerin kaldırılmasının ardından tripsini inhibe etmek amacıyla tripsin-EDTA’nın iki katı miktarda taze besiyeri ortama </w:t>
      </w:r>
      <w:r>
        <w:rPr>
          <w:rFonts w:eastAsia="Times New Roman"/>
          <w:szCs w:val="24"/>
          <w:lang w:eastAsia="tr-TR"/>
        </w:rPr>
        <w:t>eklendi</w:t>
      </w:r>
      <w:r w:rsidRPr="00FC1E8C">
        <w:rPr>
          <w:rFonts w:eastAsia="Times New Roman"/>
          <w:szCs w:val="24"/>
          <w:lang w:eastAsia="tr-TR"/>
        </w:rPr>
        <w:t>. 15 m</w:t>
      </w:r>
      <w:r>
        <w:rPr>
          <w:rFonts w:eastAsia="Times New Roman"/>
          <w:szCs w:val="24"/>
          <w:lang w:eastAsia="tr-TR"/>
        </w:rPr>
        <w:t>L</w:t>
      </w:r>
      <w:r w:rsidRPr="00FC1E8C">
        <w:rPr>
          <w:rFonts w:eastAsia="Times New Roman"/>
          <w:szCs w:val="24"/>
          <w:lang w:eastAsia="tr-TR"/>
        </w:rPr>
        <w:t xml:space="preserve"> hacimli </w:t>
      </w:r>
      <w:proofErr w:type="gramStart"/>
      <w:r w:rsidRPr="00FC1E8C">
        <w:rPr>
          <w:rFonts w:eastAsia="Times New Roman"/>
          <w:szCs w:val="24"/>
          <w:lang w:eastAsia="tr-TR"/>
        </w:rPr>
        <w:t>santrifüj</w:t>
      </w:r>
      <w:proofErr w:type="gramEnd"/>
      <w:r w:rsidRPr="00FC1E8C">
        <w:rPr>
          <w:rFonts w:eastAsia="Times New Roman"/>
          <w:szCs w:val="24"/>
          <w:lang w:eastAsia="tr-TR"/>
        </w:rPr>
        <w:t xml:space="preserve"> falkonlarına alınan </w:t>
      </w:r>
      <w:r w:rsidRPr="00FC1E8C">
        <w:rPr>
          <w:rFonts w:eastAsia="Times New Roman"/>
          <w:szCs w:val="24"/>
          <w:lang w:eastAsia="tr-TR"/>
        </w:rPr>
        <w:lastRenderedPageBreak/>
        <w:t xml:space="preserve">süspansiyon 1500 rpm’de 5 dakika santrifüj edildi ve supernatant ortamdan uzaklaştırılarak hücrelere taze </w:t>
      </w:r>
      <w:r>
        <w:rPr>
          <w:rFonts w:eastAsia="Times New Roman"/>
          <w:szCs w:val="24"/>
          <w:lang w:eastAsia="tr-TR"/>
        </w:rPr>
        <w:t>vasat</w:t>
      </w:r>
      <w:r w:rsidRPr="00FC1E8C">
        <w:rPr>
          <w:rFonts w:eastAsia="Times New Roman"/>
          <w:szCs w:val="24"/>
          <w:lang w:eastAsia="tr-TR"/>
        </w:rPr>
        <w:t xml:space="preserve"> </w:t>
      </w:r>
      <w:r>
        <w:rPr>
          <w:rFonts w:eastAsia="Times New Roman"/>
          <w:szCs w:val="24"/>
          <w:lang w:eastAsia="tr-TR"/>
        </w:rPr>
        <w:t>ilave edildi</w:t>
      </w:r>
      <w:r w:rsidRPr="00FC1E8C">
        <w:rPr>
          <w:rFonts w:eastAsia="Times New Roman"/>
          <w:szCs w:val="24"/>
          <w:lang w:eastAsia="tr-TR"/>
        </w:rPr>
        <w:t xml:space="preserve">. Hücreler yoğunluğuna göre </w:t>
      </w:r>
      <w:proofErr w:type="gramStart"/>
      <w:r w:rsidRPr="00FC1E8C">
        <w:rPr>
          <w:rFonts w:eastAsia="Times New Roman"/>
          <w:szCs w:val="24"/>
          <w:lang w:eastAsia="tr-TR"/>
        </w:rPr>
        <w:t>1:2</w:t>
      </w:r>
      <w:proofErr w:type="gramEnd"/>
      <w:r w:rsidRPr="00FC1E8C">
        <w:rPr>
          <w:rFonts w:eastAsia="Times New Roman"/>
          <w:szCs w:val="24"/>
          <w:lang w:eastAsia="tr-TR"/>
        </w:rPr>
        <w:t xml:space="preserve"> veya 1:3 oranlarında yeni flasklara </w:t>
      </w:r>
      <w:r>
        <w:rPr>
          <w:rFonts w:eastAsia="Times New Roman"/>
          <w:szCs w:val="24"/>
          <w:lang w:eastAsia="tr-TR"/>
        </w:rPr>
        <w:t>bölündü</w:t>
      </w:r>
      <w:r w:rsidRPr="00FC1E8C">
        <w:rPr>
          <w:rFonts w:eastAsia="Times New Roman"/>
          <w:szCs w:val="24"/>
          <w:lang w:eastAsia="tr-TR"/>
        </w:rPr>
        <w:t xml:space="preserve"> ve invert mikroskopta inceledikten sonra  %5 C0</w:t>
      </w:r>
      <w:r w:rsidRPr="00FC1E8C">
        <w:rPr>
          <w:rFonts w:eastAsia="Times New Roman"/>
          <w:szCs w:val="24"/>
          <w:vertAlign w:val="subscript"/>
          <w:lang w:eastAsia="tr-TR"/>
        </w:rPr>
        <w:t>2</w:t>
      </w:r>
      <w:r w:rsidRPr="00FC1E8C">
        <w:rPr>
          <w:rFonts w:eastAsia="Times New Roman"/>
          <w:szCs w:val="24"/>
          <w:lang w:eastAsia="tr-TR"/>
        </w:rPr>
        <w:t xml:space="preserve"> ve 37 ºC sıcaklıktaki inkübatöre kaldırıldı. </w:t>
      </w:r>
    </w:p>
    <w:p w:rsidR="00A40077" w:rsidRDefault="00A40077" w:rsidP="00A40077">
      <w:pPr>
        <w:jc w:val="center"/>
        <w:rPr>
          <w:rFonts w:eastAsia="Times New Roman"/>
          <w:szCs w:val="24"/>
          <w:lang w:eastAsia="tr-TR"/>
        </w:rPr>
      </w:pPr>
      <w:r>
        <w:rPr>
          <w:rFonts w:eastAsia="Times New Roman"/>
          <w:noProof/>
          <w:szCs w:val="24"/>
          <w:lang w:eastAsia="tr-TR"/>
        </w:rPr>
        <w:drawing>
          <wp:inline distT="0" distB="0" distL="0" distR="0">
            <wp:extent cx="2524125" cy="2800350"/>
            <wp:effectExtent l="19050" t="0" r="9525" b="0"/>
            <wp:docPr id="4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524125" cy="2800350"/>
                    </a:xfrm>
                    <a:prstGeom prst="rect">
                      <a:avLst/>
                    </a:prstGeom>
                    <a:ln>
                      <a:noFill/>
                    </a:ln>
                    <a:effectLst>
                      <a:softEdge rad="112500"/>
                    </a:effectLst>
                  </pic:spPr>
                </pic:pic>
              </a:graphicData>
            </a:graphic>
          </wp:inline>
        </w:drawing>
      </w:r>
      <w:r>
        <w:rPr>
          <w:rFonts w:eastAsia="Times New Roman"/>
          <w:noProof/>
          <w:szCs w:val="24"/>
          <w:lang w:eastAsia="tr-TR"/>
        </w:rPr>
        <w:drawing>
          <wp:inline distT="0" distB="0" distL="0" distR="0">
            <wp:extent cx="2000250" cy="1600200"/>
            <wp:effectExtent l="38100" t="0" r="19050" b="476250"/>
            <wp:docPr id="4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00025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40077" w:rsidRDefault="0088250B" w:rsidP="00A40077">
      <w:pPr>
        <w:jc w:val="center"/>
        <w:rPr>
          <w:rFonts w:eastAsia="Times New Roman"/>
          <w:szCs w:val="24"/>
          <w:lang w:eastAsia="tr-TR"/>
        </w:rPr>
      </w:pPr>
      <w:r>
        <w:rPr>
          <w:rFonts w:eastAsia="Times New Roman"/>
          <w:b/>
          <w:szCs w:val="24"/>
          <w:lang w:eastAsia="tr-TR"/>
        </w:rPr>
        <w:t xml:space="preserve">Resim </w:t>
      </w:r>
      <w:r w:rsidR="00A40077" w:rsidRPr="00A40077">
        <w:rPr>
          <w:rFonts w:eastAsia="Times New Roman"/>
          <w:b/>
          <w:szCs w:val="24"/>
          <w:lang w:eastAsia="tr-TR"/>
        </w:rPr>
        <w:t>2.</w:t>
      </w:r>
      <w:r w:rsidR="00A40077">
        <w:rPr>
          <w:rFonts w:eastAsia="Times New Roman"/>
          <w:szCs w:val="24"/>
          <w:lang w:eastAsia="tr-TR"/>
        </w:rPr>
        <w:t xml:space="preserve"> </w:t>
      </w:r>
      <w:r w:rsidR="00A40077" w:rsidRPr="00FC1E8C">
        <w:rPr>
          <w:rFonts w:eastAsia="Times New Roman"/>
          <w:szCs w:val="24"/>
          <w:lang w:eastAsia="tr-TR"/>
        </w:rPr>
        <w:t>75 cm</w:t>
      </w:r>
      <w:r w:rsidR="00A40077" w:rsidRPr="00FC1E8C">
        <w:rPr>
          <w:rFonts w:eastAsia="Times New Roman"/>
          <w:szCs w:val="24"/>
          <w:vertAlign w:val="superscript"/>
          <w:lang w:eastAsia="tr-TR"/>
        </w:rPr>
        <w:t>2</w:t>
      </w:r>
      <w:r w:rsidR="00A40077">
        <w:rPr>
          <w:rFonts w:eastAsia="Times New Roman"/>
          <w:szCs w:val="24"/>
          <w:lang w:eastAsia="tr-TR"/>
        </w:rPr>
        <w:t>’lik flasklara ekilen MCF-7 hücreleri ve invert mikroskopta incelenmesi</w:t>
      </w:r>
      <w:r w:rsidR="00D15664">
        <w:rPr>
          <w:rFonts w:eastAsia="Times New Roman"/>
          <w:szCs w:val="24"/>
          <w:lang w:eastAsia="tr-TR"/>
        </w:rPr>
        <w:t>.</w:t>
      </w:r>
    </w:p>
    <w:p w:rsidR="00A40077" w:rsidRDefault="00A40077" w:rsidP="00A40077">
      <w:pPr>
        <w:rPr>
          <w:rFonts w:eastAsia="Times New Roman"/>
          <w:szCs w:val="24"/>
          <w:lang w:eastAsia="tr-TR"/>
        </w:rPr>
      </w:pPr>
    </w:p>
    <w:p w:rsidR="00A40077" w:rsidRPr="00F45455" w:rsidRDefault="00A40077" w:rsidP="00A40077">
      <w:pPr>
        <w:rPr>
          <w:rFonts w:eastAsia="Times New Roman"/>
          <w:szCs w:val="24"/>
          <w:lang w:eastAsia="tr-TR"/>
        </w:rPr>
      </w:pPr>
    </w:p>
    <w:p w:rsidR="00A40077" w:rsidRDefault="00C45E65" w:rsidP="00A40077">
      <w:pPr>
        <w:pStyle w:val="Balk2"/>
        <w:rPr>
          <w:rFonts w:eastAsia="Times New Roman"/>
          <w:lang w:eastAsia="tr-TR"/>
        </w:rPr>
      </w:pPr>
      <w:r>
        <w:rPr>
          <w:rFonts w:eastAsia="Times New Roman"/>
          <w:lang w:eastAsia="tr-TR"/>
        </w:rPr>
        <w:t>3.2.4</w:t>
      </w:r>
      <w:r w:rsidR="00861AA3">
        <w:rPr>
          <w:rFonts w:eastAsia="Times New Roman"/>
          <w:lang w:eastAsia="tr-TR"/>
        </w:rPr>
        <w:t>.</w:t>
      </w:r>
      <w:r w:rsidR="00A40077">
        <w:rPr>
          <w:rFonts w:eastAsia="Times New Roman"/>
          <w:lang w:eastAsia="tr-TR"/>
        </w:rPr>
        <w:t xml:space="preserve"> Hücrelerin Dondurulması ve Saklanması</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Pr>
          <w:rFonts w:eastAsia="Times New Roman"/>
          <w:szCs w:val="24"/>
          <w:lang w:eastAsia="tr-TR"/>
        </w:rPr>
        <w:t>Yeterli yoğunluğa ulaşan h</w:t>
      </w:r>
      <w:r w:rsidRPr="008328E8">
        <w:rPr>
          <w:rFonts w:eastAsia="Times New Roman"/>
          <w:szCs w:val="24"/>
          <w:lang w:eastAsia="tr-TR"/>
        </w:rPr>
        <w:t xml:space="preserve">ücreler PBS ile 2 kez yıkanıp Tripsin-EDTA ile yüzeyden kaldırıldıktan sonra tripsinin iki katı kadar taze </w:t>
      </w:r>
      <w:r>
        <w:rPr>
          <w:rFonts w:eastAsia="Times New Roman"/>
          <w:szCs w:val="24"/>
          <w:lang w:eastAsia="tr-TR"/>
        </w:rPr>
        <w:t>vasat ortama</w:t>
      </w:r>
      <w:r w:rsidRPr="008328E8">
        <w:rPr>
          <w:rFonts w:eastAsia="Times New Roman"/>
          <w:szCs w:val="24"/>
          <w:lang w:eastAsia="tr-TR"/>
        </w:rPr>
        <w:t xml:space="preserve"> ilave edildi ve 1</w:t>
      </w:r>
      <w:r>
        <w:rPr>
          <w:rFonts w:eastAsia="Times New Roman"/>
          <w:szCs w:val="24"/>
          <w:lang w:eastAsia="tr-TR"/>
        </w:rPr>
        <w:t>5</w:t>
      </w:r>
      <w:r w:rsidRPr="008328E8">
        <w:rPr>
          <w:rFonts w:eastAsia="Times New Roman"/>
          <w:szCs w:val="24"/>
          <w:lang w:eastAsia="tr-TR"/>
        </w:rPr>
        <w:t>00 rpm’de 5 dakika santrifüjlendi. S</w:t>
      </w:r>
      <w:r>
        <w:rPr>
          <w:rFonts w:eastAsia="Times New Roman"/>
          <w:szCs w:val="24"/>
          <w:lang w:eastAsia="tr-TR"/>
        </w:rPr>
        <w:t>ü</w:t>
      </w:r>
      <w:r w:rsidRPr="008328E8">
        <w:rPr>
          <w:rFonts w:eastAsia="Times New Roman"/>
          <w:szCs w:val="24"/>
          <w:lang w:eastAsia="tr-TR"/>
        </w:rPr>
        <w:t xml:space="preserve">pernatant atıldı ve hücre pelleti hücre içi buz kristallerinin oluşmasını engelleyen %5 oranında </w:t>
      </w:r>
      <w:r>
        <w:rPr>
          <w:rFonts w:eastAsia="Times New Roman"/>
          <w:szCs w:val="24"/>
          <w:lang w:eastAsia="tr-TR"/>
        </w:rPr>
        <w:t>DMSO ve %20 FBS</w:t>
      </w:r>
      <w:r w:rsidRPr="008328E8">
        <w:rPr>
          <w:rFonts w:eastAsia="Times New Roman"/>
          <w:szCs w:val="24"/>
          <w:lang w:eastAsia="tr-TR"/>
        </w:rPr>
        <w:t xml:space="preserve"> içeren dondurma vasatında yeniden süspanse edildi. Hücrelere DMSO eklendikten sonra meydana gelen aşırı ısınmayı en aza indirgemek ve ozmotik şoktan korumak için FBS ve DMSO içeren solüsyon tüp çeperinden damla damla </w:t>
      </w:r>
      <w:r>
        <w:rPr>
          <w:rFonts w:eastAsia="Times New Roman"/>
          <w:szCs w:val="24"/>
          <w:lang w:eastAsia="tr-TR"/>
        </w:rPr>
        <w:t xml:space="preserve">buz içerisinde </w:t>
      </w:r>
      <w:r w:rsidRPr="008328E8">
        <w:rPr>
          <w:rFonts w:eastAsia="Times New Roman"/>
          <w:szCs w:val="24"/>
          <w:lang w:eastAsia="tr-TR"/>
        </w:rPr>
        <w:t>ilave edildi. Hücre süspansiyonu daha sonra 1 m</w:t>
      </w:r>
      <w:r>
        <w:rPr>
          <w:rFonts w:eastAsia="Times New Roman"/>
          <w:szCs w:val="24"/>
          <w:lang w:eastAsia="tr-TR"/>
        </w:rPr>
        <w:t>L</w:t>
      </w:r>
      <w:r w:rsidRPr="008328E8">
        <w:rPr>
          <w:rFonts w:eastAsia="Times New Roman"/>
          <w:szCs w:val="24"/>
          <w:lang w:eastAsia="tr-TR"/>
        </w:rPr>
        <w:t xml:space="preserve"> hacimli kriyotüplere bölündü ve </w:t>
      </w:r>
      <w:r>
        <w:rPr>
          <w:rFonts w:eastAsia="Times New Roman"/>
          <w:szCs w:val="24"/>
          <w:lang w:eastAsia="tr-TR"/>
        </w:rPr>
        <w:t xml:space="preserve">ilerleyen çalışmalarda kullanılmak üzere </w:t>
      </w:r>
      <w:r w:rsidRPr="008328E8">
        <w:rPr>
          <w:rFonts w:eastAsia="Times New Roman"/>
          <w:szCs w:val="24"/>
          <w:lang w:eastAsia="tr-TR"/>
        </w:rPr>
        <w:t>sıvı nitrojende (-196 ºC) depola</w:t>
      </w:r>
      <w:r>
        <w:rPr>
          <w:rFonts w:eastAsia="Times New Roman"/>
          <w:szCs w:val="24"/>
          <w:lang w:eastAsia="tr-TR"/>
        </w:rPr>
        <w:t>n</w:t>
      </w:r>
      <w:r w:rsidRPr="008328E8">
        <w:rPr>
          <w:rFonts w:eastAsia="Times New Roman"/>
          <w:szCs w:val="24"/>
          <w:lang w:eastAsia="tr-TR"/>
        </w:rPr>
        <w:t xml:space="preserve">madan önce </w:t>
      </w:r>
      <w:r>
        <w:rPr>
          <w:rFonts w:eastAsia="Times New Roman"/>
          <w:szCs w:val="24"/>
          <w:lang w:eastAsia="tr-TR"/>
        </w:rPr>
        <w:t xml:space="preserve">kademeli dondurmak için </w:t>
      </w:r>
      <w:r w:rsidRPr="008328E8">
        <w:rPr>
          <w:rFonts w:eastAsia="Times New Roman"/>
          <w:szCs w:val="24"/>
          <w:lang w:eastAsia="tr-TR"/>
        </w:rPr>
        <w:t xml:space="preserve">-80 ºC’de saklandı. </w:t>
      </w:r>
    </w:p>
    <w:p w:rsidR="00A40077" w:rsidRDefault="00A40077" w:rsidP="00A40077">
      <w:pPr>
        <w:rPr>
          <w:rFonts w:eastAsia="Times New Roman"/>
          <w:szCs w:val="24"/>
          <w:lang w:eastAsia="tr-TR"/>
        </w:rPr>
      </w:pPr>
    </w:p>
    <w:p w:rsidR="00A40077" w:rsidRDefault="00A40077" w:rsidP="00A40077">
      <w:pPr>
        <w:rPr>
          <w:rFonts w:eastAsia="Times New Roman"/>
          <w:szCs w:val="24"/>
          <w:lang w:eastAsia="tr-TR"/>
        </w:rPr>
      </w:pPr>
    </w:p>
    <w:p w:rsidR="00A40077" w:rsidRDefault="00A40077" w:rsidP="00A40077">
      <w:pPr>
        <w:rPr>
          <w:rFonts w:eastAsia="Times New Roman"/>
          <w:szCs w:val="24"/>
          <w:lang w:eastAsia="tr-TR"/>
        </w:rPr>
      </w:pPr>
    </w:p>
    <w:p w:rsidR="00A40077" w:rsidRPr="008328E8" w:rsidRDefault="00A40077" w:rsidP="00A40077">
      <w:pPr>
        <w:rPr>
          <w:rFonts w:eastAsia="Times New Roman"/>
          <w:szCs w:val="24"/>
          <w:lang w:eastAsia="tr-TR"/>
        </w:rPr>
      </w:pPr>
    </w:p>
    <w:p w:rsidR="00A40077" w:rsidRDefault="00A40077" w:rsidP="00A40077">
      <w:pPr>
        <w:pStyle w:val="Balk2"/>
        <w:rPr>
          <w:rFonts w:eastAsia="Times New Roman"/>
          <w:lang w:eastAsia="tr-TR"/>
        </w:rPr>
      </w:pPr>
      <w:r>
        <w:rPr>
          <w:rFonts w:eastAsia="Times New Roman"/>
          <w:lang w:eastAsia="tr-TR"/>
        </w:rPr>
        <w:lastRenderedPageBreak/>
        <w:t>3.2.</w:t>
      </w:r>
      <w:r w:rsidR="00C45E65">
        <w:rPr>
          <w:rFonts w:eastAsia="Times New Roman"/>
          <w:lang w:eastAsia="tr-TR"/>
        </w:rPr>
        <w:t>5</w:t>
      </w:r>
      <w:r w:rsidR="00861AA3">
        <w:rPr>
          <w:rFonts w:eastAsia="Times New Roman"/>
          <w:lang w:eastAsia="tr-TR"/>
        </w:rPr>
        <w:t>.</w:t>
      </w:r>
      <w:r>
        <w:rPr>
          <w:rFonts w:eastAsia="Times New Roman"/>
          <w:lang w:eastAsia="tr-TR"/>
        </w:rPr>
        <w:t xml:space="preserve"> Hücrelerin Çözülmesi</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sidRPr="00CF3134">
        <w:rPr>
          <w:rFonts w:eastAsia="Times New Roman"/>
          <w:szCs w:val="24"/>
          <w:lang w:eastAsia="tr-TR"/>
        </w:rPr>
        <w:t>Hücre kültürünü devam ettirmek için, donmuş hücreler sıvı nitrojen veya -80 ºC’den alındı ve 37 ºC’deki</w:t>
      </w:r>
      <w:r>
        <w:rPr>
          <w:rFonts w:eastAsia="Times New Roman"/>
          <w:szCs w:val="24"/>
          <w:lang w:eastAsia="tr-TR"/>
        </w:rPr>
        <w:t xml:space="preserve"> su banyosunda </w:t>
      </w:r>
      <w:r w:rsidRPr="00CF3134">
        <w:rPr>
          <w:rFonts w:eastAsia="Times New Roman"/>
          <w:szCs w:val="24"/>
          <w:lang w:eastAsia="tr-TR"/>
        </w:rPr>
        <w:t xml:space="preserve">çözdürüldü. Çözünen hücre süspansiyonu </w:t>
      </w:r>
      <w:r>
        <w:rPr>
          <w:rFonts w:eastAsia="Times New Roman"/>
          <w:szCs w:val="24"/>
          <w:lang w:eastAsia="tr-TR"/>
        </w:rPr>
        <w:t>5-6</w:t>
      </w:r>
      <w:r w:rsidRPr="00CF3134">
        <w:rPr>
          <w:rFonts w:eastAsia="Times New Roman"/>
          <w:szCs w:val="24"/>
          <w:lang w:eastAsia="tr-TR"/>
        </w:rPr>
        <w:t xml:space="preserve"> m</w:t>
      </w:r>
      <w:r>
        <w:rPr>
          <w:rFonts w:eastAsia="Times New Roman"/>
          <w:szCs w:val="24"/>
          <w:lang w:eastAsia="tr-TR"/>
        </w:rPr>
        <w:t>L</w:t>
      </w:r>
      <w:r w:rsidRPr="00CF3134">
        <w:rPr>
          <w:rFonts w:eastAsia="Times New Roman"/>
          <w:szCs w:val="24"/>
          <w:lang w:eastAsia="tr-TR"/>
        </w:rPr>
        <w:t xml:space="preserve"> taze </w:t>
      </w:r>
      <w:r>
        <w:rPr>
          <w:rFonts w:eastAsia="Times New Roman"/>
          <w:szCs w:val="24"/>
          <w:lang w:eastAsia="tr-TR"/>
        </w:rPr>
        <w:t>vasat</w:t>
      </w:r>
      <w:r w:rsidRPr="00CF3134">
        <w:rPr>
          <w:rFonts w:eastAsia="Times New Roman"/>
          <w:szCs w:val="24"/>
          <w:lang w:eastAsia="tr-TR"/>
        </w:rPr>
        <w:t xml:space="preserve"> içeren </w:t>
      </w:r>
      <w:proofErr w:type="gramStart"/>
      <w:r w:rsidRPr="00CF3134">
        <w:rPr>
          <w:rFonts w:eastAsia="Times New Roman"/>
          <w:szCs w:val="24"/>
          <w:lang w:eastAsia="tr-TR"/>
        </w:rPr>
        <w:t>santrifüj</w:t>
      </w:r>
      <w:proofErr w:type="gramEnd"/>
      <w:r w:rsidRPr="00CF3134">
        <w:rPr>
          <w:rFonts w:eastAsia="Times New Roman"/>
          <w:szCs w:val="24"/>
          <w:lang w:eastAsia="tr-TR"/>
        </w:rPr>
        <w:t xml:space="preserve"> falkonuna transfer edilerek 1</w:t>
      </w:r>
      <w:r>
        <w:rPr>
          <w:rFonts w:eastAsia="Times New Roman"/>
          <w:szCs w:val="24"/>
          <w:lang w:eastAsia="tr-TR"/>
        </w:rPr>
        <w:t>5</w:t>
      </w:r>
      <w:r w:rsidRPr="00CF3134">
        <w:rPr>
          <w:rFonts w:eastAsia="Times New Roman"/>
          <w:szCs w:val="24"/>
          <w:lang w:eastAsia="tr-TR"/>
        </w:rPr>
        <w:t xml:space="preserve">00 rpm’de 5 dakika santrifüjlendi. DMSO içeren süpernatant uzaklaştırıldı ve </w:t>
      </w:r>
      <w:r>
        <w:rPr>
          <w:rFonts w:eastAsia="Times New Roman"/>
          <w:szCs w:val="24"/>
          <w:lang w:eastAsia="tr-TR"/>
        </w:rPr>
        <w:t xml:space="preserve">hücrelere bir miktar </w:t>
      </w:r>
      <w:r w:rsidRPr="00CF3134">
        <w:rPr>
          <w:rFonts w:eastAsia="Times New Roman"/>
          <w:szCs w:val="24"/>
          <w:lang w:eastAsia="tr-TR"/>
        </w:rPr>
        <w:t>taze besiyer</w:t>
      </w:r>
      <w:r>
        <w:rPr>
          <w:rFonts w:eastAsia="Times New Roman"/>
          <w:szCs w:val="24"/>
          <w:lang w:eastAsia="tr-TR"/>
        </w:rPr>
        <w:t>i yavaşça ilave edilerek yeni bir flaska transferleri gerçekleştirildi</w:t>
      </w:r>
      <w:r w:rsidRPr="00CF3134">
        <w:rPr>
          <w:rFonts w:eastAsia="Times New Roman"/>
          <w:szCs w:val="24"/>
          <w:lang w:eastAsia="tr-TR"/>
        </w:rPr>
        <w:t xml:space="preserve">. </w:t>
      </w:r>
      <w:r>
        <w:rPr>
          <w:rFonts w:eastAsia="Times New Roman"/>
          <w:szCs w:val="24"/>
          <w:lang w:eastAsia="tr-TR"/>
        </w:rPr>
        <w:t>Hücreler konfluent olana kadar gelişimleri izlendi ve konfluent olduğunda pasajlama işlemi yapıldı.</w:t>
      </w:r>
    </w:p>
    <w:p w:rsidR="00A40077" w:rsidRDefault="00A40077" w:rsidP="00A40077">
      <w:pPr>
        <w:rPr>
          <w:rFonts w:eastAsia="Times New Roman"/>
          <w:szCs w:val="24"/>
          <w:lang w:eastAsia="tr-TR"/>
        </w:rPr>
      </w:pPr>
    </w:p>
    <w:p w:rsidR="00A40077" w:rsidRPr="00726877" w:rsidRDefault="00A40077" w:rsidP="00A40077">
      <w:pPr>
        <w:rPr>
          <w:rFonts w:eastAsia="Times New Roman"/>
          <w:szCs w:val="24"/>
          <w:lang w:eastAsia="tr-TR"/>
        </w:rPr>
      </w:pPr>
    </w:p>
    <w:p w:rsidR="00A40077" w:rsidRDefault="00A40077" w:rsidP="00A40077">
      <w:pPr>
        <w:pStyle w:val="Balk2"/>
        <w:rPr>
          <w:rFonts w:eastAsia="Times New Roman"/>
          <w:lang w:eastAsia="tr-TR"/>
        </w:rPr>
      </w:pPr>
      <w:r>
        <w:rPr>
          <w:rFonts w:eastAsia="Times New Roman"/>
          <w:lang w:eastAsia="tr-TR"/>
        </w:rPr>
        <w:t>3.2.</w:t>
      </w:r>
      <w:r w:rsidR="00C45E65">
        <w:rPr>
          <w:rFonts w:eastAsia="Times New Roman"/>
          <w:lang w:eastAsia="tr-TR"/>
        </w:rPr>
        <w:t>6</w:t>
      </w:r>
      <w:r w:rsidR="00861AA3">
        <w:rPr>
          <w:rFonts w:eastAsia="Times New Roman"/>
          <w:lang w:eastAsia="tr-TR"/>
        </w:rPr>
        <w:t>.</w:t>
      </w:r>
      <w:r>
        <w:rPr>
          <w:rFonts w:eastAsia="Times New Roman"/>
          <w:lang w:eastAsia="tr-TR"/>
        </w:rPr>
        <w:t xml:space="preserve"> </w:t>
      </w:r>
      <w:r w:rsidRPr="00A40077">
        <w:rPr>
          <w:szCs w:val="24"/>
        </w:rPr>
        <w:t>Hücre</w:t>
      </w:r>
      <w:r>
        <w:rPr>
          <w:rFonts w:eastAsia="Times New Roman"/>
          <w:lang w:eastAsia="tr-TR"/>
        </w:rPr>
        <w:t xml:space="preserve"> Sayımı</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sidRPr="00F701C8">
        <w:rPr>
          <w:rFonts w:eastAsia="Times New Roman"/>
          <w:szCs w:val="24"/>
          <w:lang w:eastAsia="tr-TR"/>
        </w:rPr>
        <w:t xml:space="preserve">Hücre sayımı bir ışık mikroskobu altında hemositometre kullanılarak gerçekleştirildi. </w:t>
      </w:r>
      <w:r>
        <w:rPr>
          <w:rFonts w:eastAsia="Times New Roman"/>
          <w:szCs w:val="24"/>
          <w:lang w:eastAsia="tr-TR"/>
        </w:rPr>
        <w:t>Hücre süspansiyonunun 2</w:t>
      </w:r>
      <w:r w:rsidRPr="00F701C8">
        <w:rPr>
          <w:rFonts w:eastAsia="Times New Roman"/>
          <w:szCs w:val="24"/>
          <w:lang w:eastAsia="tr-TR"/>
        </w:rPr>
        <w:t>0 µL</w:t>
      </w:r>
      <w:r>
        <w:rPr>
          <w:rFonts w:eastAsia="Times New Roman"/>
          <w:szCs w:val="24"/>
          <w:lang w:eastAsia="tr-TR"/>
        </w:rPr>
        <w:t xml:space="preserve">’si su ile 10 kat seyreltildi. Bu karışımdan bir miktar </w:t>
      </w:r>
      <w:proofErr w:type="gramStart"/>
      <w:r>
        <w:rPr>
          <w:rFonts w:eastAsia="Times New Roman"/>
          <w:szCs w:val="24"/>
          <w:lang w:eastAsia="tr-TR"/>
        </w:rPr>
        <w:t xml:space="preserve">alınarak  </w:t>
      </w:r>
      <w:r w:rsidRPr="00F701C8">
        <w:rPr>
          <w:rFonts w:eastAsia="Times New Roman"/>
          <w:szCs w:val="24"/>
          <w:lang w:eastAsia="tr-TR"/>
        </w:rPr>
        <w:t>hemositometreye</w:t>
      </w:r>
      <w:proofErr w:type="gramEnd"/>
      <w:r w:rsidRPr="00F701C8">
        <w:rPr>
          <w:rFonts w:eastAsia="Times New Roman"/>
          <w:szCs w:val="24"/>
          <w:lang w:eastAsia="tr-TR"/>
        </w:rPr>
        <w:t xml:space="preserve"> yüklendi ve hücreler sayıldı. Hücre sayısı C=N</w:t>
      </w:r>
      <w:r>
        <w:rPr>
          <w:rFonts w:eastAsia="Times New Roman"/>
          <w:szCs w:val="24"/>
          <w:lang w:eastAsia="tr-TR"/>
        </w:rPr>
        <w:t xml:space="preserve"> </w:t>
      </w:r>
      <w:r w:rsidRPr="00F701C8">
        <w:rPr>
          <w:rFonts w:eastAsia="Times New Roman"/>
          <w:szCs w:val="24"/>
          <w:lang w:eastAsia="tr-TR"/>
        </w:rPr>
        <w:t>x</w:t>
      </w:r>
      <w:r>
        <w:rPr>
          <w:rFonts w:eastAsia="Times New Roman"/>
          <w:szCs w:val="24"/>
          <w:lang w:eastAsia="tr-TR"/>
        </w:rPr>
        <w:t xml:space="preserve"> </w:t>
      </w:r>
      <w:r w:rsidRPr="00F701C8">
        <w:rPr>
          <w:rFonts w:eastAsia="Times New Roman"/>
          <w:szCs w:val="24"/>
          <w:lang w:eastAsia="tr-TR"/>
        </w:rPr>
        <w:t>sulandırma faktörü x 10</w:t>
      </w:r>
      <w:r w:rsidRPr="0076769B">
        <w:rPr>
          <w:rFonts w:eastAsia="Times New Roman"/>
          <w:szCs w:val="24"/>
          <w:vertAlign w:val="superscript"/>
          <w:lang w:eastAsia="tr-TR"/>
        </w:rPr>
        <w:t>4</w:t>
      </w:r>
      <w:r w:rsidRPr="00F701C8">
        <w:rPr>
          <w:rFonts w:eastAsia="Times New Roman"/>
          <w:szCs w:val="24"/>
          <w:lang w:eastAsia="tr-TR"/>
        </w:rPr>
        <w:t xml:space="preserve"> formülünden hesaplandı. </w:t>
      </w:r>
      <w:r>
        <w:rPr>
          <w:rFonts w:eastAsia="Times New Roman"/>
          <w:szCs w:val="24"/>
          <w:lang w:eastAsia="tr-TR"/>
        </w:rPr>
        <w:t>Formülde</w:t>
      </w:r>
      <w:r w:rsidRPr="00F701C8">
        <w:rPr>
          <w:rFonts w:eastAsia="Times New Roman"/>
          <w:szCs w:val="24"/>
          <w:lang w:eastAsia="tr-TR"/>
        </w:rPr>
        <w:t xml:space="preserve"> C, mL başına </w:t>
      </w:r>
      <w:r>
        <w:rPr>
          <w:rFonts w:eastAsia="Times New Roman"/>
          <w:szCs w:val="24"/>
          <w:lang w:eastAsia="tr-TR"/>
        </w:rPr>
        <w:t xml:space="preserve">düşen </w:t>
      </w:r>
      <w:r w:rsidRPr="00F701C8">
        <w:rPr>
          <w:rFonts w:eastAsia="Times New Roman"/>
          <w:szCs w:val="24"/>
          <w:lang w:eastAsia="tr-TR"/>
        </w:rPr>
        <w:t>hücre; N, ortalama hücre sayısı ve 10</w:t>
      </w:r>
      <w:r w:rsidRPr="0076769B">
        <w:rPr>
          <w:rFonts w:eastAsia="Times New Roman"/>
          <w:szCs w:val="24"/>
          <w:vertAlign w:val="superscript"/>
          <w:lang w:eastAsia="tr-TR"/>
        </w:rPr>
        <w:t>4</w:t>
      </w:r>
      <w:r w:rsidRPr="00F701C8">
        <w:rPr>
          <w:rFonts w:eastAsia="Times New Roman"/>
          <w:szCs w:val="24"/>
          <w:lang w:eastAsia="tr-TR"/>
        </w:rPr>
        <w:t xml:space="preserve"> 1 mm</w:t>
      </w:r>
      <w:r w:rsidRPr="00CB7AB9">
        <w:rPr>
          <w:rFonts w:eastAsia="Times New Roman"/>
          <w:szCs w:val="24"/>
          <w:vertAlign w:val="superscript"/>
          <w:lang w:eastAsia="tr-TR"/>
        </w:rPr>
        <w:t>2</w:t>
      </w:r>
      <w:r w:rsidRPr="00F701C8">
        <w:rPr>
          <w:rFonts w:eastAsia="Times New Roman"/>
          <w:szCs w:val="24"/>
          <w:lang w:eastAsia="tr-TR"/>
        </w:rPr>
        <w:t xml:space="preserve"> için hacim dönüşüm faktörüdür. Burada hücreler </w:t>
      </w:r>
      <w:proofErr w:type="gramStart"/>
      <w:r w:rsidRPr="00F701C8">
        <w:rPr>
          <w:rFonts w:eastAsia="Times New Roman"/>
          <w:szCs w:val="24"/>
          <w:lang w:eastAsia="tr-TR"/>
        </w:rPr>
        <w:t>1:1</w:t>
      </w:r>
      <w:r>
        <w:rPr>
          <w:rFonts w:eastAsia="Times New Roman"/>
          <w:szCs w:val="24"/>
          <w:lang w:eastAsia="tr-TR"/>
        </w:rPr>
        <w:t>0</w:t>
      </w:r>
      <w:proofErr w:type="gramEnd"/>
      <w:r w:rsidRPr="00F701C8">
        <w:rPr>
          <w:rFonts w:eastAsia="Times New Roman"/>
          <w:szCs w:val="24"/>
          <w:lang w:eastAsia="tr-TR"/>
        </w:rPr>
        <w:t xml:space="preserve"> oranında </w:t>
      </w:r>
      <w:r>
        <w:rPr>
          <w:rFonts w:eastAsia="Times New Roman"/>
          <w:szCs w:val="24"/>
          <w:lang w:eastAsia="tr-TR"/>
        </w:rPr>
        <w:t>su</w:t>
      </w:r>
      <w:r w:rsidRPr="00F701C8">
        <w:rPr>
          <w:rFonts w:eastAsia="Times New Roman"/>
          <w:szCs w:val="24"/>
          <w:lang w:eastAsia="tr-TR"/>
        </w:rPr>
        <w:t xml:space="preserve"> ile </w:t>
      </w:r>
      <w:r>
        <w:rPr>
          <w:rFonts w:eastAsia="Times New Roman"/>
          <w:szCs w:val="24"/>
          <w:lang w:eastAsia="tr-TR"/>
        </w:rPr>
        <w:t>seyreltildiği</w:t>
      </w:r>
      <w:r w:rsidRPr="00F701C8">
        <w:rPr>
          <w:rFonts w:eastAsia="Times New Roman"/>
          <w:szCs w:val="24"/>
          <w:lang w:eastAsia="tr-TR"/>
        </w:rPr>
        <w:t xml:space="preserve"> için sulandırma faktörü </w:t>
      </w:r>
      <w:r>
        <w:rPr>
          <w:rFonts w:eastAsia="Times New Roman"/>
          <w:szCs w:val="24"/>
          <w:lang w:eastAsia="tr-TR"/>
        </w:rPr>
        <w:t>10</w:t>
      </w:r>
      <w:r w:rsidRPr="00F701C8">
        <w:rPr>
          <w:rFonts w:eastAsia="Times New Roman"/>
          <w:szCs w:val="24"/>
          <w:lang w:eastAsia="tr-TR"/>
        </w:rPr>
        <w:t xml:space="preserve"> idi. Sonuç olarak 1 m</w:t>
      </w:r>
      <w:r>
        <w:rPr>
          <w:rFonts w:eastAsia="Times New Roman"/>
          <w:szCs w:val="24"/>
          <w:lang w:eastAsia="tr-TR"/>
        </w:rPr>
        <w:t>L</w:t>
      </w:r>
      <w:r w:rsidRPr="00F701C8">
        <w:rPr>
          <w:rFonts w:eastAsia="Times New Roman"/>
          <w:szCs w:val="24"/>
          <w:lang w:eastAsia="tr-TR"/>
        </w:rPr>
        <w:t xml:space="preserve"> ortamda ne kadar hücre olduğu tespit edildi. </w:t>
      </w:r>
      <w:r>
        <w:rPr>
          <w:rFonts w:eastAsia="Times New Roman"/>
          <w:szCs w:val="24"/>
          <w:lang w:eastAsia="tr-TR"/>
        </w:rPr>
        <w:t xml:space="preserve">Çalışmada kullanılacak </w:t>
      </w:r>
      <w:r w:rsidRPr="00F701C8">
        <w:rPr>
          <w:rFonts w:eastAsia="Times New Roman"/>
          <w:szCs w:val="24"/>
          <w:lang w:eastAsia="tr-TR"/>
        </w:rPr>
        <w:t xml:space="preserve">toplam hücre sayısı </w:t>
      </w:r>
      <w:r>
        <w:rPr>
          <w:rFonts w:eastAsia="Times New Roman"/>
          <w:szCs w:val="24"/>
          <w:lang w:eastAsia="tr-TR"/>
        </w:rPr>
        <w:t xml:space="preserve">bu formüle uygun şekilde </w:t>
      </w:r>
      <w:r w:rsidRPr="00F701C8">
        <w:rPr>
          <w:rFonts w:eastAsia="Times New Roman"/>
          <w:szCs w:val="24"/>
          <w:lang w:eastAsia="tr-TR"/>
        </w:rPr>
        <w:t>belirlendi</w:t>
      </w:r>
      <w:r>
        <w:rPr>
          <w:rFonts w:eastAsia="Times New Roman"/>
          <w:szCs w:val="24"/>
          <w:lang w:eastAsia="tr-TR"/>
        </w:rPr>
        <w:t>.</w:t>
      </w:r>
    </w:p>
    <w:p w:rsidR="00A40077" w:rsidRDefault="00A40077" w:rsidP="00A40077">
      <w:pPr>
        <w:rPr>
          <w:rFonts w:eastAsia="Times New Roman"/>
          <w:szCs w:val="24"/>
          <w:lang w:eastAsia="tr-TR"/>
        </w:rPr>
      </w:pPr>
    </w:p>
    <w:p w:rsidR="00A40077" w:rsidRDefault="00A40077" w:rsidP="00A40077">
      <w:pPr>
        <w:jc w:val="center"/>
        <w:rPr>
          <w:rFonts w:eastAsia="Times New Roman"/>
          <w:szCs w:val="24"/>
          <w:lang w:eastAsia="tr-TR"/>
        </w:rPr>
      </w:pPr>
      <w:r>
        <w:rPr>
          <w:rFonts w:eastAsia="Times New Roman"/>
          <w:noProof/>
          <w:szCs w:val="24"/>
          <w:lang w:eastAsia="tr-TR"/>
        </w:rPr>
        <w:drawing>
          <wp:inline distT="0" distB="0" distL="0" distR="0">
            <wp:extent cx="2876584" cy="2556000"/>
            <wp:effectExtent l="19050" t="0" r="0" b="0"/>
            <wp:docPr id="44" name="Resim 15" descr="C:\Users\irem\Desktop\HEMOSİTOME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m\Desktop\HEMOSİTOMETREE.png"/>
                    <pic:cNvPicPr>
                      <a:picLocks noChangeAspect="1" noChangeArrowheads="1"/>
                    </pic:cNvPicPr>
                  </pic:nvPicPr>
                  <pic:blipFill>
                    <a:blip r:embed="rId50" cstate="print"/>
                    <a:srcRect/>
                    <a:stretch>
                      <a:fillRect/>
                    </a:stretch>
                  </pic:blipFill>
                  <pic:spPr bwMode="auto">
                    <a:xfrm>
                      <a:off x="0" y="0"/>
                      <a:ext cx="2876584" cy="2556000"/>
                    </a:xfrm>
                    <a:prstGeom prst="rect">
                      <a:avLst/>
                    </a:prstGeom>
                    <a:noFill/>
                    <a:ln w="9525">
                      <a:noFill/>
                      <a:miter lim="800000"/>
                      <a:headEnd/>
                      <a:tailEnd/>
                    </a:ln>
                  </pic:spPr>
                </pic:pic>
              </a:graphicData>
            </a:graphic>
          </wp:inline>
        </w:drawing>
      </w:r>
    </w:p>
    <w:p w:rsidR="00A40077" w:rsidRDefault="0088250B" w:rsidP="00A40077">
      <w:pPr>
        <w:jc w:val="center"/>
        <w:rPr>
          <w:rFonts w:eastAsia="Times New Roman"/>
          <w:szCs w:val="24"/>
          <w:lang w:eastAsia="tr-TR"/>
        </w:rPr>
      </w:pPr>
      <w:r>
        <w:rPr>
          <w:rFonts w:eastAsia="Times New Roman"/>
          <w:b/>
          <w:szCs w:val="24"/>
          <w:lang w:eastAsia="tr-TR"/>
        </w:rPr>
        <w:t xml:space="preserve">Resim </w:t>
      </w:r>
      <w:r w:rsidR="00A40077" w:rsidRPr="00A40077">
        <w:rPr>
          <w:rFonts w:eastAsia="Times New Roman"/>
          <w:b/>
          <w:szCs w:val="24"/>
          <w:lang w:eastAsia="tr-TR"/>
        </w:rPr>
        <w:t>3.</w:t>
      </w:r>
      <w:r w:rsidR="00A40077">
        <w:rPr>
          <w:rFonts w:eastAsia="Times New Roman"/>
          <w:szCs w:val="24"/>
          <w:lang w:eastAsia="tr-TR"/>
        </w:rPr>
        <w:t xml:space="preserve"> Hemositometre</w:t>
      </w:r>
      <w:r w:rsidR="00D15664">
        <w:rPr>
          <w:rFonts w:eastAsia="Times New Roman"/>
          <w:szCs w:val="24"/>
          <w:lang w:eastAsia="tr-TR"/>
        </w:rPr>
        <w:t>.</w:t>
      </w:r>
    </w:p>
    <w:p w:rsidR="00A40077" w:rsidRDefault="00A40077" w:rsidP="00A40077">
      <w:pPr>
        <w:jc w:val="center"/>
        <w:rPr>
          <w:rFonts w:eastAsia="Times New Roman"/>
          <w:szCs w:val="24"/>
          <w:lang w:eastAsia="tr-TR"/>
        </w:rPr>
      </w:pPr>
    </w:p>
    <w:p w:rsidR="00A40077" w:rsidRDefault="00C9141B" w:rsidP="00A40077">
      <w:pPr>
        <w:rPr>
          <w:rFonts w:eastAsia="Times New Roman"/>
          <w:szCs w:val="24"/>
          <w:lang w:eastAsia="tr-TR"/>
        </w:rPr>
      </w:pPr>
      <w:r>
        <w:rPr>
          <w:rFonts w:eastAsia="Times New Roman"/>
          <w:szCs w:val="24"/>
          <w:lang w:eastAsia="tr-TR"/>
        </w:rPr>
        <w:t>A, B, C ve D alanlarından herhangi birindeki</w:t>
      </w:r>
      <w:r w:rsidR="00A40077">
        <w:rPr>
          <w:rFonts w:eastAsia="Times New Roman"/>
          <w:szCs w:val="24"/>
          <w:lang w:eastAsia="tr-TR"/>
        </w:rPr>
        <w:t xml:space="preserve"> hücreler sayıldı ve toplam hücre sayısı metinde belirtilen formüle göre hesaplandı.</w:t>
      </w:r>
    </w:p>
    <w:p w:rsidR="00A40077" w:rsidRDefault="00A40077" w:rsidP="00A40077">
      <w:pPr>
        <w:pStyle w:val="Balk2"/>
        <w:rPr>
          <w:rFonts w:eastAsia="Times New Roman"/>
          <w:lang w:eastAsia="tr-TR"/>
        </w:rPr>
      </w:pPr>
      <w:r>
        <w:rPr>
          <w:rFonts w:eastAsia="Times New Roman"/>
          <w:lang w:eastAsia="tr-TR"/>
        </w:rPr>
        <w:lastRenderedPageBreak/>
        <w:t>3.2.</w:t>
      </w:r>
      <w:r w:rsidR="00C45E65">
        <w:rPr>
          <w:rFonts w:eastAsia="Times New Roman"/>
          <w:lang w:eastAsia="tr-TR"/>
        </w:rPr>
        <w:t>7</w:t>
      </w:r>
      <w:r w:rsidR="00861AA3">
        <w:rPr>
          <w:rFonts w:eastAsia="Times New Roman"/>
          <w:lang w:eastAsia="tr-TR"/>
        </w:rPr>
        <w:t>.</w:t>
      </w:r>
      <w:r>
        <w:rPr>
          <w:rFonts w:eastAsia="Times New Roman"/>
          <w:lang w:eastAsia="tr-TR"/>
        </w:rPr>
        <w:t xml:space="preserve"> Hücrelere Farklı Konsantrasyonlarda Glukoz Uygulanması</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Pr>
          <w:rFonts w:eastAsia="Times New Roman"/>
          <w:szCs w:val="24"/>
          <w:lang w:eastAsia="tr-TR"/>
        </w:rPr>
        <w:t xml:space="preserve">0, </w:t>
      </w:r>
      <w:proofErr w:type="gramStart"/>
      <w:r>
        <w:rPr>
          <w:rFonts w:eastAsia="Times New Roman"/>
          <w:szCs w:val="24"/>
          <w:lang w:eastAsia="tr-TR"/>
        </w:rPr>
        <w:t>5.5</w:t>
      </w:r>
      <w:proofErr w:type="gramEnd"/>
      <w:r>
        <w:rPr>
          <w:rFonts w:eastAsia="Times New Roman"/>
          <w:szCs w:val="24"/>
          <w:lang w:eastAsia="tr-TR"/>
        </w:rPr>
        <w:t>, 15 ve 55 mM g</w:t>
      </w:r>
      <w:r w:rsidRPr="009A339F">
        <w:rPr>
          <w:rFonts w:eastAsia="Times New Roman"/>
          <w:szCs w:val="24"/>
          <w:lang w:eastAsia="tr-TR"/>
        </w:rPr>
        <w:t>l</w:t>
      </w:r>
      <w:r w:rsidR="00C9141B">
        <w:rPr>
          <w:rFonts w:eastAsia="Times New Roman"/>
          <w:szCs w:val="24"/>
          <w:lang w:eastAsia="tr-TR"/>
        </w:rPr>
        <w:t>u</w:t>
      </w:r>
      <w:r w:rsidRPr="009A339F">
        <w:rPr>
          <w:rFonts w:eastAsia="Times New Roman"/>
          <w:szCs w:val="24"/>
          <w:lang w:eastAsia="tr-TR"/>
        </w:rPr>
        <w:t xml:space="preserve">koz </w:t>
      </w:r>
      <w:r>
        <w:rPr>
          <w:rFonts w:eastAsia="Times New Roman"/>
          <w:szCs w:val="24"/>
          <w:lang w:eastAsia="tr-TR"/>
        </w:rPr>
        <w:t>konsantrasyonlarını içeren vasatlar hazırlandı. Çalışma yapılacak hücrelerin pasajlarının 2.</w:t>
      </w:r>
      <w:r w:rsidR="008B499B">
        <w:rPr>
          <w:rFonts w:eastAsia="Times New Roman"/>
          <w:szCs w:val="24"/>
          <w:lang w:eastAsia="tr-TR"/>
        </w:rPr>
        <w:t xml:space="preserve"> </w:t>
      </w:r>
      <w:r>
        <w:rPr>
          <w:rFonts w:eastAsia="Times New Roman"/>
          <w:szCs w:val="24"/>
          <w:lang w:eastAsia="tr-TR"/>
        </w:rPr>
        <w:t>gününde (yaklaşık %60 konfluent olduklarında) üzerlerindeki vasat glukozsuz DMEM</w:t>
      </w:r>
      <w:r w:rsidRPr="00CF5D0A">
        <w:rPr>
          <w:rFonts w:eastAsia="Times New Roman"/>
          <w:szCs w:val="24"/>
          <w:lang w:eastAsia="tr-TR"/>
        </w:rPr>
        <w:t xml:space="preserve"> </w:t>
      </w:r>
      <w:r>
        <w:rPr>
          <w:rFonts w:eastAsia="Times New Roman"/>
          <w:szCs w:val="24"/>
          <w:lang w:eastAsia="tr-TR"/>
        </w:rPr>
        <w:t xml:space="preserve">ile değiştirildi. Hücreler yaklaşık %80-90 konfluent olduklarında tripsin-EDTA ile kaldırılarak sayım işlemleri yapıldı ve yapılacak deneysel çalışmaya göre yeni </w:t>
      </w:r>
      <w:proofErr w:type="gramStart"/>
      <w:r>
        <w:rPr>
          <w:rFonts w:eastAsia="Times New Roman"/>
          <w:szCs w:val="24"/>
          <w:lang w:eastAsia="tr-TR"/>
        </w:rPr>
        <w:t>steril</w:t>
      </w:r>
      <w:proofErr w:type="gramEnd"/>
      <w:r>
        <w:rPr>
          <w:rFonts w:eastAsia="Times New Roman"/>
          <w:szCs w:val="24"/>
          <w:lang w:eastAsia="tr-TR"/>
        </w:rPr>
        <w:t xml:space="preserve"> flasklara veya plakalara ekimleri gerçekleştirildi. 24 saatlik inkübasyon süresinden</w:t>
      </w:r>
      <w:r w:rsidR="00CC5017">
        <w:rPr>
          <w:rFonts w:eastAsia="Times New Roman"/>
          <w:szCs w:val="24"/>
          <w:lang w:eastAsia="tr-TR"/>
        </w:rPr>
        <w:t xml:space="preserve"> sonra hücrelerin üzerindeki glu</w:t>
      </w:r>
      <w:r>
        <w:rPr>
          <w:rFonts w:eastAsia="Times New Roman"/>
          <w:szCs w:val="24"/>
          <w:lang w:eastAsia="tr-TR"/>
        </w:rPr>
        <w:t xml:space="preserve">kozsuz DMEM çekilerek; 0, </w:t>
      </w:r>
      <w:proofErr w:type="gramStart"/>
      <w:r>
        <w:rPr>
          <w:rFonts w:eastAsia="Times New Roman"/>
          <w:szCs w:val="24"/>
          <w:lang w:eastAsia="tr-TR"/>
        </w:rPr>
        <w:t>5.5</w:t>
      </w:r>
      <w:proofErr w:type="gramEnd"/>
      <w:r>
        <w:rPr>
          <w:rFonts w:eastAsia="Times New Roman"/>
          <w:szCs w:val="24"/>
          <w:lang w:eastAsia="tr-TR"/>
        </w:rPr>
        <w:t>, 15 ve 55 mM g</w:t>
      </w:r>
      <w:r w:rsidR="00CE46A6">
        <w:rPr>
          <w:rFonts w:eastAsia="Times New Roman"/>
          <w:szCs w:val="24"/>
          <w:lang w:eastAsia="tr-TR"/>
        </w:rPr>
        <w:t>lu</w:t>
      </w:r>
      <w:r w:rsidRPr="009A339F">
        <w:rPr>
          <w:rFonts w:eastAsia="Times New Roman"/>
          <w:szCs w:val="24"/>
          <w:lang w:eastAsia="tr-TR"/>
        </w:rPr>
        <w:t xml:space="preserve">koz </w:t>
      </w:r>
      <w:r>
        <w:rPr>
          <w:rFonts w:eastAsia="Times New Roman"/>
          <w:szCs w:val="24"/>
          <w:lang w:eastAsia="tr-TR"/>
        </w:rPr>
        <w:t>konsantrasyonlarını içeren vasatlar uygulandı. Daha sonra hücreler 3, 6, 12, 24 ve 48 saat boyunca normoksi (%20 O</w:t>
      </w:r>
      <w:r w:rsidRPr="0070306C">
        <w:rPr>
          <w:rFonts w:eastAsia="Times New Roman"/>
          <w:szCs w:val="24"/>
          <w:vertAlign w:val="subscript"/>
          <w:lang w:eastAsia="tr-TR"/>
        </w:rPr>
        <w:t>2</w:t>
      </w:r>
      <w:r>
        <w:rPr>
          <w:rFonts w:eastAsia="Times New Roman"/>
          <w:szCs w:val="24"/>
          <w:lang w:eastAsia="tr-TR"/>
        </w:rPr>
        <w:t>) ve hipoksi (%1 O</w:t>
      </w:r>
      <w:r w:rsidRPr="0070306C">
        <w:rPr>
          <w:rFonts w:eastAsia="Times New Roman"/>
          <w:szCs w:val="24"/>
          <w:vertAlign w:val="subscript"/>
          <w:lang w:eastAsia="tr-TR"/>
        </w:rPr>
        <w:t>2</w:t>
      </w:r>
      <w:r>
        <w:rPr>
          <w:rFonts w:eastAsia="Times New Roman"/>
          <w:szCs w:val="24"/>
          <w:lang w:eastAsia="tr-TR"/>
        </w:rPr>
        <w:t>) koşullarına maruz bırakıldı. Deneyler 3 kez tekrarlandı.</w:t>
      </w:r>
    </w:p>
    <w:p w:rsidR="00A40077" w:rsidRDefault="00A40077" w:rsidP="00A40077">
      <w:pPr>
        <w:rPr>
          <w:rFonts w:eastAsia="Times New Roman"/>
          <w:szCs w:val="24"/>
          <w:lang w:eastAsia="tr-TR"/>
        </w:rPr>
      </w:pPr>
    </w:p>
    <w:p w:rsidR="00A40077" w:rsidRDefault="00A40077" w:rsidP="00A40077">
      <w:pPr>
        <w:rPr>
          <w:rFonts w:eastAsia="Times New Roman"/>
          <w:szCs w:val="24"/>
          <w:lang w:eastAsia="tr-TR"/>
        </w:rPr>
      </w:pPr>
    </w:p>
    <w:p w:rsidR="00A40077" w:rsidRDefault="00A40077" w:rsidP="00A40077">
      <w:pPr>
        <w:pStyle w:val="Balk2"/>
        <w:rPr>
          <w:rFonts w:eastAsia="Times New Roman"/>
          <w:lang w:eastAsia="tr-TR"/>
        </w:rPr>
      </w:pPr>
      <w:r>
        <w:rPr>
          <w:rFonts w:eastAsia="Times New Roman"/>
          <w:lang w:eastAsia="tr-TR"/>
        </w:rPr>
        <w:t>3.2.</w:t>
      </w:r>
      <w:r w:rsidR="00C45E65">
        <w:rPr>
          <w:rFonts w:eastAsia="Times New Roman"/>
          <w:lang w:eastAsia="tr-TR"/>
        </w:rPr>
        <w:t>8</w:t>
      </w:r>
      <w:r w:rsidR="00861AA3">
        <w:rPr>
          <w:rFonts w:eastAsia="Times New Roman"/>
          <w:lang w:eastAsia="tr-TR"/>
        </w:rPr>
        <w:t>.</w:t>
      </w:r>
      <w:r>
        <w:rPr>
          <w:rFonts w:eastAsia="Times New Roman"/>
          <w:lang w:eastAsia="tr-TR"/>
        </w:rPr>
        <w:t xml:space="preserve"> Hipoksik Kültür Koşulları/ Hipoksi Modeli Oluşturulması</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Pr>
          <w:rFonts w:eastAsia="Times New Roman"/>
          <w:szCs w:val="24"/>
          <w:lang w:eastAsia="tr-TR"/>
        </w:rPr>
        <w:t xml:space="preserve">Hücreler farklı </w:t>
      </w:r>
      <w:proofErr w:type="gramStart"/>
      <w:r>
        <w:rPr>
          <w:rFonts w:eastAsia="Times New Roman"/>
          <w:szCs w:val="24"/>
          <w:lang w:eastAsia="tr-TR"/>
        </w:rPr>
        <w:t>konsantrasyonlarda</w:t>
      </w:r>
      <w:proofErr w:type="gramEnd"/>
      <w:r>
        <w:rPr>
          <w:rFonts w:eastAsia="Times New Roman"/>
          <w:szCs w:val="24"/>
          <w:lang w:eastAsia="tr-TR"/>
        </w:rPr>
        <w:t xml:space="preserve"> glukoz içeren vasatların ilavesinden sonra hipoksi ortamına alındı. Hipoksi muamelesi; %1 O</w:t>
      </w:r>
      <w:r w:rsidRPr="0079779E">
        <w:rPr>
          <w:rFonts w:eastAsia="Times New Roman"/>
          <w:szCs w:val="24"/>
          <w:vertAlign w:val="subscript"/>
          <w:lang w:eastAsia="tr-TR"/>
        </w:rPr>
        <w:t>2</w:t>
      </w:r>
      <w:r>
        <w:rPr>
          <w:rFonts w:eastAsia="Times New Roman"/>
          <w:szCs w:val="24"/>
          <w:lang w:eastAsia="tr-TR"/>
        </w:rPr>
        <w:t>, %5 CO</w:t>
      </w:r>
      <w:r w:rsidRPr="0079779E">
        <w:rPr>
          <w:rFonts w:eastAsia="Times New Roman"/>
          <w:szCs w:val="24"/>
          <w:vertAlign w:val="subscript"/>
          <w:lang w:eastAsia="tr-TR"/>
        </w:rPr>
        <w:t>2</w:t>
      </w:r>
      <w:r>
        <w:rPr>
          <w:rFonts w:eastAsia="Times New Roman"/>
          <w:szCs w:val="24"/>
          <w:lang w:eastAsia="tr-TR"/>
        </w:rPr>
        <w:t xml:space="preserve"> içeren azot gazı ile doldurulan bir modüler inkübatör chamb</w:t>
      </w:r>
      <w:r w:rsidR="0088250B">
        <w:rPr>
          <w:rFonts w:eastAsia="Times New Roman"/>
          <w:szCs w:val="24"/>
          <w:lang w:eastAsia="tr-TR"/>
        </w:rPr>
        <w:t xml:space="preserve">er da gerçekleştirildi (Resim </w:t>
      </w:r>
      <w:r>
        <w:rPr>
          <w:rFonts w:eastAsia="Times New Roman"/>
          <w:szCs w:val="24"/>
          <w:lang w:eastAsia="tr-TR"/>
        </w:rPr>
        <w:t>4).</w:t>
      </w:r>
    </w:p>
    <w:p w:rsidR="0047435E" w:rsidRDefault="0047435E" w:rsidP="00A40077">
      <w:pPr>
        <w:rPr>
          <w:rFonts w:eastAsia="Times New Roman"/>
          <w:szCs w:val="24"/>
          <w:lang w:eastAsia="tr-TR"/>
        </w:rPr>
      </w:pPr>
    </w:p>
    <w:p w:rsidR="00A40077" w:rsidRDefault="00A40077" w:rsidP="00A40077">
      <w:pPr>
        <w:jc w:val="center"/>
        <w:rPr>
          <w:rFonts w:eastAsia="Times New Roman"/>
          <w:szCs w:val="24"/>
          <w:lang w:eastAsia="tr-TR"/>
        </w:rPr>
      </w:pPr>
      <w:r>
        <w:rPr>
          <w:noProof/>
          <w:lang w:eastAsia="tr-TR"/>
        </w:rPr>
        <w:drawing>
          <wp:inline distT="0" distB="0" distL="0" distR="0">
            <wp:extent cx="3353878" cy="2751694"/>
            <wp:effectExtent l="38100" t="57150" r="113222" b="86756"/>
            <wp:docPr id="45" name="Resim 1" descr="C:\Users\irem\AppData\Local\Microsoft\Windows\Temporary Internet Files\Content.Word\20180803_12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m\AppData\Local\Microsoft\Windows\Temporary Internet Files\Content.Word\20180803_123505.jpg"/>
                    <pic:cNvPicPr>
                      <a:picLocks noChangeAspect="1" noChangeArrowheads="1"/>
                    </pic:cNvPicPr>
                  </pic:nvPicPr>
                  <pic:blipFill>
                    <a:blip r:embed="rId51" cstate="print"/>
                    <a:srcRect/>
                    <a:stretch>
                      <a:fillRect/>
                    </a:stretch>
                  </pic:blipFill>
                  <pic:spPr bwMode="auto">
                    <a:xfrm>
                      <a:off x="0" y="0"/>
                      <a:ext cx="3352753" cy="2750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0077" w:rsidRDefault="0088250B" w:rsidP="00A40077">
      <w:pPr>
        <w:jc w:val="center"/>
        <w:rPr>
          <w:rFonts w:eastAsia="Times New Roman"/>
          <w:szCs w:val="24"/>
          <w:lang w:eastAsia="tr-TR"/>
        </w:rPr>
      </w:pPr>
      <w:r>
        <w:rPr>
          <w:rFonts w:eastAsia="Times New Roman"/>
          <w:b/>
          <w:szCs w:val="24"/>
          <w:lang w:eastAsia="tr-TR"/>
        </w:rPr>
        <w:t xml:space="preserve">Resim </w:t>
      </w:r>
      <w:r w:rsidR="00A40077" w:rsidRPr="00A40077">
        <w:rPr>
          <w:rFonts w:eastAsia="Times New Roman"/>
          <w:b/>
          <w:szCs w:val="24"/>
          <w:lang w:eastAsia="tr-TR"/>
        </w:rPr>
        <w:t>4.</w:t>
      </w:r>
      <w:r w:rsidR="00A40077">
        <w:rPr>
          <w:rFonts w:eastAsia="Times New Roman"/>
          <w:szCs w:val="24"/>
          <w:lang w:eastAsia="tr-TR"/>
        </w:rPr>
        <w:t xml:space="preserve"> Modüler inkübatör chamber</w:t>
      </w:r>
      <w:r w:rsidR="00D15664">
        <w:rPr>
          <w:rFonts w:eastAsia="Times New Roman"/>
          <w:szCs w:val="24"/>
          <w:lang w:eastAsia="tr-TR"/>
        </w:rPr>
        <w:t>.</w:t>
      </w:r>
    </w:p>
    <w:p w:rsidR="00A40077" w:rsidRDefault="00A40077" w:rsidP="00A40077">
      <w:pPr>
        <w:jc w:val="center"/>
        <w:rPr>
          <w:rFonts w:eastAsia="Times New Roman"/>
          <w:szCs w:val="24"/>
          <w:lang w:eastAsia="tr-TR"/>
        </w:rPr>
      </w:pPr>
    </w:p>
    <w:p w:rsidR="0047435E" w:rsidRDefault="0047435E" w:rsidP="00A40077">
      <w:pPr>
        <w:jc w:val="center"/>
        <w:rPr>
          <w:rFonts w:eastAsia="Times New Roman"/>
          <w:szCs w:val="24"/>
          <w:lang w:eastAsia="tr-TR"/>
        </w:rPr>
      </w:pPr>
    </w:p>
    <w:p w:rsidR="00A40077" w:rsidRDefault="00A40077" w:rsidP="001E47F1">
      <w:pPr>
        <w:ind w:firstLine="0"/>
        <w:rPr>
          <w:rFonts w:eastAsia="Times New Roman"/>
          <w:b/>
          <w:szCs w:val="24"/>
          <w:lang w:eastAsia="tr-TR"/>
        </w:rPr>
      </w:pPr>
      <w:r>
        <w:rPr>
          <w:rFonts w:eastAsia="Times New Roman"/>
          <w:b/>
          <w:szCs w:val="24"/>
          <w:lang w:eastAsia="tr-TR"/>
        </w:rPr>
        <w:lastRenderedPageBreak/>
        <w:t>3.3</w:t>
      </w:r>
      <w:r w:rsidR="00861AA3">
        <w:rPr>
          <w:rFonts w:eastAsia="Times New Roman"/>
          <w:b/>
          <w:szCs w:val="24"/>
          <w:lang w:eastAsia="tr-TR"/>
        </w:rPr>
        <w:t>.</w:t>
      </w:r>
      <w:r>
        <w:rPr>
          <w:rFonts w:eastAsia="Times New Roman"/>
          <w:b/>
          <w:szCs w:val="24"/>
          <w:lang w:eastAsia="tr-TR"/>
        </w:rPr>
        <w:t xml:space="preserve"> Hücre Canlılık Testi (WST-1 Testi)</w:t>
      </w:r>
    </w:p>
    <w:p w:rsidR="001E47F1" w:rsidRDefault="001E47F1" w:rsidP="001E47F1">
      <w:pPr>
        <w:ind w:firstLine="0"/>
        <w:rPr>
          <w:rFonts w:eastAsia="Times New Roman"/>
          <w:b/>
          <w:szCs w:val="24"/>
          <w:lang w:eastAsia="tr-TR"/>
        </w:rPr>
      </w:pPr>
    </w:p>
    <w:p w:rsidR="00A40077" w:rsidRDefault="00A40077" w:rsidP="00A40077">
      <w:pPr>
        <w:rPr>
          <w:rFonts w:eastAsia="Times New Roman"/>
          <w:szCs w:val="24"/>
          <w:lang w:eastAsia="tr-TR"/>
        </w:rPr>
      </w:pPr>
      <w:r>
        <w:rPr>
          <w:rFonts w:eastAsia="Times New Roman"/>
          <w:szCs w:val="24"/>
          <w:lang w:eastAsia="tr-TR"/>
        </w:rPr>
        <w:t>T</w:t>
      </w:r>
      <w:r w:rsidRPr="000E69B2">
        <w:rPr>
          <w:rFonts w:eastAsia="Times New Roman"/>
          <w:szCs w:val="24"/>
          <w:lang w:eastAsia="tr-TR"/>
        </w:rPr>
        <w:t>est prensibi</w:t>
      </w:r>
      <w:r>
        <w:rPr>
          <w:rFonts w:eastAsia="Times New Roman"/>
          <w:szCs w:val="24"/>
          <w:lang w:eastAsia="tr-TR"/>
        </w:rPr>
        <w:t>,</w:t>
      </w:r>
      <w:r w:rsidRPr="000E69B2">
        <w:rPr>
          <w:rFonts w:eastAsia="Times New Roman"/>
          <w:szCs w:val="24"/>
          <w:lang w:eastAsia="tr-TR"/>
        </w:rPr>
        <w:t xml:space="preserve"> </w:t>
      </w:r>
      <w:r>
        <w:rPr>
          <w:rFonts w:eastAsia="Times New Roman"/>
          <w:szCs w:val="24"/>
          <w:lang w:eastAsia="tr-TR"/>
        </w:rPr>
        <w:t xml:space="preserve">tetrazolyum ailesinin bir üyesi olan tetrazolyum tuzu, </w:t>
      </w:r>
      <w:r w:rsidRPr="000E69B2">
        <w:rPr>
          <w:rFonts w:eastAsia="Times New Roman"/>
          <w:szCs w:val="24"/>
          <w:lang w:eastAsia="tr-TR"/>
        </w:rPr>
        <w:t>4-[3-(4</w:t>
      </w:r>
      <w:r>
        <w:rPr>
          <w:rFonts w:eastAsia="Times New Roman"/>
          <w:szCs w:val="24"/>
          <w:lang w:eastAsia="tr-TR"/>
        </w:rPr>
        <w:t xml:space="preserve"> </w:t>
      </w:r>
      <w:r w:rsidRPr="000E69B2">
        <w:rPr>
          <w:rFonts w:eastAsia="Times New Roman"/>
          <w:szCs w:val="24"/>
          <w:lang w:eastAsia="tr-TR"/>
        </w:rPr>
        <w:t>i</w:t>
      </w:r>
      <w:r>
        <w:rPr>
          <w:rFonts w:eastAsia="Times New Roman"/>
          <w:szCs w:val="24"/>
          <w:lang w:eastAsia="tr-TR"/>
        </w:rPr>
        <w:t>yodofenil</w:t>
      </w:r>
      <w:r w:rsidRPr="000E69B2">
        <w:rPr>
          <w:rFonts w:eastAsia="Times New Roman"/>
          <w:szCs w:val="24"/>
          <w:lang w:eastAsia="tr-TR"/>
        </w:rPr>
        <w:t>)-2-(4-nitro</w:t>
      </w:r>
      <w:r>
        <w:rPr>
          <w:rFonts w:eastAsia="Times New Roman"/>
          <w:szCs w:val="24"/>
          <w:lang w:eastAsia="tr-TR"/>
        </w:rPr>
        <w:t>fenil</w:t>
      </w:r>
      <w:r w:rsidRPr="000E69B2">
        <w:rPr>
          <w:rFonts w:eastAsia="Times New Roman"/>
          <w:szCs w:val="24"/>
          <w:lang w:eastAsia="tr-TR"/>
        </w:rPr>
        <w:t>)-2H-5-</w:t>
      </w:r>
      <w:r>
        <w:rPr>
          <w:rFonts w:eastAsia="Times New Roman"/>
          <w:szCs w:val="24"/>
          <w:lang w:eastAsia="tr-TR"/>
        </w:rPr>
        <w:t>tetrazolyum]-1,3-benzen</w:t>
      </w:r>
      <w:r w:rsidRPr="000E69B2">
        <w:rPr>
          <w:rFonts w:eastAsia="Times New Roman"/>
          <w:szCs w:val="24"/>
          <w:lang w:eastAsia="tr-TR"/>
        </w:rPr>
        <w:t xml:space="preserve"> dis</w:t>
      </w:r>
      <w:r>
        <w:rPr>
          <w:rFonts w:eastAsia="Times New Roman"/>
          <w:szCs w:val="24"/>
          <w:lang w:eastAsia="tr-TR"/>
        </w:rPr>
        <w:t>ülfonat</w:t>
      </w:r>
      <w:r w:rsidRPr="000E69B2">
        <w:rPr>
          <w:rFonts w:eastAsia="Times New Roman"/>
          <w:szCs w:val="24"/>
          <w:lang w:eastAsia="tr-TR"/>
        </w:rPr>
        <w:t xml:space="preserve"> </w:t>
      </w:r>
      <w:r>
        <w:rPr>
          <w:rFonts w:eastAsia="Times New Roman"/>
          <w:szCs w:val="24"/>
          <w:lang w:eastAsia="tr-TR"/>
        </w:rPr>
        <w:t>(</w:t>
      </w:r>
      <w:r w:rsidRPr="000E69B2">
        <w:rPr>
          <w:rFonts w:eastAsia="Times New Roman"/>
          <w:szCs w:val="24"/>
          <w:lang w:eastAsia="tr-TR"/>
        </w:rPr>
        <w:t>WST-1</w:t>
      </w:r>
      <w:r>
        <w:rPr>
          <w:rFonts w:eastAsia="Times New Roman"/>
          <w:szCs w:val="24"/>
          <w:lang w:eastAsia="tr-TR"/>
        </w:rPr>
        <w:t>)’in</w:t>
      </w:r>
      <w:r w:rsidRPr="000E69B2">
        <w:rPr>
          <w:rFonts w:eastAsia="Times New Roman"/>
          <w:szCs w:val="24"/>
          <w:lang w:eastAsia="tr-TR"/>
        </w:rPr>
        <w:t xml:space="preserve"> </w:t>
      </w:r>
      <w:r>
        <w:rPr>
          <w:rFonts w:eastAsia="Times New Roman"/>
          <w:szCs w:val="24"/>
          <w:lang w:eastAsia="tr-TR"/>
        </w:rPr>
        <w:t xml:space="preserve">mitokondriyal dehidrogenazlar tarafından formazan tuzlarına dönüştürülebilmesi </w:t>
      </w:r>
      <w:r w:rsidRPr="000E69B2">
        <w:rPr>
          <w:rFonts w:eastAsia="Times New Roman"/>
          <w:szCs w:val="24"/>
          <w:lang w:eastAsia="tr-TR"/>
        </w:rPr>
        <w:t>esasına dayanır</w:t>
      </w:r>
      <w:r>
        <w:rPr>
          <w:rFonts w:eastAsia="Times New Roman"/>
          <w:szCs w:val="24"/>
          <w:lang w:eastAsia="tr-TR"/>
        </w:rPr>
        <w:t xml:space="preserve"> (Ishıyama ve ark, 1996). WST-1 reaktifi, mPMS (1-metoksi-5-metil-fenazinyum metil sülfat) gibi ara elektron alıcısı varlığında hücresel dehidro</w:t>
      </w:r>
      <w:r w:rsidR="00095114">
        <w:rPr>
          <w:rFonts w:eastAsia="Times New Roman"/>
          <w:szCs w:val="24"/>
          <w:lang w:eastAsia="tr-TR"/>
        </w:rPr>
        <w:t>g</w:t>
      </w:r>
      <w:r>
        <w:rPr>
          <w:rFonts w:eastAsia="Times New Roman"/>
          <w:szCs w:val="24"/>
          <w:lang w:eastAsia="tr-TR"/>
        </w:rPr>
        <w:t xml:space="preserve">enazlar tarafından yüksek ölçüde suda çözünebilir formazana indirgenir. Bu mekanizma </w:t>
      </w:r>
      <w:r w:rsidRPr="00C07866">
        <w:rPr>
          <w:rFonts w:eastAsia="Times New Roman"/>
          <w:szCs w:val="24"/>
          <w:lang w:eastAsia="tr-TR"/>
        </w:rPr>
        <w:t>Şekil</w:t>
      </w:r>
      <w:r w:rsidR="0088250B">
        <w:rPr>
          <w:rFonts w:eastAsia="Times New Roman"/>
          <w:szCs w:val="24"/>
          <w:lang w:eastAsia="tr-TR"/>
        </w:rPr>
        <w:t xml:space="preserve"> 20</w:t>
      </w:r>
      <w:r>
        <w:rPr>
          <w:rFonts w:eastAsia="Times New Roman"/>
          <w:szCs w:val="24"/>
          <w:lang w:eastAsia="tr-TR"/>
        </w:rPr>
        <w:t xml:space="preserve">’de gösterilmiştir (Yin ve ark, 2013). </w:t>
      </w:r>
      <w:r w:rsidRPr="000E69B2">
        <w:rPr>
          <w:rFonts w:eastAsia="Times New Roman"/>
          <w:szCs w:val="24"/>
          <w:lang w:eastAsia="tr-TR"/>
        </w:rPr>
        <w:t xml:space="preserve">WST-1 testi; anti-kanser ilaçları ve diğer farmasötik bileşenler tarafından sitotoksisite analizi olmak üzere birçok uygulamaya sahiptir. </w:t>
      </w:r>
      <w:r>
        <w:rPr>
          <w:rFonts w:eastAsia="Times New Roman"/>
          <w:szCs w:val="24"/>
          <w:lang w:eastAsia="tr-TR"/>
        </w:rPr>
        <w:t>A</w:t>
      </w:r>
      <w:r w:rsidRPr="000E69B2">
        <w:rPr>
          <w:rFonts w:eastAsia="Times New Roman"/>
          <w:szCs w:val="24"/>
          <w:lang w:eastAsia="tr-TR"/>
        </w:rPr>
        <w:t>rtan sayıda canlı hücre sayısı mitokondriyal dehidro</w:t>
      </w:r>
      <w:r w:rsidR="00095114">
        <w:rPr>
          <w:rFonts w:eastAsia="Times New Roman"/>
          <w:szCs w:val="24"/>
          <w:lang w:eastAsia="tr-TR"/>
        </w:rPr>
        <w:t>g</w:t>
      </w:r>
      <w:r w:rsidRPr="000E69B2">
        <w:rPr>
          <w:rFonts w:eastAsia="Times New Roman"/>
          <w:szCs w:val="24"/>
          <w:lang w:eastAsia="tr-TR"/>
        </w:rPr>
        <w:t xml:space="preserve">enazların artan aktivitesini gösterir. Bu yüzden formazan boya oluşumundaki artış doğrudan kültürdeki metabolik olarak aktif olan hücre sayısı ile ilişkilendirilebilir. </w:t>
      </w:r>
    </w:p>
    <w:p w:rsidR="00A40077" w:rsidRDefault="00A40077" w:rsidP="00A40077">
      <w:pPr>
        <w:rPr>
          <w:rFonts w:eastAsia="Times New Roman"/>
          <w:szCs w:val="24"/>
          <w:lang w:eastAsia="tr-TR"/>
        </w:rPr>
      </w:pPr>
    </w:p>
    <w:p w:rsidR="00A40077" w:rsidRPr="000E69B2" w:rsidRDefault="00A40077" w:rsidP="003A2F7A">
      <w:pPr>
        <w:pStyle w:val="AltKonuBal"/>
        <w:rPr>
          <w:lang w:eastAsia="tr-TR"/>
        </w:rPr>
      </w:pPr>
      <w:r>
        <w:rPr>
          <w:noProof/>
          <w:lang w:eastAsia="tr-TR"/>
        </w:rPr>
        <w:drawing>
          <wp:inline distT="0" distB="0" distL="0" distR="0">
            <wp:extent cx="4572000" cy="2700000"/>
            <wp:effectExtent l="0" t="0" r="0" b="0"/>
            <wp:docPr id="46" name="Resim 21" descr="C:\Users\irem\Desktop\tez-resim\w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irem\Desktop\tez-resim\wst.jpg"/>
                    <pic:cNvPicPr>
                      <a:picLocks noChangeAspect="1" noChangeArrowheads="1"/>
                    </pic:cNvPicPr>
                  </pic:nvPicPr>
                  <pic:blipFill>
                    <a:blip r:embed="rId52" cstate="print"/>
                    <a:srcRect/>
                    <a:stretch>
                      <a:fillRect/>
                    </a:stretch>
                  </pic:blipFill>
                  <pic:spPr bwMode="auto">
                    <a:xfrm>
                      <a:off x="0" y="0"/>
                      <a:ext cx="4572000" cy="2700000"/>
                    </a:xfrm>
                    <a:prstGeom prst="rect">
                      <a:avLst/>
                    </a:prstGeom>
                    <a:noFill/>
                    <a:ln w="9525">
                      <a:noFill/>
                      <a:miter lim="800000"/>
                      <a:headEnd/>
                      <a:tailEnd/>
                    </a:ln>
                  </pic:spPr>
                </pic:pic>
              </a:graphicData>
            </a:graphic>
          </wp:inline>
        </w:drawing>
      </w:r>
    </w:p>
    <w:p w:rsidR="00A40077" w:rsidRDefault="0088250B" w:rsidP="00A40077">
      <w:pPr>
        <w:jc w:val="center"/>
        <w:rPr>
          <w:rFonts w:eastAsia="Times New Roman"/>
          <w:szCs w:val="24"/>
          <w:lang w:eastAsia="tr-TR"/>
        </w:rPr>
      </w:pPr>
      <w:r>
        <w:rPr>
          <w:rFonts w:eastAsia="Times New Roman"/>
          <w:b/>
          <w:szCs w:val="24"/>
          <w:lang w:eastAsia="tr-TR"/>
        </w:rPr>
        <w:t>Şekil 20</w:t>
      </w:r>
      <w:r w:rsidR="00A40077" w:rsidRPr="00A40077">
        <w:rPr>
          <w:rFonts w:eastAsia="Times New Roman"/>
          <w:b/>
          <w:szCs w:val="24"/>
          <w:lang w:eastAsia="tr-TR"/>
        </w:rPr>
        <w:t>.</w:t>
      </w:r>
      <w:r w:rsidR="00F00B65">
        <w:rPr>
          <w:rFonts w:eastAsia="Times New Roman"/>
          <w:szCs w:val="24"/>
          <w:lang w:eastAsia="tr-TR"/>
        </w:rPr>
        <w:t xml:space="preserve"> WST-1 redüksiyonunun şematik m</w:t>
      </w:r>
      <w:r w:rsidR="00A40077">
        <w:rPr>
          <w:rFonts w:eastAsia="Times New Roman"/>
          <w:szCs w:val="24"/>
          <w:lang w:eastAsia="tr-TR"/>
        </w:rPr>
        <w:t>ekanizması</w:t>
      </w:r>
      <w:r w:rsidR="00D15664">
        <w:rPr>
          <w:rFonts w:eastAsia="Times New Roman"/>
          <w:szCs w:val="24"/>
          <w:lang w:eastAsia="tr-TR"/>
        </w:rPr>
        <w:t>.</w:t>
      </w:r>
    </w:p>
    <w:p w:rsidR="00A40077" w:rsidRPr="006A6E6F" w:rsidRDefault="00A40077" w:rsidP="00A40077">
      <w:pPr>
        <w:jc w:val="center"/>
        <w:rPr>
          <w:rFonts w:eastAsia="Times New Roman"/>
          <w:szCs w:val="24"/>
          <w:lang w:eastAsia="tr-TR"/>
        </w:rPr>
      </w:pPr>
    </w:p>
    <w:p w:rsidR="00A40077" w:rsidRDefault="00A40077" w:rsidP="00A40077">
      <w:pPr>
        <w:rPr>
          <w:rFonts w:eastAsia="Times New Roman"/>
          <w:szCs w:val="24"/>
          <w:lang w:eastAsia="tr-TR"/>
        </w:rPr>
      </w:pPr>
      <w:r w:rsidRPr="008F6761">
        <w:rPr>
          <w:rFonts w:eastAsia="Times New Roman"/>
          <w:szCs w:val="24"/>
          <w:lang w:eastAsia="tr-TR"/>
        </w:rPr>
        <w:t>Hücreler 96 kuyucuklu plakalara her bir kuyucukta glukoz içermeyen DMEM vasatı içerisinde 5x10</w:t>
      </w:r>
      <w:r w:rsidRPr="00784EDC">
        <w:rPr>
          <w:rFonts w:eastAsia="Times New Roman"/>
          <w:szCs w:val="24"/>
          <w:vertAlign w:val="superscript"/>
          <w:lang w:eastAsia="tr-TR"/>
        </w:rPr>
        <w:t>3</w:t>
      </w:r>
      <w:r w:rsidRPr="008F6761">
        <w:rPr>
          <w:rFonts w:eastAsia="Times New Roman"/>
          <w:szCs w:val="24"/>
          <w:lang w:eastAsia="tr-TR"/>
        </w:rPr>
        <w:t xml:space="preserve"> hücre olacak şekilde ekildi ve yapışması için 24 saat boyunca 37 °C %5’lik C0</w:t>
      </w:r>
      <w:r w:rsidRPr="00784EDC">
        <w:rPr>
          <w:rFonts w:eastAsia="Times New Roman"/>
          <w:szCs w:val="24"/>
          <w:vertAlign w:val="subscript"/>
          <w:lang w:eastAsia="tr-TR"/>
        </w:rPr>
        <w:t>2</w:t>
      </w:r>
      <w:r w:rsidRPr="008F6761">
        <w:rPr>
          <w:rFonts w:eastAsia="Times New Roman"/>
          <w:szCs w:val="24"/>
          <w:lang w:eastAsia="tr-TR"/>
        </w:rPr>
        <w:t xml:space="preserve"> içeren etüvde inkübe edildi. Hem normoksi hem de hipoksi koşulları için hazırlanan hücreler farklı glukoz konsantrasyonları (0, </w:t>
      </w:r>
      <w:proofErr w:type="gramStart"/>
      <w:r w:rsidRPr="008F6761">
        <w:rPr>
          <w:rFonts w:eastAsia="Times New Roman"/>
          <w:szCs w:val="24"/>
          <w:lang w:eastAsia="tr-TR"/>
        </w:rPr>
        <w:t>5.5</w:t>
      </w:r>
      <w:proofErr w:type="gramEnd"/>
      <w:r w:rsidRPr="008F6761">
        <w:rPr>
          <w:rFonts w:eastAsia="Times New Roman"/>
          <w:szCs w:val="24"/>
          <w:lang w:eastAsia="tr-TR"/>
        </w:rPr>
        <w:t>, 15 ve 55 mM) ile 3, 6, 12, 24 ve 48 saat muamele edildi</w:t>
      </w:r>
      <w:r w:rsidR="00784EDC">
        <w:rPr>
          <w:rFonts w:eastAsia="Times New Roman"/>
          <w:szCs w:val="24"/>
          <w:lang w:eastAsia="tr-TR"/>
        </w:rPr>
        <w:t>. İ</w:t>
      </w:r>
      <w:r w:rsidRPr="008F6761">
        <w:rPr>
          <w:rFonts w:eastAsia="Times New Roman"/>
          <w:szCs w:val="24"/>
          <w:lang w:eastAsia="tr-TR"/>
        </w:rPr>
        <w:t>nkübasyon süreleri sonunda</w:t>
      </w:r>
      <w:r>
        <w:rPr>
          <w:rFonts w:eastAsia="Times New Roman"/>
          <w:szCs w:val="24"/>
          <w:lang w:eastAsia="tr-TR"/>
        </w:rPr>
        <w:t xml:space="preserve"> her bir kuyucuğa üzerlerindeki vasat uzaklaştırılarak %10’luk 100 µL WST-1 solüsyonu ilave edildi. Plakalar 3 saat boyunca 37 °C %5’lik C0</w:t>
      </w:r>
      <w:r w:rsidRPr="006A1F7F">
        <w:rPr>
          <w:rFonts w:eastAsia="Times New Roman"/>
          <w:szCs w:val="24"/>
          <w:vertAlign w:val="subscript"/>
          <w:lang w:eastAsia="tr-TR"/>
        </w:rPr>
        <w:t>2</w:t>
      </w:r>
      <w:r>
        <w:rPr>
          <w:rFonts w:eastAsia="Times New Roman"/>
          <w:szCs w:val="24"/>
          <w:lang w:eastAsia="tr-TR"/>
        </w:rPr>
        <w:t xml:space="preserve"> içeren etüvde inkübe edildi. İnkübasyon süresi sonunda plakaların ELISA okuyucu ile 450 nm’de ölçümü yapıldı. </w:t>
      </w:r>
    </w:p>
    <w:p w:rsidR="00A40077" w:rsidRDefault="00A40077" w:rsidP="00A40077">
      <w:pPr>
        <w:rPr>
          <w:rFonts w:eastAsia="Times New Roman"/>
          <w:szCs w:val="24"/>
          <w:lang w:eastAsia="tr-TR"/>
        </w:rPr>
      </w:pPr>
      <w:r>
        <w:rPr>
          <w:rFonts w:eastAsia="Times New Roman"/>
          <w:szCs w:val="24"/>
          <w:lang w:eastAsia="tr-TR"/>
        </w:rPr>
        <w:lastRenderedPageBreak/>
        <w:t>Hesaplamalarda % canlılık değerini bulmak için aşağıdaki formül kullanıldı:</w:t>
      </w:r>
    </w:p>
    <w:p w:rsidR="00A40077" w:rsidRDefault="00A40077" w:rsidP="00A40077">
      <w:pPr>
        <w:rPr>
          <w:rFonts w:eastAsia="Times New Roman"/>
          <w:szCs w:val="24"/>
          <w:lang w:eastAsia="tr-TR"/>
        </w:rPr>
      </w:pPr>
      <w:r>
        <w:rPr>
          <w:rFonts w:eastAsia="Times New Roman"/>
          <w:szCs w:val="24"/>
          <w:lang w:eastAsia="tr-TR"/>
        </w:rPr>
        <w:t>% canlılık= (T/K)x100</w:t>
      </w:r>
    </w:p>
    <w:p w:rsidR="00A40077" w:rsidRDefault="00A40077" w:rsidP="00A40077">
      <w:pPr>
        <w:rPr>
          <w:rFonts w:eastAsia="Times New Roman"/>
          <w:szCs w:val="24"/>
          <w:lang w:eastAsia="tr-TR"/>
        </w:rPr>
      </w:pPr>
      <w:r>
        <w:rPr>
          <w:rFonts w:eastAsia="Times New Roman"/>
          <w:szCs w:val="24"/>
          <w:lang w:eastAsia="tr-TR"/>
        </w:rPr>
        <w:t>K: Glukoz içermeyen (0 mM) DMEM uygulanan kuyucuktaki kontrol absorbansı</w:t>
      </w:r>
    </w:p>
    <w:p w:rsidR="00A40077" w:rsidRDefault="00A40077" w:rsidP="00A40077">
      <w:pPr>
        <w:rPr>
          <w:rFonts w:eastAsia="Times New Roman"/>
          <w:szCs w:val="24"/>
          <w:lang w:eastAsia="tr-TR"/>
        </w:rPr>
      </w:pPr>
      <w:r>
        <w:rPr>
          <w:rFonts w:eastAsia="Times New Roman"/>
          <w:szCs w:val="24"/>
          <w:lang w:eastAsia="tr-TR"/>
        </w:rPr>
        <w:t>T: Glukoz uygulanan (</w:t>
      </w:r>
      <w:proofErr w:type="gramStart"/>
      <w:r>
        <w:rPr>
          <w:rFonts w:eastAsia="Times New Roman"/>
          <w:szCs w:val="24"/>
          <w:lang w:eastAsia="tr-TR"/>
        </w:rPr>
        <w:t>5.5</w:t>
      </w:r>
      <w:proofErr w:type="gramEnd"/>
      <w:r>
        <w:rPr>
          <w:rFonts w:eastAsia="Times New Roman"/>
          <w:szCs w:val="24"/>
          <w:lang w:eastAsia="tr-TR"/>
        </w:rPr>
        <w:t xml:space="preserve">, 15, 20 ve 55 mM)kuyucuktaki test absorbansı </w:t>
      </w:r>
    </w:p>
    <w:p w:rsidR="00A40077" w:rsidRDefault="00A40077" w:rsidP="00A40077">
      <w:pPr>
        <w:rPr>
          <w:rFonts w:eastAsia="Times New Roman"/>
          <w:szCs w:val="24"/>
          <w:lang w:eastAsia="tr-TR"/>
        </w:rPr>
      </w:pPr>
    </w:p>
    <w:p w:rsidR="00A40077" w:rsidRDefault="00A40077" w:rsidP="00A40077">
      <w:pPr>
        <w:rPr>
          <w:rFonts w:eastAsia="Times New Roman"/>
          <w:szCs w:val="24"/>
          <w:lang w:eastAsia="tr-TR"/>
        </w:rPr>
      </w:pPr>
    </w:p>
    <w:p w:rsidR="00A40077" w:rsidRDefault="00A40077" w:rsidP="00A40077">
      <w:pPr>
        <w:pStyle w:val="Balk2"/>
        <w:rPr>
          <w:rFonts w:eastAsia="Times New Roman"/>
          <w:lang w:eastAsia="tr-TR"/>
        </w:rPr>
      </w:pPr>
      <w:r>
        <w:rPr>
          <w:rFonts w:eastAsia="Times New Roman"/>
          <w:lang w:eastAsia="tr-TR"/>
        </w:rPr>
        <w:t>3.4</w:t>
      </w:r>
      <w:r w:rsidR="00861AA3">
        <w:rPr>
          <w:rFonts w:eastAsia="Times New Roman"/>
          <w:lang w:eastAsia="tr-TR"/>
        </w:rPr>
        <w:t>.</w:t>
      </w:r>
      <w:r>
        <w:rPr>
          <w:rFonts w:eastAsia="Times New Roman"/>
          <w:lang w:eastAsia="tr-TR"/>
        </w:rPr>
        <w:t xml:space="preserve"> Glikolitik Enzimlerin ELISA (Enzyme-linked immunosorbent assay) ile Tayini</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Pr>
          <w:rFonts w:eastAsia="Times New Roman"/>
          <w:b/>
          <w:szCs w:val="24"/>
          <w:lang w:eastAsia="tr-TR"/>
        </w:rPr>
        <w:t xml:space="preserve"> </w:t>
      </w:r>
      <w:r>
        <w:rPr>
          <w:rFonts w:eastAsia="Times New Roman"/>
          <w:szCs w:val="24"/>
          <w:lang w:eastAsia="tr-TR"/>
        </w:rPr>
        <w:t xml:space="preserve">Çalışmada sandviç ELISA yöntemi kullanıldı. Sandviç ELISA yöntemi </w:t>
      </w:r>
      <w:proofErr w:type="gramStart"/>
      <w:r>
        <w:rPr>
          <w:rFonts w:eastAsia="Times New Roman"/>
          <w:szCs w:val="24"/>
          <w:lang w:eastAsia="tr-TR"/>
        </w:rPr>
        <w:t>spesifik</w:t>
      </w:r>
      <w:proofErr w:type="gramEnd"/>
      <w:r>
        <w:rPr>
          <w:rFonts w:eastAsia="Times New Roman"/>
          <w:szCs w:val="24"/>
          <w:lang w:eastAsia="tr-TR"/>
        </w:rPr>
        <w:t xml:space="preserve"> antikorların antijen ile etkileşmesi ve oluşan bu antijen-antikor kompleksinin enzim işaretli antikor ile bağlanarak enzim aktivasyonunun ölç</w:t>
      </w:r>
      <w:r w:rsidR="0088250B">
        <w:rPr>
          <w:rFonts w:eastAsia="Times New Roman"/>
          <w:szCs w:val="24"/>
          <w:lang w:eastAsia="tr-TR"/>
        </w:rPr>
        <w:t xml:space="preserve">ülmesi esasına dayanır (Resim </w:t>
      </w:r>
      <w:r>
        <w:rPr>
          <w:rFonts w:eastAsia="Times New Roman"/>
          <w:szCs w:val="24"/>
          <w:lang w:eastAsia="tr-TR"/>
        </w:rPr>
        <w:t xml:space="preserve">5). Renkli ürün oluşumu işaretsiz ligandın </w:t>
      </w:r>
      <w:proofErr w:type="gramStart"/>
      <w:r>
        <w:rPr>
          <w:rFonts w:eastAsia="Times New Roman"/>
          <w:szCs w:val="24"/>
          <w:lang w:eastAsia="tr-TR"/>
        </w:rPr>
        <w:t>konsantrasyonu</w:t>
      </w:r>
      <w:proofErr w:type="gramEnd"/>
      <w:r>
        <w:rPr>
          <w:rFonts w:eastAsia="Times New Roman"/>
          <w:szCs w:val="24"/>
          <w:lang w:eastAsia="tr-TR"/>
        </w:rPr>
        <w:t xml:space="preserve"> ile doğru orantılıdır.</w:t>
      </w:r>
    </w:p>
    <w:p w:rsidR="00DA7323" w:rsidRDefault="00DA7323" w:rsidP="00DA7323">
      <w:pPr>
        <w:rPr>
          <w:rFonts w:eastAsia="Times New Roman"/>
          <w:szCs w:val="24"/>
          <w:lang w:eastAsia="tr-TR"/>
        </w:rPr>
      </w:pPr>
    </w:p>
    <w:p w:rsidR="00A40077" w:rsidRDefault="00A40077" w:rsidP="00DA7323">
      <w:pPr>
        <w:jc w:val="center"/>
        <w:rPr>
          <w:rFonts w:eastAsia="Times New Roman"/>
          <w:szCs w:val="24"/>
          <w:lang w:eastAsia="tr-TR"/>
        </w:rPr>
      </w:pPr>
      <w:r>
        <w:rPr>
          <w:rFonts w:eastAsia="Times New Roman"/>
          <w:noProof/>
          <w:szCs w:val="24"/>
          <w:lang w:eastAsia="tr-TR"/>
        </w:rPr>
        <w:drawing>
          <wp:inline distT="0" distB="0" distL="0" distR="0">
            <wp:extent cx="4762800" cy="2700000"/>
            <wp:effectExtent l="0" t="0" r="0" b="0"/>
            <wp:docPr id="47"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762800" cy="2700000"/>
                    </a:xfrm>
                    <a:prstGeom prst="rect">
                      <a:avLst/>
                    </a:prstGeom>
                    <a:noFill/>
                    <a:ln w="9525">
                      <a:noFill/>
                      <a:miter lim="800000"/>
                      <a:headEnd/>
                      <a:tailEnd/>
                    </a:ln>
                  </pic:spPr>
                </pic:pic>
              </a:graphicData>
            </a:graphic>
          </wp:inline>
        </w:drawing>
      </w:r>
    </w:p>
    <w:p w:rsidR="00A40077" w:rsidRDefault="0088250B" w:rsidP="00A40077">
      <w:pPr>
        <w:jc w:val="center"/>
        <w:rPr>
          <w:rFonts w:eastAsia="Times New Roman"/>
          <w:szCs w:val="24"/>
          <w:lang w:eastAsia="tr-TR"/>
        </w:rPr>
      </w:pPr>
      <w:r>
        <w:rPr>
          <w:rFonts w:eastAsia="Times New Roman"/>
          <w:b/>
          <w:szCs w:val="24"/>
          <w:lang w:eastAsia="tr-TR"/>
        </w:rPr>
        <w:t xml:space="preserve">Resim </w:t>
      </w:r>
      <w:r w:rsidR="00A40077" w:rsidRPr="00A40077">
        <w:rPr>
          <w:rFonts w:eastAsia="Times New Roman"/>
          <w:b/>
          <w:szCs w:val="24"/>
          <w:lang w:eastAsia="tr-TR"/>
        </w:rPr>
        <w:t>5.</w:t>
      </w:r>
      <w:r w:rsidR="00C52D88">
        <w:rPr>
          <w:rFonts w:eastAsia="Times New Roman"/>
          <w:szCs w:val="24"/>
          <w:lang w:eastAsia="tr-TR"/>
        </w:rPr>
        <w:t xml:space="preserve"> Sandviç ELISA y</w:t>
      </w:r>
      <w:r w:rsidR="00A40077">
        <w:rPr>
          <w:rFonts w:eastAsia="Times New Roman"/>
          <w:szCs w:val="24"/>
          <w:lang w:eastAsia="tr-TR"/>
        </w:rPr>
        <w:t xml:space="preserve">öntemi. </w:t>
      </w:r>
      <w:r w:rsidR="00A40077" w:rsidRPr="001B75C9">
        <w:rPr>
          <w:rFonts w:eastAsia="Times New Roman"/>
          <w:szCs w:val="24"/>
          <w:lang w:eastAsia="tr-TR"/>
        </w:rPr>
        <w:t>ELISA metoduna göre; 1. Örneğin kuyucuklara yüklenmesi, 2. Örneğin plate tabanındaki antikora bağlanması, 3. Biyotinin eklenmesi ve örneğe bağlanması, 4. HRP konjugat eklenmesi, 5. Renk değişiminin gözlendiğinde s</w:t>
      </w:r>
      <w:r w:rsidR="00A40077">
        <w:rPr>
          <w:rFonts w:eastAsia="Times New Roman"/>
          <w:szCs w:val="24"/>
          <w:lang w:eastAsia="tr-TR"/>
        </w:rPr>
        <w:t>onlandırıcı</w:t>
      </w:r>
      <w:r w:rsidR="00A40077" w:rsidRPr="001B75C9">
        <w:rPr>
          <w:rFonts w:eastAsia="Times New Roman"/>
          <w:szCs w:val="24"/>
          <w:lang w:eastAsia="tr-TR"/>
        </w:rPr>
        <w:t xml:space="preserve"> solüsyo</w:t>
      </w:r>
      <w:r w:rsidR="00A40077">
        <w:rPr>
          <w:rFonts w:eastAsia="Times New Roman"/>
          <w:szCs w:val="24"/>
          <w:lang w:eastAsia="tr-TR"/>
        </w:rPr>
        <w:t>nla</w:t>
      </w:r>
      <w:r w:rsidR="00A40077" w:rsidRPr="001B75C9">
        <w:rPr>
          <w:rFonts w:eastAsia="Times New Roman"/>
          <w:szCs w:val="24"/>
          <w:lang w:eastAsia="tr-TR"/>
        </w:rPr>
        <w:t xml:space="preserve"> reaksiyonun durdurulması.</w:t>
      </w:r>
    </w:p>
    <w:p w:rsidR="00DA7323" w:rsidRDefault="00DA7323" w:rsidP="00A40077">
      <w:pPr>
        <w:jc w:val="center"/>
        <w:rPr>
          <w:rFonts w:eastAsia="Times New Roman"/>
          <w:szCs w:val="24"/>
          <w:lang w:eastAsia="tr-TR"/>
        </w:rPr>
      </w:pPr>
    </w:p>
    <w:p w:rsidR="00A40077" w:rsidRDefault="00A40077" w:rsidP="00A40077">
      <w:pPr>
        <w:rPr>
          <w:rFonts w:eastAsia="Times New Roman"/>
          <w:szCs w:val="24"/>
          <w:lang w:eastAsia="tr-TR"/>
        </w:rPr>
      </w:pPr>
      <w:r>
        <w:rPr>
          <w:rFonts w:eastAsia="Times New Roman"/>
          <w:szCs w:val="24"/>
          <w:lang w:eastAsia="tr-TR"/>
        </w:rPr>
        <w:t xml:space="preserve">Hazırlanan hücre lizatlarında insan hekzokinaz-2 (HK2, Elabscience, </w:t>
      </w:r>
      <w:r w:rsidRPr="0032584B">
        <w:rPr>
          <w:rFonts w:eastAsia="Times New Roman"/>
          <w:szCs w:val="24"/>
          <w:lang w:eastAsia="tr-TR"/>
        </w:rPr>
        <w:t>E-EL-H1915</w:t>
      </w:r>
      <w:r>
        <w:rPr>
          <w:rFonts w:eastAsia="Times New Roman"/>
          <w:szCs w:val="24"/>
          <w:lang w:eastAsia="tr-TR"/>
        </w:rPr>
        <w:t>), fosfofruktokinaz P (PFKP, Elabscience, E-EL-H2210), glukoz-6-fosfat dehidrejenaz (GAPDH, Elabscience, E-EL-H1816), piruvat kinaz (PKM2, Elabscience, E-EL-H1089) ve laktat dehidro</w:t>
      </w:r>
      <w:r w:rsidR="00095114">
        <w:rPr>
          <w:rFonts w:eastAsia="Times New Roman"/>
          <w:szCs w:val="24"/>
          <w:lang w:eastAsia="tr-TR"/>
        </w:rPr>
        <w:t>g</w:t>
      </w:r>
      <w:r>
        <w:rPr>
          <w:rFonts w:eastAsia="Times New Roman"/>
          <w:szCs w:val="24"/>
          <w:lang w:eastAsia="tr-TR"/>
        </w:rPr>
        <w:t>enaz A (LDHA, Elabscience, E-EL-H0556) enzimleri ELISA kiti ile analiz edildi.</w:t>
      </w:r>
    </w:p>
    <w:p w:rsidR="00A40077" w:rsidRDefault="00A40077" w:rsidP="00A40077">
      <w:pPr>
        <w:rPr>
          <w:rFonts w:eastAsia="Times New Roman"/>
          <w:b/>
          <w:szCs w:val="24"/>
          <w:lang w:eastAsia="tr-TR"/>
        </w:rPr>
      </w:pPr>
      <w:r w:rsidRPr="00D03F2E">
        <w:rPr>
          <w:rFonts w:eastAsia="Times New Roman"/>
          <w:b/>
          <w:szCs w:val="24"/>
          <w:lang w:eastAsia="tr-TR"/>
        </w:rPr>
        <w:lastRenderedPageBreak/>
        <w:t>Hücre lizatlarının hazırlanışı:</w:t>
      </w:r>
    </w:p>
    <w:p w:rsidR="00A40077" w:rsidRDefault="00A40077" w:rsidP="00A40077">
      <w:pPr>
        <w:pStyle w:val="ListeParagraf"/>
        <w:numPr>
          <w:ilvl w:val="0"/>
          <w:numId w:val="15"/>
        </w:numPr>
        <w:spacing w:after="200"/>
        <w:rPr>
          <w:rFonts w:eastAsia="Times New Roman"/>
          <w:szCs w:val="24"/>
          <w:lang w:eastAsia="tr-TR"/>
        </w:rPr>
      </w:pPr>
      <w:r>
        <w:rPr>
          <w:rFonts w:eastAsia="Times New Roman"/>
          <w:szCs w:val="24"/>
          <w:lang w:eastAsia="tr-TR"/>
        </w:rPr>
        <w:t xml:space="preserve">Glukoz ve hipoksi muamelesi yapılan hücrelerin 6, 12, 24 ve 48. inkübasyon süreleri sonunda diğer analizlerde kullanmak için üzerlerindeki medyum toplandı. Hücreler tripsin-EDTA ile kaldırılarak 1500 rpm’de 5 dakika </w:t>
      </w:r>
      <w:proofErr w:type="gramStart"/>
      <w:r>
        <w:rPr>
          <w:rFonts w:eastAsia="Times New Roman"/>
          <w:szCs w:val="24"/>
          <w:lang w:eastAsia="tr-TR"/>
        </w:rPr>
        <w:t>santrifüj</w:t>
      </w:r>
      <w:proofErr w:type="gramEnd"/>
      <w:r>
        <w:rPr>
          <w:rFonts w:eastAsia="Times New Roman"/>
          <w:szCs w:val="24"/>
          <w:lang w:eastAsia="tr-TR"/>
        </w:rPr>
        <w:t xml:space="preserve"> edildi.</w:t>
      </w:r>
    </w:p>
    <w:p w:rsidR="00A40077" w:rsidRDefault="00A40077" w:rsidP="00A40077">
      <w:pPr>
        <w:pStyle w:val="ListeParagraf"/>
        <w:numPr>
          <w:ilvl w:val="0"/>
          <w:numId w:val="15"/>
        </w:numPr>
        <w:spacing w:after="200"/>
        <w:rPr>
          <w:rFonts w:eastAsia="Times New Roman"/>
          <w:szCs w:val="24"/>
          <w:lang w:eastAsia="tr-TR"/>
        </w:rPr>
      </w:pPr>
      <w:r>
        <w:rPr>
          <w:rFonts w:eastAsia="Times New Roman"/>
          <w:szCs w:val="24"/>
          <w:lang w:eastAsia="tr-TR"/>
        </w:rPr>
        <w:t>Santrifüj sonrası süpernatantlar atılarak hücre pelletleri 2 mL PBS’de çözüldü ve sayım işlemleri yapıldı.</w:t>
      </w:r>
    </w:p>
    <w:p w:rsidR="00A40077" w:rsidRDefault="00A40077" w:rsidP="00A40077">
      <w:pPr>
        <w:pStyle w:val="ListeParagraf"/>
        <w:numPr>
          <w:ilvl w:val="0"/>
          <w:numId w:val="15"/>
        </w:numPr>
        <w:spacing w:after="200"/>
        <w:rPr>
          <w:rFonts w:eastAsia="Times New Roman"/>
          <w:szCs w:val="24"/>
          <w:lang w:eastAsia="tr-TR"/>
        </w:rPr>
      </w:pPr>
      <w:r>
        <w:rPr>
          <w:rFonts w:eastAsia="Times New Roman"/>
          <w:szCs w:val="24"/>
          <w:lang w:eastAsia="tr-TR"/>
        </w:rPr>
        <w:t>Hücreler 3000</w:t>
      </w:r>
      <w:r w:rsidR="0086358C">
        <w:rPr>
          <w:rFonts w:eastAsia="Times New Roman"/>
          <w:szCs w:val="24"/>
          <w:lang w:eastAsia="tr-TR"/>
        </w:rPr>
        <w:t xml:space="preserve"> </w:t>
      </w:r>
      <w:r>
        <w:rPr>
          <w:rFonts w:eastAsia="Times New Roman"/>
          <w:szCs w:val="24"/>
          <w:lang w:eastAsia="tr-TR"/>
        </w:rPr>
        <w:t xml:space="preserve">rpm’de 10 dakika </w:t>
      </w:r>
      <w:proofErr w:type="gramStart"/>
      <w:r>
        <w:rPr>
          <w:rFonts w:eastAsia="Times New Roman"/>
          <w:szCs w:val="24"/>
          <w:lang w:eastAsia="tr-TR"/>
        </w:rPr>
        <w:t>santrifüj</w:t>
      </w:r>
      <w:proofErr w:type="gramEnd"/>
      <w:r>
        <w:rPr>
          <w:rFonts w:eastAsia="Times New Roman"/>
          <w:szCs w:val="24"/>
          <w:lang w:eastAsia="tr-TR"/>
        </w:rPr>
        <w:t xml:space="preserve"> edildikten sonra süpernatantlar atıldı. Pelletler 250 </w:t>
      </w:r>
      <w:r>
        <w:rPr>
          <w:rFonts w:eastAsia="Times New Roman" w:cs="Times New Roman"/>
          <w:szCs w:val="24"/>
          <w:lang w:eastAsia="tr-TR"/>
        </w:rPr>
        <w:t>µ</w:t>
      </w:r>
      <w:r>
        <w:rPr>
          <w:rFonts w:eastAsia="Times New Roman"/>
          <w:szCs w:val="24"/>
          <w:lang w:eastAsia="tr-TR"/>
        </w:rPr>
        <w:t>L’de 10</w:t>
      </w:r>
      <w:r w:rsidRPr="0097498C">
        <w:rPr>
          <w:rFonts w:eastAsia="Times New Roman"/>
          <w:szCs w:val="24"/>
          <w:vertAlign w:val="superscript"/>
          <w:lang w:eastAsia="tr-TR"/>
        </w:rPr>
        <w:t>6</w:t>
      </w:r>
      <w:r>
        <w:rPr>
          <w:rFonts w:eastAsia="Times New Roman"/>
          <w:szCs w:val="24"/>
          <w:lang w:eastAsia="tr-TR"/>
        </w:rPr>
        <w:t xml:space="preserve"> hücre olacak şekilde yapılan hesaplamaya uygun miktarlarda soğuk PBS ile çözüldü ve 2 mL’lik ependorflara alındı.</w:t>
      </w:r>
    </w:p>
    <w:p w:rsidR="00A40077" w:rsidRDefault="00A40077" w:rsidP="00A40077">
      <w:pPr>
        <w:pStyle w:val="ListeParagraf"/>
        <w:numPr>
          <w:ilvl w:val="0"/>
          <w:numId w:val="15"/>
        </w:numPr>
        <w:spacing w:after="200"/>
        <w:rPr>
          <w:rFonts w:eastAsia="Times New Roman"/>
          <w:szCs w:val="24"/>
          <w:lang w:eastAsia="tr-TR"/>
        </w:rPr>
      </w:pPr>
      <w:r>
        <w:rPr>
          <w:rFonts w:eastAsia="Times New Roman"/>
          <w:szCs w:val="24"/>
          <w:lang w:eastAsia="tr-TR"/>
        </w:rPr>
        <w:t xml:space="preserve">Hücreleri lizis etmek amacıyla sıvı azotta dondur-çöz işlemi uygulandı. Sıvı azotta yaklaşık 2 dakika ve arkasından 37 </w:t>
      </w:r>
      <w:r>
        <w:rPr>
          <w:rFonts w:eastAsia="Times New Roman" w:cs="Times New Roman"/>
          <w:szCs w:val="24"/>
          <w:lang w:eastAsia="tr-TR"/>
        </w:rPr>
        <w:t>°</w:t>
      </w:r>
      <w:r>
        <w:rPr>
          <w:rFonts w:eastAsia="Times New Roman"/>
          <w:szCs w:val="24"/>
          <w:lang w:eastAsia="tr-TR"/>
        </w:rPr>
        <w:t>C’lik su banyosunda yaklaşık 5 dakika olmak üzere 6-7 kez hızlı dondur-çöz işlemi uygulanarak lizis işlemi gerçekleştirildi.</w:t>
      </w:r>
    </w:p>
    <w:p w:rsidR="00A40077" w:rsidRDefault="00A40077" w:rsidP="00A40077">
      <w:pPr>
        <w:pStyle w:val="ListeParagraf"/>
        <w:numPr>
          <w:ilvl w:val="0"/>
          <w:numId w:val="15"/>
        </w:numPr>
        <w:spacing w:after="200"/>
        <w:rPr>
          <w:rFonts w:eastAsia="Times New Roman"/>
          <w:szCs w:val="24"/>
          <w:lang w:eastAsia="tr-TR"/>
        </w:rPr>
      </w:pPr>
      <w:r>
        <w:rPr>
          <w:rFonts w:eastAsia="Times New Roman"/>
          <w:szCs w:val="24"/>
          <w:lang w:eastAsia="tr-TR"/>
        </w:rPr>
        <w:t>Lizis tamamlanınca 10,000</w:t>
      </w:r>
      <w:r w:rsidR="0086358C">
        <w:rPr>
          <w:rFonts w:eastAsia="Times New Roman"/>
          <w:szCs w:val="24"/>
          <w:lang w:eastAsia="tr-TR"/>
        </w:rPr>
        <w:t xml:space="preserve"> </w:t>
      </w:r>
      <w:r>
        <w:rPr>
          <w:rFonts w:eastAsia="Times New Roman"/>
          <w:szCs w:val="24"/>
          <w:lang w:eastAsia="tr-TR"/>
        </w:rPr>
        <w:t xml:space="preserve">rpm’de 5 dakika </w:t>
      </w:r>
      <w:proofErr w:type="gramStart"/>
      <w:r>
        <w:rPr>
          <w:rFonts w:eastAsia="Times New Roman"/>
          <w:szCs w:val="24"/>
          <w:lang w:eastAsia="tr-TR"/>
        </w:rPr>
        <w:t>santrifüj</w:t>
      </w:r>
      <w:proofErr w:type="gramEnd"/>
      <w:r>
        <w:rPr>
          <w:rFonts w:eastAsia="Times New Roman"/>
          <w:szCs w:val="24"/>
          <w:lang w:eastAsia="tr-TR"/>
        </w:rPr>
        <w:t xml:space="preserve"> işlemi uygulandı.</w:t>
      </w:r>
    </w:p>
    <w:p w:rsidR="00A40077" w:rsidRPr="00132F0B" w:rsidRDefault="00A40077" w:rsidP="00A40077">
      <w:pPr>
        <w:pStyle w:val="ListeParagraf"/>
        <w:numPr>
          <w:ilvl w:val="0"/>
          <w:numId w:val="15"/>
        </w:numPr>
        <w:spacing w:after="200"/>
        <w:rPr>
          <w:rFonts w:eastAsia="Times New Roman"/>
          <w:szCs w:val="24"/>
          <w:lang w:eastAsia="tr-TR"/>
        </w:rPr>
      </w:pPr>
      <w:r>
        <w:rPr>
          <w:rFonts w:eastAsia="Times New Roman"/>
          <w:szCs w:val="24"/>
          <w:lang w:eastAsia="tr-TR"/>
        </w:rPr>
        <w:t xml:space="preserve">Süpernatantlar 5 ayrı ELISA analizi için daha önceden etiketlenen </w:t>
      </w:r>
      <w:proofErr w:type="gramStart"/>
      <w:r>
        <w:rPr>
          <w:rFonts w:eastAsia="Times New Roman"/>
          <w:szCs w:val="24"/>
          <w:lang w:eastAsia="tr-TR"/>
        </w:rPr>
        <w:t>0.5</w:t>
      </w:r>
      <w:proofErr w:type="gramEnd"/>
      <w:r>
        <w:rPr>
          <w:rFonts w:eastAsia="Times New Roman"/>
          <w:szCs w:val="24"/>
          <w:lang w:eastAsia="tr-TR"/>
        </w:rPr>
        <w:t xml:space="preserve"> mL’lik ependorflara 120’şer </w:t>
      </w:r>
      <w:r>
        <w:rPr>
          <w:rFonts w:eastAsia="Times New Roman" w:cs="Times New Roman"/>
          <w:szCs w:val="24"/>
          <w:lang w:eastAsia="tr-TR"/>
        </w:rPr>
        <w:t>µ</w:t>
      </w:r>
      <w:r>
        <w:rPr>
          <w:rFonts w:eastAsia="Times New Roman"/>
          <w:szCs w:val="24"/>
          <w:lang w:eastAsia="tr-TR"/>
        </w:rPr>
        <w:t>L paylaştırıldı.</w:t>
      </w:r>
    </w:p>
    <w:p w:rsidR="00A40077" w:rsidRDefault="00A40077" w:rsidP="00A40077">
      <w:pPr>
        <w:rPr>
          <w:rFonts w:eastAsia="Times New Roman"/>
          <w:szCs w:val="24"/>
          <w:lang w:eastAsia="tr-TR"/>
        </w:rPr>
      </w:pPr>
      <w:r w:rsidRPr="00A00C9D">
        <w:rPr>
          <w:rFonts w:eastAsia="Times New Roman"/>
          <w:b/>
          <w:szCs w:val="24"/>
          <w:lang w:eastAsia="tr-TR"/>
        </w:rPr>
        <w:t>ELISA Yöntemi Deney Aşaması:</w:t>
      </w:r>
    </w:p>
    <w:p w:rsidR="00A40077" w:rsidRDefault="00A40077" w:rsidP="00A40077">
      <w:pPr>
        <w:pStyle w:val="ListeParagraf"/>
        <w:numPr>
          <w:ilvl w:val="0"/>
          <w:numId w:val="16"/>
        </w:numPr>
        <w:spacing w:after="200"/>
        <w:rPr>
          <w:rFonts w:eastAsia="Times New Roman"/>
          <w:szCs w:val="24"/>
          <w:lang w:eastAsia="tr-TR"/>
        </w:rPr>
      </w:pPr>
      <w:r>
        <w:rPr>
          <w:rFonts w:eastAsia="Times New Roman"/>
          <w:szCs w:val="24"/>
          <w:lang w:eastAsia="tr-TR"/>
        </w:rPr>
        <w:t xml:space="preserve">Çalışma öncesi örnekler oda sıcaklığına getirildi ve standartlar kit </w:t>
      </w:r>
      <w:proofErr w:type="gramStart"/>
      <w:r>
        <w:rPr>
          <w:rFonts w:eastAsia="Times New Roman"/>
          <w:szCs w:val="24"/>
          <w:lang w:eastAsia="tr-TR"/>
        </w:rPr>
        <w:t>prosedürüne</w:t>
      </w:r>
      <w:proofErr w:type="gramEnd"/>
      <w:r>
        <w:rPr>
          <w:rFonts w:eastAsia="Times New Roman"/>
          <w:szCs w:val="24"/>
          <w:lang w:eastAsia="tr-TR"/>
        </w:rPr>
        <w:t xml:space="preserve"> uygun </w:t>
      </w:r>
      <w:r w:rsidR="0088250B">
        <w:rPr>
          <w:rFonts w:eastAsia="Times New Roman"/>
          <w:szCs w:val="24"/>
          <w:lang w:eastAsia="tr-TR"/>
        </w:rPr>
        <w:t xml:space="preserve">bir biçimde hazırlandı (Resim </w:t>
      </w:r>
      <w:r>
        <w:rPr>
          <w:rFonts w:eastAsia="Times New Roman"/>
          <w:szCs w:val="24"/>
          <w:lang w:eastAsia="tr-TR"/>
        </w:rPr>
        <w:t>6).</w:t>
      </w:r>
    </w:p>
    <w:p w:rsidR="00A40077" w:rsidRDefault="00A40077" w:rsidP="00A40077">
      <w:pPr>
        <w:pStyle w:val="ListeParagraf"/>
        <w:numPr>
          <w:ilvl w:val="0"/>
          <w:numId w:val="16"/>
        </w:numPr>
        <w:spacing w:after="200"/>
        <w:rPr>
          <w:rFonts w:eastAsia="Times New Roman"/>
          <w:szCs w:val="24"/>
          <w:lang w:eastAsia="tr-TR"/>
        </w:rPr>
      </w:pPr>
      <w:r>
        <w:rPr>
          <w:rFonts w:eastAsia="Times New Roman"/>
          <w:szCs w:val="24"/>
          <w:lang w:eastAsia="tr-TR"/>
        </w:rPr>
        <w:t xml:space="preserve">Mikroplate içindeki her bir kuyucuğa 100 </w:t>
      </w:r>
      <w:r>
        <w:rPr>
          <w:rFonts w:eastAsia="Times New Roman" w:cs="Times New Roman"/>
          <w:szCs w:val="24"/>
          <w:lang w:eastAsia="tr-TR"/>
        </w:rPr>
        <w:t>µ</w:t>
      </w:r>
      <w:r>
        <w:rPr>
          <w:rFonts w:eastAsia="Times New Roman"/>
          <w:szCs w:val="24"/>
          <w:lang w:eastAsia="tr-TR"/>
        </w:rPr>
        <w:t xml:space="preserve">L örnek ve standartlar sıra ile eklendi ve mikroplate üzeri yapışkan bir strip ile kapatıldı. Mikroplate 90 dakika 37 </w:t>
      </w:r>
      <w:r>
        <w:rPr>
          <w:rFonts w:eastAsia="Times New Roman" w:cs="Times New Roman"/>
          <w:szCs w:val="24"/>
          <w:lang w:eastAsia="tr-TR"/>
        </w:rPr>
        <w:t>°</w:t>
      </w:r>
      <w:r>
        <w:rPr>
          <w:rFonts w:eastAsia="Times New Roman"/>
          <w:szCs w:val="24"/>
          <w:lang w:eastAsia="tr-TR"/>
        </w:rPr>
        <w:t>C’de inkübe edildi.</w:t>
      </w:r>
    </w:p>
    <w:p w:rsidR="00A40077" w:rsidRDefault="00A40077" w:rsidP="00A40077">
      <w:pPr>
        <w:pStyle w:val="ListeParagraf"/>
        <w:numPr>
          <w:ilvl w:val="0"/>
          <w:numId w:val="16"/>
        </w:numPr>
        <w:spacing w:after="200"/>
        <w:rPr>
          <w:rFonts w:eastAsia="Times New Roman"/>
          <w:szCs w:val="24"/>
          <w:lang w:eastAsia="tr-TR"/>
        </w:rPr>
      </w:pPr>
      <w:r>
        <w:rPr>
          <w:rFonts w:eastAsia="Times New Roman"/>
          <w:szCs w:val="24"/>
          <w:lang w:eastAsia="tr-TR"/>
        </w:rPr>
        <w:t xml:space="preserve">İnkübasyon süresi sonunda kuyucukların içi boşaltılarak her bir kuyucuğa 100 </w:t>
      </w:r>
      <w:r>
        <w:rPr>
          <w:rFonts w:eastAsia="Times New Roman" w:cs="Times New Roman"/>
          <w:szCs w:val="24"/>
          <w:lang w:eastAsia="tr-TR"/>
        </w:rPr>
        <w:t>µ</w:t>
      </w:r>
      <w:r>
        <w:rPr>
          <w:rFonts w:eastAsia="Times New Roman"/>
          <w:szCs w:val="24"/>
          <w:lang w:eastAsia="tr-TR"/>
        </w:rPr>
        <w:t xml:space="preserve">L Biotinylated Detection Ab çalışma solüsyonundan eklendi ve yeni bir yapışkan strip ile mikroplate yüzeyi örtülerek 37 </w:t>
      </w:r>
      <w:r>
        <w:rPr>
          <w:rFonts w:eastAsia="Times New Roman" w:cs="Times New Roman"/>
          <w:szCs w:val="24"/>
          <w:lang w:eastAsia="tr-TR"/>
        </w:rPr>
        <w:t>°</w:t>
      </w:r>
      <w:r>
        <w:rPr>
          <w:rFonts w:eastAsia="Times New Roman"/>
          <w:szCs w:val="24"/>
          <w:lang w:eastAsia="tr-TR"/>
        </w:rPr>
        <w:t>C’de 1 saat inkübasyona bırakıldı.</w:t>
      </w:r>
    </w:p>
    <w:p w:rsidR="00A40077" w:rsidRDefault="00A40077" w:rsidP="00A40077">
      <w:pPr>
        <w:pStyle w:val="ListeParagraf"/>
        <w:numPr>
          <w:ilvl w:val="0"/>
          <w:numId w:val="16"/>
        </w:numPr>
        <w:spacing w:after="200"/>
        <w:rPr>
          <w:rFonts w:eastAsia="Times New Roman"/>
          <w:szCs w:val="24"/>
          <w:lang w:eastAsia="tr-TR"/>
        </w:rPr>
      </w:pPr>
      <w:r>
        <w:rPr>
          <w:rFonts w:eastAsia="Times New Roman"/>
          <w:szCs w:val="24"/>
          <w:lang w:eastAsia="tr-TR"/>
        </w:rPr>
        <w:t xml:space="preserve">Her bir kuyucuk tamamen boşaltılıp 350 </w:t>
      </w:r>
      <w:r>
        <w:rPr>
          <w:rFonts w:eastAsia="Times New Roman" w:cs="Times New Roman"/>
          <w:szCs w:val="24"/>
          <w:lang w:eastAsia="tr-TR"/>
        </w:rPr>
        <w:t>µ</w:t>
      </w:r>
      <w:r>
        <w:rPr>
          <w:rFonts w:eastAsia="Times New Roman"/>
          <w:szCs w:val="24"/>
          <w:lang w:eastAsia="tr-TR"/>
        </w:rPr>
        <w:t>L yıkama tamponu ile yıkandı. Bu işlem 3 kez tekrar edildi. mikroplate içerisinde hiç sıvı kalmamasına özen gösterildi.</w:t>
      </w:r>
    </w:p>
    <w:p w:rsidR="00A40077" w:rsidRDefault="00A40077" w:rsidP="00A40077">
      <w:pPr>
        <w:pStyle w:val="ListeParagraf"/>
        <w:numPr>
          <w:ilvl w:val="0"/>
          <w:numId w:val="16"/>
        </w:numPr>
        <w:spacing w:after="200"/>
        <w:rPr>
          <w:rFonts w:eastAsia="Times New Roman"/>
          <w:szCs w:val="24"/>
          <w:lang w:eastAsia="tr-TR"/>
        </w:rPr>
      </w:pPr>
      <w:r>
        <w:rPr>
          <w:rFonts w:eastAsia="Times New Roman"/>
          <w:szCs w:val="24"/>
          <w:lang w:eastAsia="tr-TR"/>
        </w:rPr>
        <w:t xml:space="preserve">Her bir kuyucuğa 100 </w:t>
      </w:r>
      <w:r>
        <w:rPr>
          <w:rFonts w:eastAsia="Times New Roman" w:cs="Times New Roman"/>
          <w:szCs w:val="24"/>
          <w:lang w:eastAsia="tr-TR"/>
        </w:rPr>
        <w:t>µ</w:t>
      </w:r>
      <w:r>
        <w:rPr>
          <w:rFonts w:eastAsia="Times New Roman"/>
          <w:szCs w:val="24"/>
          <w:lang w:eastAsia="tr-TR"/>
        </w:rPr>
        <w:t xml:space="preserve">L HRP Konjugat eklenerek mikroplate yüzeyi strip ile kapatılıp 30 dakika 37 </w:t>
      </w:r>
      <w:r>
        <w:rPr>
          <w:rFonts w:eastAsia="Times New Roman" w:cs="Times New Roman"/>
          <w:szCs w:val="24"/>
          <w:lang w:eastAsia="tr-TR"/>
        </w:rPr>
        <w:t>°</w:t>
      </w:r>
      <w:r>
        <w:rPr>
          <w:rFonts w:eastAsia="Times New Roman"/>
          <w:szCs w:val="24"/>
          <w:lang w:eastAsia="tr-TR"/>
        </w:rPr>
        <w:t>C’de inkübe edildi.</w:t>
      </w:r>
    </w:p>
    <w:p w:rsidR="00A40077" w:rsidRDefault="00A40077" w:rsidP="00A40077">
      <w:pPr>
        <w:pStyle w:val="ListeParagraf"/>
        <w:numPr>
          <w:ilvl w:val="0"/>
          <w:numId w:val="16"/>
        </w:numPr>
        <w:spacing w:after="200"/>
        <w:rPr>
          <w:rFonts w:eastAsia="Times New Roman"/>
          <w:szCs w:val="24"/>
          <w:lang w:eastAsia="tr-TR"/>
        </w:rPr>
      </w:pPr>
      <w:r>
        <w:rPr>
          <w:rFonts w:eastAsia="Times New Roman"/>
          <w:szCs w:val="24"/>
          <w:lang w:eastAsia="tr-TR"/>
        </w:rPr>
        <w:t>Yıkama işlemi (adım 4’teki gibi) 5 kez tekrar edildi.</w:t>
      </w:r>
    </w:p>
    <w:p w:rsidR="00A40077" w:rsidRDefault="00A40077" w:rsidP="00A40077">
      <w:pPr>
        <w:pStyle w:val="ListeParagraf"/>
        <w:numPr>
          <w:ilvl w:val="0"/>
          <w:numId w:val="16"/>
        </w:numPr>
        <w:spacing w:after="200"/>
        <w:rPr>
          <w:rFonts w:eastAsia="Times New Roman"/>
          <w:szCs w:val="24"/>
          <w:lang w:eastAsia="tr-TR"/>
        </w:rPr>
      </w:pPr>
      <w:r>
        <w:rPr>
          <w:rFonts w:eastAsia="Times New Roman"/>
          <w:szCs w:val="24"/>
          <w:lang w:eastAsia="tr-TR"/>
        </w:rPr>
        <w:t xml:space="preserve">Her bir kuyucuğa 90 </w:t>
      </w:r>
      <w:r>
        <w:rPr>
          <w:rFonts w:eastAsia="Times New Roman" w:cs="Times New Roman"/>
          <w:szCs w:val="24"/>
          <w:lang w:eastAsia="tr-TR"/>
        </w:rPr>
        <w:t>µ</w:t>
      </w:r>
      <w:r>
        <w:rPr>
          <w:rFonts w:eastAsia="Times New Roman"/>
          <w:szCs w:val="24"/>
          <w:lang w:eastAsia="tr-TR"/>
        </w:rPr>
        <w:t xml:space="preserve">L substrat çözeltisi eklenerek 37 </w:t>
      </w:r>
      <w:r>
        <w:rPr>
          <w:rFonts w:eastAsia="Times New Roman" w:cs="Times New Roman"/>
          <w:szCs w:val="24"/>
          <w:lang w:eastAsia="tr-TR"/>
        </w:rPr>
        <w:t>°</w:t>
      </w:r>
      <w:r>
        <w:rPr>
          <w:rFonts w:eastAsia="Times New Roman"/>
          <w:szCs w:val="24"/>
          <w:lang w:eastAsia="tr-TR"/>
        </w:rPr>
        <w:t>C’de karanlık ortamda 15 dakika bekletildi.</w:t>
      </w:r>
    </w:p>
    <w:p w:rsidR="00A40077" w:rsidRDefault="00A40077" w:rsidP="00A40077">
      <w:pPr>
        <w:pStyle w:val="ListeParagraf"/>
        <w:numPr>
          <w:ilvl w:val="0"/>
          <w:numId w:val="16"/>
        </w:numPr>
        <w:spacing w:after="200"/>
        <w:rPr>
          <w:rFonts w:eastAsia="Times New Roman"/>
          <w:szCs w:val="24"/>
          <w:lang w:eastAsia="tr-TR"/>
        </w:rPr>
      </w:pPr>
      <w:r>
        <w:rPr>
          <w:rFonts w:eastAsia="Times New Roman"/>
          <w:szCs w:val="24"/>
          <w:lang w:eastAsia="tr-TR"/>
        </w:rPr>
        <w:t xml:space="preserve">Her bir kuyucuğa 50 </w:t>
      </w:r>
      <w:r>
        <w:rPr>
          <w:rFonts w:eastAsia="Times New Roman" w:cs="Times New Roman"/>
          <w:szCs w:val="24"/>
          <w:lang w:eastAsia="tr-TR"/>
        </w:rPr>
        <w:t>µ</w:t>
      </w:r>
      <w:r>
        <w:rPr>
          <w:rFonts w:eastAsia="Times New Roman"/>
          <w:szCs w:val="24"/>
          <w:lang w:eastAsia="tr-TR"/>
        </w:rPr>
        <w:t>L sonlandırma solüsyonu eklenerek maviden sarıya renk değişimi gözlemlendi. 450 nm’de ölçüm yapıldı.</w:t>
      </w:r>
    </w:p>
    <w:p w:rsidR="00A40077" w:rsidRDefault="00A40077" w:rsidP="003A2F7A">
      <w:pPr>
        <w:pStyle w:val="AltKonuBal"/>
        <w:rPr>
          <w:lang w:eastAsia="tr-TR"/>
        </w:rPr>
      </w:pPr>
      <w:r>
        <w:rPr>
          <w:noProof/>
          <w:lang w:eastAsia="tr-TR"/>
        </w:rPr>
        <w:lastRenderedPageBreak/>
        <w:drawing>
          <wp:inline distT="0" distB="0" distL="0" distR="0">
            <wp:extent cx="5640618" cy="2124000"/>
            <wp:effectExtent l="19050" t="0" r="0" b="0"/>
            <wp:docPr id="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640618" cy="2124000"/>
                    </a:xfrm>
                    <a:prstGeom prst="rect">
                      <a:avLst/>
                    </a:prstGeom>
                    <a:noFill/>
                    <a:ln w="9525">
                      <a:noFill/>
                      <a:miter lim="800000"/>
                      <a:headEnd/>
                      <a:tailEnd/>
                    </a:ln>
                  </pic:spPr>
                </pic:pic>
              </a:graphicData>
            </a:graphic>
          </wp:inline>
        </w:drawing>
      </w:r>
    </w:p>
    <w:p w:rsidR="00A40077" w:rsidRDefault="0088250B" w:rsidP="00A40077">
      <w:pPr>
        <w:jc w:val="center"/>
        <w:rPr>
          <w:rFonts w:eastAsia="Times New Roman"/>
          <w:szCs w:val="24"/>
          <w:lang w:eastAsia="tr-TR"/>
        </w:rPr>
      </w:pPr>
      <w:r>
        <w:rPr>
          <w:rFonts w:eastAsia="Times New Roman"/>
          <w:b/>
          <w:szCs w:val="24"/>
          <w:lang w:eastAsia="tr-TR"/>
        </w:rPr>
        <w:t xml:space="preserve">Resim </w:t>
      </w:r>
      <w:r w:rsidR="00A40077" w:rsidRPr="00A40077">
        <w:rPr>
          <w:rFonts w:eastAsia="Times New Roman"/>
          <w:b/>
          <w:szCs w:val="24"/>
          <w:lang w:eastAsia="tr-TR"/>
        </w:rPr>
        <w:t>6.</w:t>
      </w:r>
      <w:r w:rsidR="00A40077">
        <w:rPr>
          <w:rFonts w:eastAsia="Times New Roman"/>
          <w:szCs w:val="24"/>
          <w:lang w:eastAsia="tr-TR"/>
        </w:rPr>
        <w:t xml:space="preserve"> </w:t>
      </w:r>
      <w:r w:rsidR="00A40077" w:rsidRPr="00030D42">
        <w:rPr>
          <w:rFonts w:eastAsia="Times New Roman"/>
          <w:szCs w:val="24"/>
          <w:lang w:eastAsia="tr-TR"/>
        </w:rPr>
        <w:t>Stok solüsyonunun dilüsyonu</w:t>
      </w:r>
      <w:r w:rsidR="00B02C28">
        <w:rPr>
          <w:rFonts w:eastAsia="Times New Roman"/>
          <w:szCs w:val="24"/>
          <w:lang w:eastAsia="tr-TR"/>
        </w:rPr>
        <w:t>.</w:t>
      </w:r>
    </w:p>
    <w:p w:rsidR="00A40077" w:rsidRDefault="00A40077" w:rsidP="00A40077">
      <w:pPr>
        <w:jc w:val="center"/>
        <w:rPr>
          <w:rFonts w:eastAsia="Times New Roman"/>
          <w:szCs w:val="24"/>
          <w:lang w:eastAsia="tr-TR"/>
        </w:rPr>
      </w:pPr>
    </w:p>
    <w:p w:rsidR="003A2F7A" w:rsidRPr="00030D42" w:rsidRDefault="003A2F7A" w:rsidP="00A40077">
      <w:pPr>
        <w:jc w:val="center"/>
        <w:rPr>
          <w:rFonts w:eastAsia="Times New Roman"/>
          <w:szCs w:val="24"/>
          <w:lang w:eastAsia="tr-TR"/>
        </w:rPr>
      </w:pPr>
    </w:p>
    <w:p w:rsidR="00A40077" w:rsidRDefault="00A40077" w:rsidP="003A2F7A">
      <w:pPr>
        <w:pStyle w:val="Balk2"/>
        <w:rPr>
          <w:rFonts w:eastAsia="Times New Roman"/>
          <w:lang w:eastAsia="tr-TR"/>
        </w:rPr>
      </w:pPr>
      <w:r w:rsidRPr="00132F0B">
        <w:rPr>
          <w:rFonts w:eastAsia="Times New Roman"/>
          <w:lang w:eastAsia="tr-TR"/>
        </w:rPr>
        <w:t>3.5</w:t>
      </w:r>
      <w:r w:rsidR="00861AA3">
        <w:rPr>
          <w:rFonts w:eastAsia="Times New Roman"/>
          <w:lang w:eastAsia="tr-TR"/>
        </w:rPr>
        <w:t>.</w:t>
      </w:r>
      <w:r w:rsidRPr="00132F0B">
        <w:rPr>
          <w:rFonts w:eastAsia="Times New Roman"/>
          <w:lang w:eastAsia="tr-TR"/>
        </w:rPr>
        <w:t xml:space="preserve"> </w:t>
      </w:r>
      <w:r>
        <w:rPr>
          <w:rFonts w:eastAsia="Times New Roman"/>
          <w:lang w:eastAsia="tr-TR"/>
        </w:rPr>
        <w:t>K</w:t>
      </w:r>
      <w:r w:rsidR="00C222B1">
        <w:rPr>
          <w:rFonts w:eastAsia="Times New Roman"/>
          <w:lang w:eastAsia="tr-TR"/>
        </w:rPr>
        <w:t>o</w:t>
      </w:r>
      <w:r>
        <w:rPr>
          <w:rFonts w:eastAsia="Times New Roman"/>
          <w:lang w:eastAsia="tr-TR"/>
        </w:rPr>
        <w:t>lorimetrik Ölçümler</w:t>
      </w:r>
    </w:p>
    <w:p w:rsidR="00A40077" w:rsidRDefault="00A40077" w:rsidP="00A40077">
      <w:pPr>
        <w:rPr>
          <w:rFonts w:eastAsia="Times New Roman"/>
          <w:b/>
          <w:szCs w:val="24"/>
          <w:lang w:eastAsia="tr-TR"/>
        </w:rPr>
      </w:pPr>
    </w:p>
    <w:p w:rsidR="00A40077" w:rsidRDefault="00A40077" w:rsidP="003A2F7A">
      <w:pPr>
        <w:pStyle w:val="Balk2"/>
        <w:rPr>
          <w:rFonts w:eastAsia="Times New Roman"/>
          <w:lang w:eastAsia="tr-TR"/>
        </w:rPr>
      </w:pPr>
      <w:r>
        <w:rPr>
          <w:rFonts w:eastAsia="Times New Roman"/>
          <w:lang w:eastAsia="tr-TR"/>
        </w:rPr>
        <w:t>3.5.1</w:t>
      </w:r>
      <w:r w:rsidR="00861AA3">
        <w:rPr>
          <w:rFonts w:eastAsia="Times New Roman"/>
          <w:lang w:eastAsia="tr-TR"/>
        </w:rPr>
        <w:t>.</w:t>
      </w:r>
      <w:r>
        <w:rPr>
          <w:rFonts w:eastAsia="Times New Roman"/>
          <w:lang w:eastAsia="tr-TR"/>
        </w:rPr>
        <w:t xml:space="preserve"> Laktat Tayini</w:t>
      </w:r>
    </w:p>
    <w:p w:rsidR="00A40077" w:rsidRPr="00132F0B" w:rsidRDefault="00A40077" w:rsidP="00A40077">
      <w:pPr>
        <w:rPr>
          <w:rFonts w:eastAsia="Times New Roman"/>
          <w:b/>
          <w:szCs w:val="24"/>
          <w:lang w:eastAsia="tr-TR"/>
        </w:rPr>
      </w:pPr>
    </w:p>
    <w:p w:rsidR="00A40077" w:rsidRDefault="00A40077" w:rsidP="00A40077">
      <w:pPr>
        <w:rPr>
          <w:rFonts w:eastAsia="Times New Roman"/>
          <w:szCs w:val="24"/>
          <w:lang w:eastAsia="tr-TR"/>
        </w:rPr>
      </w:pPr>
      <w:r>
        <w:rPr>
          <w:rFonts w:eastAsia="Times New Roman"/>
          <w:szCs w:val="24"/>
          <w:lang w:eastAsia="tr-TR"/>
        </w:rPr>
        <w:t>Ekstrasellüler</w:t>
      </w:r>
      <w:r w:rsidRPr="00132F0B">
        <w:rPr>
          <w:rFonts w:eastAsia="Times New Roman"/>
          <w:szCs w:val="24"/>
          <w:lang w:eastAsia="tr-TR"/>
        </w:rPr>
        <w:t xml:space="preserve"> laktat </w:t>
      </w:r>
      <w:proofErr w:type="gramStart"/>
      <w:r w:rsidRPr="00132F0B">
        <w:rPr>
          <w:rFonts w:eastAsia="Times New Roman"/>
          <w:szCs w:val="24"/>
          <w:lang w:eastAsia="tr-TR"/>
        </w:rPr>
        <w:t>konsantrasyonları</w:t>
      </w:r>
      <w:proofErr w:type="gramEnd"/>
      <w:r w:rsidRPr="00132F0B">
        <w:rPr>
          <w:rFonts w:eastAsia="Times New Roman"/>
          <w:szCs w:val="24"/>
          <w:lang w:eastAsia="tr-TR"/>
        </w:rPr>
        <w:t>, ticari olarak temin edile</w:t>
      </w:r>
      <w:r>
        <w:rPr>
          <w:rFonts w:eastAsia="Times New Roman"/>
          <w:szCs w:val="24"/>
          <w:lang w:eastAsia="tr-TR"/>
        </w:rPr>
        <w:t>n</w:t>
      </w:r>
      <w:r w:rsidRPr="00132F0B">
        <w:rPr>
          <w:rFonts w:eastAsia="Times New Roman"/>
          <w:szCs w:val="24"/>
          <w:lang w:eastAsia="tr-TR"/>
        </w:rPr>
        <w:t xml:space="preserve"> </w:t>
      </w:r>
      <w:r>
        <w:rPr>
          <w:rFonts w:eastAsia="Times New Roman"/>
          <w:szCs w:val="24"/>
          <w:lang w:eastAsia="tr-TR"/>
        </w:rPr>
        <w:t>k</w:t>
      </w:r>
      <w:r w:rsidR="00C222B1">
        <w:rPr>
          <w:rFonts w:eastAsia="Times New Roman"/>
          <w:szCs w:val="24"/>
          <w:lang w:eastAsia="tr-TR"/>
        </w:rPr>
        <w:t>o</w:t>
      </w:r>
      <w:r>
        <w:rPr>
          <w:rFonts w:eastAsia="Times New Roman"/>
          <w:szCs w:val="24"/>
          <w:lang w:eastAsia="tr-TR"/>
        </w:rPr>
        <w:t xml:space="preserve">lorimetrik yöntem esasına dayanan </w:t>
      </w:r>
      <w:r w:rsidRPr="00132F0B">
        <w:rPr>
          <w:rFonts w:eastAsia="Times New Roman"/>
          <w:szCs w:val="24"/>
          <w:lang w:eastAsia="tr-TR"/>
        </w:rPr>
        <w:t xml:space="preserve">laktat </w:t>
      </w:r>
      <w:r>
        <w:rPr>
          <w:rFonts w:eastAsia="Times New Roman"/>
          <w:szCs w:val="24"/>
          <w:lang w:eastAsia="tr-TR"/>
        </w:rPr>
        <w:t>k</w:t>
      </w:r>
      <w:r w:rsidRPr="00132F0B">
        <w:rPr>
          <w:rFonts w:eastAsia="Times New Roman"/>
          <w:szCs w:val="24"/>
          <w:lang w:eastAsia="tr-TR"/>
        </w:rPr>
        <w:t xml:space="preserve">iti </w:t>
      </w:r>
      <w:r>
        <w:rPr>
          <w:rFonts w:eastAsia="Times New Roman"/>
          <w:szCs w:val="24"/>
          <w:lang w:eastAsia="tr-TR"/>
        </w:rPr>
        <w:t xml:space="preserve">(Lactic Acis Assay Kit, Elabsience, BC0043-2) </w:t>
      </w:r>
      <w:r w:rsidRPr="00132F0B">
        <w:rPr>
          <w:rFonts w:eastAsia="Times New Roman"/>
          <w:szCs w:val="24"/>
          <w:lang w:eastAsia="tr-TR"/>
        </w:rPr>
        <w:t>kullanılarak ölçülmüştür.</w:t>
      </w:r>
      <w:r w:rsidRPr="005F0402">
        <w:t xml:space="preserve"> </w:t>
      </w:r>
      <w:r w:rsidRPr="00DD376B">
        <w:rPr>
          <w:rFonts w:eastAsia="Times New Roman"/>
          <w:szCs w:val="24"/>
          <w:lang w:eastAsia="tr-TR"/>
        </w:rPr>
        <w:t xml:space="preserve">Test prensibi, </w:t>
      </w:r>
      <w:r w:rsidRPr="005F0402">
        <w:rPr>
          <w:rFonts w:eastAsia="Times New Roman"/>
          <w:szCs w:val="24"/>
          <w:lang w:eastAsia="tr-TR"/>
        </w:rPr>
        <w:t>LD</w:t>
      </w:r>
      <w:r>
        <w:rPr>
          <w:rFonts w:eastAsia="Times New Roman"/>
          <w:szCs w:val="24"/>
          <w:lang w:eastAsia="tr-TR"/>
        </w:rPr>
        <w:t>H’ın</w:t>
      </w:r>
      <w:r w:rsidRPr="005F0402">
        <w:rPr>
          <w:rFonts w:eastAsia="Times New Roman"/>
          <w:szCs w:val="24"/>
          <w:lang w:eastAsia="tr-TR"/>
        </w:rPr>
        <w:t>, H</w:t>
      </w:r>
      <w:r w:rsidRPr="00DD376B">
        <w:rPr>
          <w:rFonts w:eastAsia="Times New Roman"/>
          <w:szCs w:val="24"/>
          <w:lang w:eastAsia="tr-TR"/>
        </w:rPr>
        <w:t>+</w:t>
      </w:r>
      <w:r>
        <w:rPr>
          <w:rFonts w:eastAsia="Times New Roman"/>
          <w:szCs w:val="24"/>
          <w:lang w:eastAsia="tr-TR"/>
        </w:rPr>
        <w:t xml:space="preserve"> reseptörü olarak NAD</w:t>
      </w:r>
      <w:r w:rsidRPr="00DD376B">
        <w:rPr>
          <w:rFonts w:eastAsia="Times New Roman"/>
          <w:szCs w:val="24"/>
          <w:lang w:eastAsia="tr-TR"/>
        </w:rPr>
        <w:t>+</w:t>
      </w:r>
      <w:r w:rsidRPr="005F0402">
        <w:rPr>
          <w:rFonts w:eastAsia="Times New Roman"/>
          <w:szCs w:val="24"/>
          <w:lang w:eastAsia="tr-TR"/>
        </w:rPr>
        <w:t xml:space="preserve"> kulla</w:t>
      </w:r>
      <w:r>
        <w:rPr>
          <w:rFonts w:eastAsia="Times New Roman"/>
          <w:szCs w:val="24"/>
          <w:lang w:eastAsia="tr-TR"/>
        </w:rPr>
        <w:t>narak</w:t>
      </w:r>
      <w:r w:rsidRPr="005F0402">
        <w:rPr>
          <w:rFonts w:eastAsia="Times New Roman"/>
          <w:szCs w:val="24"/>
          <w:lang w:eastAsia="tr-TR"/>
        </w:rPr>
        <w:t>, sırasıyla laktat ve NAD</w:t>
      </w:r>
      <w:r w:rsidRPr="00DD376B">
        <w:rPr>
          <w:rFonts w:eastAsia="Times New Roman"/>
          <w:szCs w:val="24"/>
          <w:lang w:eastAsia="tr-TR"/>
        </w:rPr>
        <w:t>+</w:t>
      </w:r>
      <w:r w:rsidRPr="005F0402">
        <w:rPr>
          <w:rFonts w:eastAsia="Times New Roman"/>
          <w:szCs w:val="24"/>
          <w:lang w:eastAsia="tr-TR"/>
        </w:rPr>
        <w:t xml:space="preserve"> 'n</w:t>
      </w:r>
      <w:r>
        <w:rPr>
          <w:rFonts w:eastAsia="Times New Roman"/>
          <w:szCs w:val="24"/>
          <w:lang w:eastAsia="tr-TR"/>
        </w:rPr>
        <w:t>i</w:t>
      </w:r>
      <w:r w:rsidRPr="005F0402">
        <w:rPr>
          <w:rFonts w:eastAsia="Times New Roman"/>
          <w:szCs w:val="24"/>
          <w:lang w:eastAsia="tr-TR"/>
        </w:rPr>
        <w:t>n piruvik asi</w:t>
      </w:r>
      <w:r>
        <w:rPr>
          <w:rFonts w:eastAsia="Times New Roman"/>
          <w:szCs w:val="24"/>
          <w:lang w:eastAsia="tr-TR"/>
        </w:rPr>
        <w:t>t ve NADH'ye dönüşümünü kataliz</w:t>
      </w:r>
      <w:r w:rsidRPr="005F0402">
        <w:rPr>
          <w:rFonts w:eastAsia="Times New Roman"/>
          <w:szCs w:val="24"/>
          <w:lang w:eastAsia="tr-TR"/>
        </w:rPr>
        <w:t xml:space="preserve"> e</w:t>
      </w:r>
      <w:r>
        <w:rPr>
          <w:rFonts w:eastAsia="Times New Roman"/>
          <w:szCs w:val="24"/>
          <w:lang w:eastAsia="tr-TR"/>
        </w:rPr>
        <w:t>tmesine dayanır</w:t>
      </w:r>
      <w:r w:rsidRPr="005F0402">
        <w:rPr>
          <w:rFonts w:eastAsia="Times New Roman"/>
          <w:szCs w:val="24"/>
          <w:lang w:eastAsia="tr-TR"/>
        </w:rPr>
        <w:t>.</w:t>
      </w:r>
      <w:r>
        <w:rPr>
          <w:rFonts w:eastAsia="Times New Roman"/>
          <w:szCs w:val="24"/>
          <w:lang w:eastAsia="tr-TR"/>
        </w:rPr>
        <w:t xml:space="preserve"> </w:t>
      </w:r>
      <w:r w:rsidRPr="005F0402">
        <w:rPr>
          <w:rFonts w:eastAsia="Times New Roman"/>
          <w:szCs w:val="24"/>
          <w:lang w:eastAsia="tr-TR"/>
        </w:rPr>
        <w:t>1-Metoksi-5-metil fenazin metil sülfat (PMS) hidrojeni, NADH'd</w:t>
      </w:r>
      <w:r>
        <w:rPr>
          <w:rFonts w:eastAsia="Times New Roman"/>
          <w:szCs w:val="24"/>
          <w:lang w:eastAsia="tr-TR"/>
        </w:rPr>
        <w:t>a</w:t>
      </w:r>
      <w:r w:rsidRPr="005F0402">
        <w:rPr>
          <w:rFonts w:eastAsia="Times New Roman"/>
          <w:szCs w:val="24"/>
          <w:lang w:eastAsia="tr-TR"/>
        </w:rPr>
        <w:t>n NBT'ye transfer eder</w:t>
      </w:r>
      <w:r>
        <w:rPr>
          <w:rFonts w:eastAsia="Times New Roman"/>
          <w:szCs w:val="24"/>
          <w:lang w:eastAsia="tr-TR"/>
        </w:rPr>
        <w:t>ek</w:t>
      </w:r>
      <w:r w:rsidRPr="005F0402">
        <w:rPr>
          <w:rFonts w:eastAsia="Times New Roman"/>
          <w:szCs w:val="24"/>
          <w:lang w:eastAsia="tr-TR"/>
        </w:rPr>
        <w:t xml:space="preserve"> </w:t>
      </w:r>
      <w:r>
        <w:rPr>
          <w:rFonts w:eastAsia="Times New Roman"/>
          <w:szCs w:val="24"/>
          <w:lang w:eastAsia="tr-TR"/>
        </w:rPr>
        <w:t>NBT’nin mor kromojenik substrata indirgenmesini sağlar. Kromojenik</w:t>
      </w:r>
      <w:r w:rsidRPr="00DD376B">
        <w:rPr>
          <w:rFonts w:eastAsia="Times New Roman"/>
          <w:szCs w:val="24"/>
          <w:lang w:eastAsia="tr-TR"/>
        </w:rPr>
        <w:t xml:space="preserve"> madde</w:t>
      </w:r>
      <w:r>
        <w:rPr>
          <w:rFonts w:eastAsia="Times New Roman"/>
          <w:szCs w:val="24"/>
          <w:lang w:eastAsia="tr-TR"/>
        </w:rPr>
        <w:t>nin absorbansı</w:t>
      </w:r>
      <w:r w:rsidRPr="00DD376B">
        <w:rPr>
          <w:rFonts w:eastAsia="Times New Roman"/>
          <w:szCs w:val="24"/>
          <w:lang w:eastAsia="tr-TR"/>
        </w:rPr>
        <w:t xml:space="preserve">, 530 nm'deki laktik asit </w:t>
      </w:r>
      <w:r>
        <w:rPr>
          <w:rFonts w:eastAsia="Times New Roman"/>
          <w:szCs w:val="24"/>
          <w:lang w:eastAsia="tr-TR"/>
        </w:rPr>
        <w:t>içeriği</w:t>
      </w:r>
      <w:r w:rsidRPr="00DD376B">
        <w:rPr>
          <w:rFonts w:eastAsia="Times New Roman"/>
          <w:szCs w:val="24"/>
          <w:lang w:eastAsia="tr-TR"/>
        </w:rPr>
        <w:t xml:space="preserve"> ile doğrusal bir ilişki</w:t>
      </w:r>
      <w:r>
        <w:rPr>
          <w:rFonts w:eastAsia="Times New Roman"/>
          <w:szCs w:val="24"/>
          <w:lang w:eastAsia="tr-TR"/>
        </w:rPr>
        <w:t xml:space="preserve"> gösterir.</w:t>
      </w:r>
    </w:p>
    <w:p w:rsidR="00A40077" w:rsidRPr="001C7A5C" w:rsidRDefault="00A40077" w:rsidP="00A40077">
      <w:pPr>
        <w:rPr>
          <w:rFonts w:eastAsia="Times New Roman"/>
          <w:szCs w:val="24"/>
          <w:lang w:eastAsia="tr-TR"/>
        </w:rPr>
      </w:pPr>
      <w:r w:rsidRPr="001C7A5C">
        <w:rPr>
          <w:rFonts w:eastAsia="Times New Roman"/>
          <w:szCs w:val="24"/>
          <w:lang w:eastAsia="tr-TR"/>
        </w:rPr>
        <w:t>Laktat ölçümü hem hipoksi hem</w:t>
      </w:r>
      <w:r w:rsidR="003A2E63">
        <w:rPr>
          <w:rFonts w:eastAsia="Times New Roman"/>
          <w:szCs w:val="24"/>
          <w:lang w:eastAsia="tr-TR"/>
        </w:rPr>
        <w:t xml:space="preserve"> </w:t>
      </w:r>
      <w:r w:rsidRPr="001C7A5C">
        <w:rPr>
          <w:rFonts w:eastAsia="Times New Roman"/>
          <w:szCs w:val="24"/>
          <w:lang w:eastAsia="tr-TR"/>
        </w:rPr>
        <w:t xml:space="preserve">de normoksi koşullarında farklı glukoz konstrasyonu </w:t>
      </w:r>
      <w:r>
        <w:rPr>
          <w:rFonts w:eastAsia="Times New Roman"/>
          <w:szCs w:val="24"/>
          <w:lang w:eastAsia="tr-TR"/>
        </w:rPr>
        <w:t xml:space="preserve">     </w:t>
      </w:r>
      <w:r w:rsidRPr="001C7A5C">
        <w:rPr>
          <w:rFonts w:eastAsia="Times New Roman"/>
          <w:szCs w:val="24"/>
          <w:lang w:eastAsia="tr-TR"/>
        </w:rPr>
        <w:t xml:space="preserve">(0, </w:t>
      </w:r>
      <w:proofErr w:type="gramStart"/>
      <w:r w:rsidRPr="001C7A5C">
        <w:rPr>
          <w:rFonts w:eastAsia="Times New Roman"/>
          <w:szCs w:val="24"/>
          <w:lang w:eastAsia="tr-TR"/>
        </w:rPr>
        <w:t>5.5</w:t>
      </w:r>
      <w:proofErr w:type="gramEnd"/>
      <w:r w:rsidRPr="001C7A5C">
        <w:rPr>
          <w:rFonts w:eastAsia="Times New Roman"/>
          <w:szCs w:val="24"/>
          <w:lang w:eastAsia="tr-TR"/>
        </w:rPr>
        <w:t>, 15, 55 mM) uygulanan hücrelerin vasatlarından alınan örneklerde gerçekleştirildi.</w:t>
      </w:r>
    </w:p>
    <w:p w:rsidR="00A40077" w:rsidRDefault="00A40077" w:rsidP="00A40077">
      <w:pPr>
        <w:pStyle w:val="NormalWeb"/>
        <w:spacing w:line="360" w:lineRule="auto"/>
        <w:jc w:val="both"/>
        <w:rPr>
          <w:rFonts w:cstheme="minorBidi"/>
          <w:sz w:val="24"/>
          <w:szCs w:val="24"/>
        </w:rPr>
      </w:pPr>
      <w:r w:rsidRPr="00C07866">
        <w:rPr>
          <w:rFonts w:cstheme="minorBidi"/>
          <w:sz w:val="24"/>
          <w:szCs w:val="24"/>
        </w:rPr>
        <w:t>Laktat ölçümünün protokolü Tablo 2’de özetlenmiştir.</w:t>
      </w:r>
    </w:p>
    <w:p w:rsidR="00A40077" w:rsidRDefault="00A40077" w:rsidP="00A40077">
      <w:pPr>
        <w:pStyle w:val="NormalWeb"/>
        <w:spacing w:line="360" w:lineRule="auto"/>
        <w:jc w:val="both"/>
        <w:rPr>
          <w:rFonts w:cstheme="minorBidi"/>
          <w:sz w:val="24"/>
          <w:szCs w:val="24"/>
        </w:rPr>
      </w:pPr>
    </w:p>
    <w:p w:rsidR="003A2F7A" w:rsidRDefault="003A2F7A" w:rsidP="00A40077">
      <w:pPr>
        <w:pStyle w:val="NormalWeb"/>
        <w:spacing w:line="360" w:lineRule="auto"/>
        <w:jc w:val="both"/>
        <w:rPr>
          <w:rFonts w:cstheme="minorBidi"/>
          <w:sz w:val="24"/>
          <w:szCs w:val="24"/>
        </w:rPr>
      </w:pPr>
    </w:p>
    <w:p w:rsidR="003A2F7A" w:rsidRDefault="003A2F7A" w:rsidP="00A40077">
      <w:pPr>
        <w:pStyle w:val="NormalWeb"/>
        <w:spacing w:line="360" w:lineRule="auto"/>
        <w:jc w:val="both"/>
        <w:rPr>
          <w:rFonts w:cstheme="minorBidi"/>
          <w:sz w:val="24"/>
          <w:szCs w:val="24"/>
        </w:rPr>
      </w:pPr>
    </w:p>
    <w:p w:rsidR="003A2F7A" w:rsidRDefault="003A2F7A" w:rsidP="00A40077">
      <w:pPr>
        <w:pStyle w:val="NormalWeb"/>
        <w:spacing w:line="360" w:lineRule="auto"/>
        <w:jc w:val="both"/>
        <w:rPr>
          <w:rFonts w:cstheme="minorBidi"/>
          <w:sz w:val="24"/>
          <w:szCs w:val="24"/>
        </w:rPr>
      </w:pPr>
    </w:p>
    <w:p w:rsidR="003A2F7A" w:rsidRDefault="003A2F7A" w:rsidP="00A40077">
      <w:pPr>
        <w:pStyle w:val="NormalWeb"/>
        <w:spacing w:line="360" w:lineRule="auto"/>
        <w:jc w:val="both"/>
        <w:rPr>
          <w:rFonts w:cstheme="minorBidi"/>
          <w:sz w:val="24"/>
          <w:szCs w:val="24"/>
        </w:rPr>
      </w:pPr>
    </w:p>
    <w:p w:rsidR="003A2F7A" w:rsidRDefault="003A2F7A" w:rsidP="00A40077">
      <w:pPr>
        <w:pStyle w:val="NormalWeb"/>
        <w:spacing w:line="360" w:lineRule="auto"/>
        <w:jc w:val="both"/>
        <w:rPr>
          <w:rFonts w:cstheme="minorBidi"/>
          <w:sz w:val="24"/>
          <w:szCs w:val="24"/>
        </w:rPr>
      </w:pPr>
    </w:p>
    <w:p w:rsidR="003A2F7A" w:rsidRDefault="003A2F7A" w:rsidP="00A40077">
      <w:pPr>
        <w:pStyle w:val="NormalWeb"/>
        <w:spacing w:line="360" w:lineRule="auto"/>
        <w:jc w:val="both"/>
        <w:rPr>
          <w:rFonts w:cstheme="minorBidi"/>
          <w:sz w:val="24"/>
          <w:szCs w:val="24"/>
        </w:rPr>
      </w:pPr>
    </w:p>
    <w:p w:rsidR="003A2F7A" w:rsidRDefault="003A2F7A" w:rsidP="00A40077">
      <w:pPr>
        <w:pStyle w:val="NormalWeb"/>
        <w:spacing w:line="360" w:lineRule="auto"/>
        <w:jc w:val="both"/>
        <w:rPr>
          <w:rFonts w:cstheme="minorBidi"/>
          <w:sz w:val="24"/>
          <w:szCs w:val="24"/>
        </w:rPr>
      </w:pPr>
    </w:p>
    <w:p w:rsidR="00A40077" w:rsidRDefault="00A40077" w:rsidP="003A2F7A">
      <w:pPr>
        <w:pStyle w:val="Balk2"/>
        <w:rPr>
          <w:lang w:eastAsia="tr-TR"/>
        </w:rPr>
      </w:pPr>
      <w:r>
        <w:rPr>
          <w:lang w:eastAsia="tr-TR"/>
        </w:rPr>
        <w:lastRenderedPageBreak/>
        <w:t>Tablo 2.</w:t>
      </w:r>
      <w:r w:rsidRPr="00966CEC">
        <w:rPr>
          <w:lang w:eastAsia="tr-TR"/>
        </w:rPr>
        <w:t xml:space="preserve"> </w:t>
      </w:r>
      <w:r w:rsidR="00C52D88">
        <w:rPr>
          <w:b w:val="0"/>
          <w:lang w:eastAsia="tr-TR"/>
        </w:rPr>
        <w:t>Laktat ölçümü işlem a</w:t>
      </w:r>
      <w:r w:rsidRPr="003A2F7A">
        <w:rPr>
          <w:b w:val="0"/>
          <w:lang w:eastAsia="tr-TR"/>
        </w:rPr>
        <w:t>dımları</w:t>
      </w:r>
      <w:r w:rsidR="00B02C28">
        <w:rPr>
          <w:b w:val="0"/>
          <w:lang w:eastAsia="tr-TR"/>
        </w:rPr>
        <w:t>.</w:t>
      </w:r>
    </w:p>
    <w:tbl>
      <w:tblPr>
        <w:tblStyle w:val="AkListe-Vurgu4"/>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89"/>
        <w:gridCol w:w="636"/>
        <w:gridCol w:w="1123"/>
        <w:gridCol w:w="1097"/>
      </w:tblGrid>
      <w:tr w:rsidR="00A40077" w:rsidRPr="00FE4342" w:rsidTr="00C52D8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tcPr>
          <w:p w:rsidR="00A40077" w:rsidRPr="00FE4342" w:rsidRDefault="00A40077" w:rsidP="003A2F7A">
            <w:pPr>
              <w:pStyle w:val="AralkYok"/>
            </w:pPr>
          </w:p>
        </w:tc>
        <w:tc>
          <w:tcPr>
            <w:tcW w:w="0" w:type="auto"/>
          </w:tcPr>
          <w:p w:rsidR="00A40077" w:rsidRPr="00FE4342" w:rsidRDefault="00A40077" w:rsidP="003A2E63">
            <w:pPr>
              <w:pStyle w:val="AralkYok"/>
              <w:jc w:val="center"/>
              <w:cnfStyle w:val="100000000000" w:firstRow="1" w:lastRow="0" w:firstColumn="0" w:lastColumn="0" w:oddVBand="0" w:evenVBand="0" w:oddHBand="0" w:evenHBand="0" w:firstRowFirstColumn="0" w:firstRowLastColumn="0" w:lastRowFirstColumn="0" w:lastRowLastColumn="0"/>
            </w:pPr>
            <w:r w:rsidRPr="00FE4342">
              <w:t>Kör</w:t>
            </w:r>
          </w:p>
        </w:tc>
        <w:tc>
          <w:tcPr>
            <w:tcW w:w="0" w:type="auto"/>
          </w:tcPr>
          <w:p w:rsidR="00A40077" w:rsidRPr="00FE4342" w:rsidRDefault="00A40077" w:rsidP="003A2E63">
            <w:pPr>
              <w:pStyle w:val="AralkYok"/>
              <w:jc w:val="center"/>
              <w:cnfStyle w:val="100000000000" w:firstRow="1" w:lastRow="0" w:firstColumn="0" w:lastColumn="0" w:oddVBand="0" w:evenVBand="0" w:oddHBand="0" w:evenHBand="0" w:firstRowFirstColumn="0" w:firstRowLastColumn="0" w:lastRowFirstColumn="0" w:lastRowLastColumn="0"/>
            </w:pPr>
            <w:r w:rsidRPr="00FE4342">
              <w:t>Standart</w:t>
            </w:r>
          </w:p>
        </w:tc>
        <w:tc>
          <w:tcPr>
            <w:tcW w:w="0" w:type="auto"/>
          </w:tcPr>
          <w:p w:rsidR="00A40077" w:rsidRPr="00FE4342" w:rsidRDefault="00A40077" w:rsidP="003A2E63">
            <w:pPr>
              <w:pStyle w:val="AralkYok"/>
              <w:jc w:val="center"/>
              <w:cnfStyle w:val="100000000000" w:firstRow="1" w:lastRow="0" w:firstColumn="0" w:lastColumn="0" w:oddVBand="0" w:evenVBand="0" w:oddHBand="0" w:evenHBand="0" w:firstRowFirstColumn="0" w:firstRowLastColumn="0" w:lastRowFirstColumn="0" w:lastRowLastColumn="0"/>
            </w:pPr>
            <w:r w:rsidRPr="00FE4342">
              <w:t>Numune</w:t>
            </w:r>
          </w:p>
        </w:tc>
      </w:tr>
      <w:tr w:rsidR="00A40077" w:rsidRPr="00FE4342" w:rsidTr="00C52D8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A40077" w:rsidRPr="00FE4342" w:rsidRDefault="00A40077" w:rsidP="003A2F7A">
            <w:pPr>
              <w:pStyle w:val="AralkYok"/>
            </w:pPr>
            <w:r w:rsidRPr="00FE4342">
              <w:t>Distile su (mL)</w:t>
            </w:r>
          </w:p>
        </w:tc>
        <w:tc>
          <w:tcPr>
            <w:tcW w:w="0" w:type="auto"/>
            <w:tcBorders>
              <w:top w:val="none" w:sz="0" w:space="0" w:color="auto"/>
              <w:bottom w:val="none" w:sz="0" w:space="0" w:color="auto"/>
            </w:tcBorders>
          </w:tcPr>
          <w:p w:rsidR="00A40077" w:rsidRPr="00FE4342" w:rsidRDefault="00A40077" w:rsidP="003A2E63">
            <w:pPr>
              <w:pStyle w:val="AralkYok"/>
              <w:cnfStyle w:val="000000100000" w:firstRow="0" w:lastRow="0" w:firstColumn="0" w:lastColumn="0" w:oddVBand="0" w:evenVBand="0" w:oddHBand="1" w:evenHBand="0" w:firstRowFirstColumn="0" w:firstRowLastColumn="0" w:lastRowFirstColumn="0" w:lastRowLastColumn="0"/>
            </w:pPr>
            <w:r w:rsidRPr="00FE4342">
              <w:t>0.02</w:t>
            </w:r>
          </w:p>
        </w:tc>
        <w:tc>
          <w:tcPr>
            <w:tcW w:w="0" w:type="auto"/>
            <w:tcBorders>
              <w:top w:val="none" w:sz="0" w:space="0" w:color="auto"/>
              <w:bottom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bottom w:val="none" w:sz="0" w:space="0" w:color="auto"/>
              <w:right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p>
        </w:tc>
      </w:tr>
      <w:tr w:rsidR="00A40077" w:rsidRPr="00FE4342" w:rsidTr="00C52D88">
        <w:trPr>
          <w:trHeight w:val="304"/>
        </w:trPr>
        <w:tc>
          <w:tcPr>
            <w:cnfStyle w:val="001000000000" w:firstRow="0" w:lastRow="0" w:firstColumn="1" w:lastColumn="0" w:oddVBand="0" w:evenVBand="0" w:oddHBand="0" w:evenHBand="0" w:firstRowFirstColumn="0" w:firstRowLastColumn="0" w:lastRowFirstColumn="0" w:lastRowLastColumn="0"/>
            <w:tcW w:w="0" w:type="auto"/>
          </w:tcPr>
          <w:p w:rsidR="00A40077" w:rsidRPr="00FE4342" w:rsidRDefault="00A40077" w:rsidP="003A2F7A">
            <w:pPr>
              <w:pStyle w:val="AralkYok"/>
            </w:pPr>
            <w:r w:rsidRPr="00FE4342">
              <w:t>3 mmol/L standart çözeltisi (mL)</w:t>
            </w:r>
          </w:p>
        </w:tc>
        <w:tc>
          <w:tcPr>
            <w:tcW w:w="0" w:type="auto"/>
          </w:tcPr>
          <w:p w:rsidR="00A40077" w:rsidRPr="00FE4342" w:rsidRDefault="00A40077" w:rsidP="003A2E63">
            <w:pPr>
              <w:pStyle w:val="AralkYok"/>
              <w:jc w:val="center"/>
              <w:cnfStyle w:val="000000000000" w:firstRow="0" w:lastRow="0" w:firstColumn="0" w:lastColumn="0" w:oddVBand="0" w:evenVBand="0" w:oddHBand="0" w:evenHBand="0" w:firstRowFirstColumn="0" w:firstRowLastColumn="0" w:lastRowFirstColumn="0" w:lastRowLastColumn="0"/>
            </w:pPr>
          </w:p>
        </w:tc>
        <w:tc>
          <w:tcPr>
            <w:tcW w:w="0" w:type="auto"/>
          </w:tcPr>
          <w:p w:rsidR="00A40077" w:rsidRPr="00FE4342" w:rsidRDefault="00A40077" w:rsidP="003A2E63">
            <w:pPr>
              <w:pStyle w:val="AralkYok"/>
              <w:jc w:val="center"/>
              <w:cnfStyle w:val="000000000000" w:firstRow="0" w:lastRow="0" w:firstColumn="0" w:lastColumn="0" w:oddVBand="0" w:evenVBand="0" w:oddHBand="0" w:evenHBand="0" w:firstRowFirstColumn="0" w:firstRowLastColumn="0" w:lastRowFirstColumn="0" w:lastRowLastColumn="0"/>
            </w:pPr>
            <w:r w:rsidRPr="00FE4342">
              <w:t>0.02</w:t>
            </w:r>
          </w:p>
        </w:tc>
        <w:tc>
          <w:tcPr>
            <w:tcW w:w="0" w:type="auto"/>
          </w:tcPr>
          <w:p w:rsidR="00A40077" w:rsidRPr="00FE4342" w:rsidRDefault="00A40077" w:rsidP="003A2E63">
            <w:pPr>
              <w:pStyle w:val="AralkYok"/>
              <w:jc w:val="center"/>
              <w:cnfStyle w:val="000000000000" w:firstRow="0" w:lastRow="0" w:firstColumn="0" w:lastColumn="0" w:oddVBand="0" w:evenVBand="0" w:oddHBand="0" w:evenHBand="0" w:firstRowFirstColumn="0" w:firstRowLastColumn="0" w:lastRowFirstColumn="0" w:lastRowLastColumn="0"/>
            </w:pPr>
          </w:p>
        </w:tc>
      </w:tr>
      <w:tr w:rsidR="00A40077" w:rsidRPr="00FE4342" w:rsidTr="00C52D8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A40077" w:rsidRPr="00FE4342" w:rsidRDefault="00A40077" w:rsidP="003A2F7A">
            <w:pPr>
              <w:pStyle w:val="AralkYok"/>
            </w:pPr>
            <w:r w:rsidRPr="00FE4342">
              <w:t>Numune çözeltisi (mL)</w:t>
            </w:r>
          </w:p>
        </w:tc>
        <w:tc>
          <w:tcPr>
            <w:tcW w:w="0" w:type="auto"/>
            <w:tcBorders>
              <w:top w:val="none" w:sz="0" w:space="0" w:color="auto"/>
              <w:bottom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bottom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bottom w:val="none" w:sz="0" w:space="0" w:color="auto"/>
              <w:right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r w:rsidRPr="00FE4342">
              <w:t>0.02</w:t>
            </w:r>
          </w:p>
        </w:tc>
      </w:tr>
      <w:tr w:rsidR="00A40077" w:rsidRPr="00FE4342" w:rsidTr="00C52D88">
        <w:trPr>
          <w:trHeight w:val="355"/>
        </w:trPr>
        <w:tc>
          <w:tcPr>
            <w:cnfStyle w:val="001000000000" w:firstRow="0" w:lastRow="0" w:firstColumn="1" w:lastColumn="0" w:oddVBand="0" w:evenVBand="0" w:oddHBand="0" w:evenHBand="0" w:firstRowFirstColumn="0" w:firstRowLastColumn="0" w:lastRowFirstColumn="0" w:lastRowLastColumn="0"/>
            <w:tcW w:w="0" w:type="auto"/>
          </w:tcPr>
          <w:p w:rsidR="00A40077" w:rsidRPr="00FE4342" w:rsidRDefault="00A40077" w:rsidP="003A2F7A">
            <w:pPr>
              <w:pStyle w:val="AralkYok"/>
            </w:pPr>
            <w:r w:rsidRPr="00FE4342">
              <w:t>Enzim çalışma solüsyonu (mL)</w:t>
            </w:r>
          </w:p>
        </w:tc>
        <w:tc>
          <w:tcPr>
            <w:tcW w:w="0" w:type="auto"/>
          </w:tcPr>
          <w:p w:rsidR="00A40077" w:rsidRPr="00FE4342" w:rsidRDefault="00A40077" w:rsidP="003A2E63">
            <w:pPr>
              <w:pStyle w:val="AralkYok"/>
              <w:jc w:val="center"/>
              <w:cnfStyle w:val="000000000000" w:firstRow="0" w:lastRow="0" w:firstColumn="0" w:lastColumn="0" w:oddVBand="0" w:evenVBand="0" w:oddHBand="0" w:evenHBand="0" w:firstRowFirstColumn="0" w:firstRowLastColumn="0" w:lastRowFirstColumn="0" w:lastRowLastColumn="0"/>
            </w:pPr>
            <w:r w:rsidRPr="00FE4342">
              <w:t>1</w:t>
            </w:r>
          </w:p>
        </w:tc>
        <w:tc>
          <w:tcPr>
            <w:tcW w:w="0" w:type="auto"/>
          </w:tcPr>
          <w:p w:rsidR="00A40077" w:rsidRPr="00FE4342" w:rsidRDefault="00A40077" w:rsidP="003A2E63">
            <w:pPr>
              <w:pStyle w:val="AralkYok"/>
              <w:jc w:val="center"/>
              <w:cnfStyle w:val="000000000000" w:firstRow="0" w:lastRow="0" w:firstColumn="0" w:lastColumn="0" w:oddVBand="0" w:evenVBand="0" w:oddHBand="0" w:evenHBand="0" w:firstRowFirstColumn="0" w:firstRowLastColumn="0" w:lastRowFirstColumn="0" w:lastRowLastColumn="0"/>
            </w:pPr>
            <w:r w:rsidRPr="00FE4342">
              <w:t>1</w:t>
            </w:r>
          </w:p>
        </w:tc>
        <w:tc>
          <w:tcPr>
            <w:tcW w:w="0" w:type="auto"/>
          </w:tcPr>
          <w:p w:rsidR="00A40077" w:rsidRPr="00FE4342" w:rsidRDefault="00A40077" w:rsidP="003A2E63">
            <w:pPr>
              <w:pStyle w:val="AralkYok"/>
              <w:jc w:val="center"/>
              <w:cnfStyle w:val="000000000000" w:firstRow="0" w:lastRow="0" w:firstColumn="0" w:lastColumn="0" w:oddVBand="0" w:evenVBand="0" w:oddHBand="0" w:evenHBand="0" w:firstRowFirstColumn="0" w:firstRowLastColumn="0" w:lastRowFirstColumn="0" w:lastRowLastColumn="0"/>
            </w:pPr>
            <w:r w:rsidRPr="00FE4342">
              <w:t>1</w:t>
            </w:r>
          </w:p>
        </w:tc>
      </w:tr>
      <w:tr w:rsidR="00A40077" w:rsidRPr="00FE4342" w:rsidTr="00C52D8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A40077" w:rsidRPr="00FE4342" w:rsidRDefault="00A40077" w:rsidP="003A2F7A">
            <w:pPr>
              <w:pStyle w:val="AralkYok"/>
            </w:pPr>
            <w:r w:rsidRPr="00FE4342">
              <w:t>Kromojenik ajan (mL)</w:t>
            </w:r>
          </w:p>
        </w:tc>
        <w:tc>
          <w:tcPr>
            <w:tcW w:w="0" w:type="auto"/>
            <w:tcBorders>
              <w:top w:val="none" w:sz="0" w:space="0" w:color="auto"/>
              <w:bottom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r w:rsidRPr="00FE4342">
              <w:t>0.2</w:t>
            </w:r>
          </w:p>
        </w:tc>
        <w:tc>
          <w:tcPr>
            <w:tcW w:w="0" w:type="auto"/>
            <w:tcBorders>
              <w:top w:val="none" w:sz="0" w:space="0" w:color="auto"/>
              <w:bottom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r w:rsidRPr="00FE4342">
              <w:t>0.2</w:t>
            </w:r>
          </w:p>
        </w:tc>
        <w:tc>
          <w:tcPr>
            <w:tcW w:w="0" w:type="auto"/>
            <w:tcBorders>
              <w:top w:val="none" w:sz="0" w:space="0" w:color="auto"/>
              <w:bottom w:val="none" w:sz="0" w:space="0" w:color="auto"/>
              <w:right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r w:rsidRPr="00FE4342">
              <w:t>0.2</w:t>
            </w:r>
          </w:p>
        </w:tc>
      </w:tr>
      <w:tr w:rsidR="00A40077" w:rsidRPr="00FE4342" w:rsidTr="00B077C3">
        <w:trPr>
          <w:trHeight w:val="268"/>
        </w:trPr>
        <w:tc>
          <w:tcPr>
            <w:cnfStyle w:val="001000000000" w:firstRow="0" w:lastRow="0" w:firstColumn="1" w:lastColumn="0" w:oddVBand="0" w:evenVBand="0" w:oddHBand="0" w:evenHBand="0" w:firstRowFirstColumn="0" w:firstRowLastColumn="0" w:lastRowFirstColumn="0" w:lastRowLastColumn="0"/>
            <w:tcW w:w="0" w:type="auto"/>
            <w:gridSpan w:val="4"/>
          </w:tcPr>
          <w:p w:rsidR="00A40077" w:rsidRPr="00FE4342" w:rsidRDefault="00A40077" w:rsidP="003A2E63">
            <w:pPr>
              <w:pStyle w:val="AralkYok"/>
              <w:jc w:val="center"/>
            </w:pPr>
            <w:r w:rsidRPr="00FE4342">
              <w:t>10 dakika, 37°C su banyosunda hızlıca karıştır</w:t>
            </w:r>
          </w:p>
        </w:tc>
      </w:tr>
      <w:tr w:rsidR="00A40077" w:rsidRPr="00FE4342" w:rsidTr="00B077C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auto"/>
            </w:tcBorders>
          </w:tcPr>
          <w:p w:rsidR="00A40077" w:rsidRPr="00FE4342" w:rsidRDefault="00A40077" w:rsidP="003A2F7A">
            <w:pPr>
              <w:pStyle w:val="AralkYok"/>
            </w:pPr>
            <w:r w:rsidRPr="00FE4342">
              <w:t>Durdurma çözeltisi (mL)</w:t>
            </w:r>
          </w:p>
        </w:tc>
        <w:tc>
          <w:tcPr>
            <w:tcW w:w="0" w:type="auto"/>
            <w:tcBorders>
              <w:top w:val="none" w:sz="0" w:space="0" w:color="auto"/>
              <w:bottom w:val="single" w:sz="4"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r w:rsidRPr="00FE4342">
              <w:t>2</w:t>
            </w:r>
          </w:p>
        </w:tc>
        <w:tc>
          <w:tcPr>
            <w:tcW w:w="0" w:type="auto"/>
            <w:tcBorders>
              <w:top w:val="none" w:sz="0" w:space="0" w:color="auto"/>
              <w:bottom w:val="single" w:sz="4"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r w:rsidRPr="00FE4342">
              <w:t>2</w:t>
            </w:r>
          </w:p>
        </w:tc>
        <w:tc>
          <w:tcPr>
            <w:tcW w:w="0" w:type="auto"/>
            <w:tcBorders>
              <w:top w:val="none" w:sz="0" w:space="0" w:color="auto"/>
              <w:bottom w:val="single" w:sz="4" w:space="0" w:color="auto"/>
              <w:right w:val="none" w:sz="0" w:space="0" w:color="auto"/>
            </w:tcBorders>
          </w:tcPr>
          <w:p w:rsidR="00A40077" w:rsidRPr="00FE4342" w:rsidRDefault="00A40077" w:rsidP="003A2E63">
            <w:pPr>
              <w:pStyle w:val="AralkYok"/>
              <w:jc w:val="center"/>
              <w:cnfStyle w:val="000000100000" w:firstRow="0" w:lastRow="0" w:firstColumn="0" w:lastColumn="0" w:oddVBand="0" w:evenVBand="0" w:oddHBand="1" w:evenHBand="0" w:firstRowFirstColumn="0" w:firstRowLastColumn="0" w:lastRowFirstColumn="0" w:lastRowLastColumn="0"/>
            </w:pPr>
            <w:r w:rsidRPr="00FE4342">
              <w:t>2</w:t>
            </w:r>
          </w:p>
        </w:tc>
      </w:tr>
    </w:tbl>
    <w:p w:rsidR="003A2F7A" w:rsidRDefault="003A2F7A" w:rsidP="003A2F7A">
      <w:pPr>
        <w:rPr>
          <w:rFonts w:eastAsia="Times New Roman"/>
          <w:szCs w:val="24"/>
          <w:lang w:eastAsia="tr-TR"/>
        </w:rPr>
      </w:pPr>
    </w:p>
    <w:p w:rsidR="00A40077" w:rsidRPr="003A2F7A" w:rsidRDefault="00A40077" w:rsidP="003A2F7A">
      <w:pPr>
        <w:pStyle w:val="Balk2"/>
        <w:rPr>
          <w:rFonts w:eastAsia="Times New Roman"/>
          <w:b w:val="0"/>
          <w:lang w:eastAsia="tr-TR"/>
        </w:rPr>
      </w:pPr>
      <w:r w:rsidRPr="003A2F7A">
        <w:rPr>
          <w:rFonts w:eastAsia="Times New Roman"/>
          <w:b w:val="0"/>
          <w:lang w:eastAsia="tr-TR"/>
        </w:rPr>
        <w:t>Spektrofotometrede 530 nm dalgaboyunda her bir tüpteki örneğin OD değerleri ölçüldü.</w:t>
      </w:r>
    </w:p>
    <w:p w:rsidR="00A40077" w:rsidRPr="003A2F7A" w:rsidRDefault="00A40077" w:rsidP="003A2F7A">
      <w:pPr>
        <w:pStyle w:val="Balk2"/>
        <w:rPr>
          <w:rFonts w:eastAsia="Times New Roman"/>
          <w:b w:val="0"/>
          <w:lang w:eastAsia="tr-TR"/>
        </w:rPr>
      </w:pPr>
      <w:r w:rsidRPr="003A2F7A">
        <w:rPr>
          <w:rFonts w:eastAsia="Times New Roman"/>
          <w:b w:val="0"/>
          <w:lang w:eastAsia="tr-TR"/>
        </w:rPr>
        <w:t>Hesaplama Formülü</w:t>
      </w:r>
    </w:p>
    <w:p w:rsidR="00A40077" w:rsidRPr="003A2F7A" w:rsidRDefault="00A40077" w:rsidP="003A2F7A">
      <w:pPr>
        <w:pStyle w:val="Balk2"/>
        <w:rPr>
          <w:rFonts w:eastAsia="Times New Roman"/>
          <w:b w:val="0"/>
          <w:lang w:eastAsia="tr-TR"/>
        </w:rPr>
      </w:pPr>
      <w:r w:rsidRPr="003A2F7A">
        <w:rPr>
          <w:rFonts w:eastAsia="Times New Roman"/>
          <w:b w:val="0"/>
          <w:lang w:eastAsia="tr-TR"/>
        </w:rPr>
        <w:t xml:space="preserve">Laktik Asit İçeriği (mmol/L) </w:t>
      </w:r>
      <w:r w:rsidRPr="003A2F7A">
        <w:rPr>
          <w:rFonts w:eastAsia="Times New Roman"/>
          <w:b w:val="0"/>
          <w:vertAlign w:val="subscript"/>
          <w:lang w:eastAsia="tr-TR"/>
        </w:rPr>
        <w:t xml:space="preserve">˭ </w:t>
      </w:r>
      <w:r w:rsidRPr="003A2F7A">
        <w:rPr>
          <w:rFonts w:eastAsia="Times New Roman"/>
          <w:b w:val="0"/>
          <w:lang w:eastAsia="tr-TR"/>
        </w:rPr>
        <w:t xml:space="preserve">(Ölçülen OD-Kör OD/Standart OD-Kör OD) ˣ Standart </w:t>
      </w:r>
      <w:proofErr w:type="gramStart"/>
      <w:r w:rsidRPr="003A2F7A">
        <w:rPr>
          <w:rFonts w:eastAsia="Times New Roman"/>
          <w:b w:val="0"/>
          <w:lang w:eastAsia="tr-TR"/>
        </w:rPr>
        <w:t>konsantrasyonu</w:t>
      </w:r>
      <w:proofErr w:type="gramEnd"/>
      <w:r w:rsidRPr="003A2F7A">
        <w:rPr>
          <w:rFonts w:eastAsia="Times New Roman"/>
          <w:b w:val="0"/>
          <w:lang w:eastAsia="tr-TR"/>
        </w:rPr>
        <w:t xml:space="preserve"> (3 mmol/L) ˣ Numune seyreltme miktarı</w:t>
      </w:r>
      <w:r w:rsidR="003C0CA2">
        <w:rPr>
          <w:rFonts w:eastAsia="Times New Roman"/>
          <w:b w:val="0"/>
          <w:lang w:eastAsia="tr-TR"/>
        </w:rPr>
        <w:t>.</w:t>
      </w:r>
    </w:p>
    <w:p w:rsidR="00A40077" w:rsidRDefault="00A40077" w:rsidP="00A40077">
      <w:pPr>
        <w:rPr>
          <w:rFonts w:eastAsia="Times New Roman"/>
          <w:szCs w:val="24"/>
          <w:lang w:eastAsia="tr-TR"/>
        </w:rPr>
      </w:pPr>
    </w:p>
    <w:p w:rsidR="003A2F7A" w:rsidRDefault="003A2F7A" w:rsidP="00A40077">
      <w:pPr>
        <w:rPr>
          <w:rFonts w:eastAsia="Times New Roman"/>
          <w:szCs w:val="24"/>
          <w:lang w:eastAsia="tr-TR"/>
        </w:rPr>
      </w:pPr>
    </w:p>
    <w:p w:rsidR="00A40077" w:rsidRDefault="00A40077" w:rsidP="003A2F7A">
      <w:pPr>
        <w:pStyle w:val="Balk2"/>
        <w:rPr>
          <w:rFonts w:eastAsia="Times New Roman"/>
          <w:lang w:eastAsia="tr-TR"/>
        </w:rPr>
      </w:pPr>
      <w:r w:rsidRPr="001255B8">
        <w:rPr>
          <w:rFonts w:eastAsia="Times New Roman"/>
          <w:lang w:eastAsia="tr-TR"/>
        </w:rPr>
        <w:t>3.</w:t>
      </w:r>
      <w:r>
        <w:rPr>
          <w:rFonts w:eastAsia="Times New Roman"/>
          <w:lang w:eastAsia="tr-TR"/>
        </w:rPr>
        <w:t>5.2</w:t>
      </w:r>
      <w:r w:rsidR="00861AA3">
        <w:rPr>
          <w:rFonts w:eastAsia="Times New Roman"/>
          <w:lang w:eastAsia="tr-TR"/>
        </w:rPr>
        <w:t>.</w:t>
      </w:r>
      <w:r w:rsidRPr="001255B8">
        <w:rPr>
          <w:rFonts w:eastAsia="Times New Roman"/>
          <w:lang w:eastAsia="tr-TR"/>
        </w:rPr>
        <w:t xml:space="preserve"> Gl</w:t>
      </w:r>
      <w:r>
        <w:rPr>
          <w:rFonts w:eastAsia="Times New Roman"/>
          <w:lang w:eastAsia="tr-TR"/>
        </w:rPr>
        <w:t>u</w:t>
      </w:r>
      <w:r w:rsidRPr="001255B8">
        <w:rPr>
          <w:rFonts w:eastAsia="Times New Roman"/>
          <w:lang w:eastAsia="tr-TR"/>
        </w:rPr>
        <w:t>koz Tayini</w:t>
      </w:r>
    </w:p>
    <w:p w:rsidR="00A40077" w:rsidRDefault="00A40077" w:rsidP="00A40077">
      <w:pPr>
        <w:rPr>
          <w:rFonts w:eastAsia="Times New Roman"/>
          <w:b/>
          <w:szCs w:val="24"/>
          <w:lang w:eastAsia="tr-TR"/>
        </w:rPr>
      </w:pPr>
    </w:p>
    <w:p w:rsidR="00A40077" w:rsidRDefault="00A40077" w:rsidP="00A40077">
      <w:pPr>
        <w:rPr>
          <w:rFonts w:eastAsia="Times New Roman"/>
          <w:szCs w:val="24"/>
          <w:lang w:eastAsia="tr-TR"/>
        </w:rPr>
      </w:pPr>
      <w:r>
        <w:rPr>
          <w:rFonts w:eastAsia="Times New Roman"/>
          <w:szCs w:val="24"/>
          <w:lang w:eastAsia="tr-TR"/>
        </w:rPr>
        <w:t>Ekstraselüler</w:t>
      </w:r>
      <w:r w:rsidRPr="003928DF">
        <w:rPr>
          <w:rFonts w:eastAsia="Times New Roman"/>
          <w:szCs w:val="24"/>
          <w:lang w:eastAsia="tr-TR"/>
        </w:rPr>
        <w:t xml:space="preserve"> gl</w:t>
      </w:r>
      <w:r>
        <w:rPr>
          <w:rFonts w:eastAsia="Times New Roman"/>
          <w:szCs w:val="24"/>
          <w:lang w:eastAsia="tr-TR"/>
        </w:rPr>
        <w:t>u</w:t>
      </w:r>
      <w:r w:rsidRPr="003928DF">
        <w:rPr>
          <w:rFonts w:eastAsia="Times New Roman"/>
          <w:szCs w:val="24"/>
          <w:lang w:eastAsia="tr-TR"/>
        </w:rPr>
        <w:t xml:space="preserve">koz </w:t>
      </w:r>
      <w:proofErr w:type="gramStart"/>
      <w:r w:rsidRPr="003928DF">
        <w:rPr>
          <w:rFonts w:eastAsia="Times New Roman"/>
          <w:szCs w:val="24"/>
          <w:lang w:eastAsia="tr-TR"/>
        </w:rPr>
        <w:t>konsantrasyonları</w:t>
      </w:r>
      <w:proofErr w:type="gramEnd"/>
      <w:r w:rsidR="0072478C">
        <w:rPr>
          <w:rFonts w:eastAsia="Times New Roman"/>
          <w:szCs w:val="24"/>
          <w:lang w:eastAsia="tr-TR"/>
        </w:rPr>
        <w:t>, ticari olarak temin edilen glu</w:t>
      </w:r>
      <w:r w:rsidRPr="003928DF">
        <w:rPr>
          <w:rFonts w:eastAsia="Times New Roman"/>
          <w:szCs w:val="24"/>
          <w:lang w:eastAsia="tr-TR"/>
        </w:rPr>
        <w:t>koz t</w:t>
      </w:r>
      <w:r>
        <w:rPr>
          <w:rFonts w:eastAsia="Times New Roman"/>
          <w:szCs w:val="24"/>
          <w:lang w:eastAsia="tr-TR"/>
        </w:rPr>
        <w:t>ayin kiti kullanılarak ölçüldü (EnzyChrom</w:t>
      </w:r>
      <w:r w:rsidRPr="003928DF">
        <w:rPr>
          <w:rFonts w:eastAsia="Times New Roman"/>
          <w:szCs w:val="24"/>
          <w:vertAlign w:val="superscript"/>
          <w:lang w:eastAsia="tr-TR"/>
        </w:rPr>
        <w:t>TM</w:t>
      </w:r>
      <w:r>
        <w:rPr>
          <w:rFonts w:eastAsia="Times New Roman"/>
          <w:szCs w:val="24"/>
          <w:lang w:eastAsia="tr-TR"/>
        </w:rPr>
        <w:t xml:space="preserve"> Glucose Assay Kit, EBGL-100, BioAssay Systems).  BioAssay Systems glikoz</w:t>
      </w:r>
      <w:r w:rsidRPr="00E402B4">
        <w:rPr>
          <w:rFonts w:eastAsia="Times New Roman"/>
          <w:szCs w:val="24"/>
          <w:lang w:eastAsia="tr-TR"/>
        </w:rPr>
        <w:t xml:space="preserve"> test kiti, glikoz oksidaz reaksiyonunu ve renk reaksiyonunu bir adımda birleştiren tek bir Çalışma Reaktifi kullanır</w:t>
      </w:r>
      <w:r>
        <w:rPr>
          <w:rFonts w:eastAsia="Times New Roman"/>
          <w:szCs w:val="24"/>
          <w:lang w:eastAsia="tr-TR"/>
        </w:rPr>
        <w:t>. R</w:t>
      </w:r>
      <w:r w:rsidRPr="00C05DB7">
        <w:rPr>
          <w:rFonts w:eastAsia="Times New Roman"/>
          <w:szCs w:val="24"/>
          <w:lang w:eastAsia="tr-TR"/>
        </w:rPr>
        <w:t xml:space="preserve">eaksiyon ürününün 570 nm'deki renk yoğunluğu, numunedeki glikoz </w:t>
      </w:r>
      <w:proofErr w:type="gramStart"/>
      <w:r w:rsidRPr="00C05DB7">
        <w:rPr>
          <w:rFonts w:eastAsia="Times New Roman"/>
          <w:szCs w:val="24"/>
          <w:lang w:eastAsia="tr-TR"/>
        </w:rPr>
        <w:t>konsantrasyonuyla</w:t>
      </w:r>
      <w:proofErr w:type="gramEnd"/>
      <w:r w:rsidRPr="00C05DB7">
        <w:rPr>
          <w:rFonts w:eastAsia="Times New Roman"/>
          <w:szCs w:val="24"/>
          <w:lang w:eastAsia="tr-TR"/>
        </w:rPr>
        <w:t xml:space="preserve"> doğrudan orantılıdır</w:t>
      </w:r>
      <w:r>
        <w:rPr>
          <w:rFonts w:eastAsia="Times New Roman"/>
          <w:szCs w:val="24"/>
          <w:lang w:eastAsia="tr-TR"/>
        </w:rPr>
        <w:t>.</w:t>
      </w:r>
    </w:p>
    <w:p w:rsidR="00A40077" w:rsidRDefault="00A40077" w:rsidP="00A40077">
      <w:pPr>
        <w:rPr>
          <w:rFonts w:eastAsia="Times New Roman"/>
          <w:b/>
          <w:szCs w:val="24"/>
          <w:lang w:eastAsia="tr-TR"/>
        </w:rPr>
      </w:pPr>
      <w:r w:rsidRPr="00354484">
        <w:rPr>
          <w:rFonts w:eastAsia="Times New Roman"/>
          <w:b/>
          <w:szCs w:val="24"/>
          <w:lang w:eastAsia="tr-TR"/>
        </w:rPr>
        <w:t>Test Prosedürü</w:t>
      </w:r>
    </w:p>
    <w:p w:rsidR="00A40077" w:rsidRPr="00354484" w:rsidRDefault="00A40077" w:rsidP="00A40077">
      <w:pPr>
        <w:pStyle w:val="ListeParagraf"/>
        <w:numPr>
          <w:ilvl w:val="0"/>
          <w:numId w:val="17"/>
        </w:numPr>
        <w:spacing w:after="200"/>
        <w:rPr>
          <w:rFonts w:eastAsia="Times New Roman"/>
          <w:szCs w:val="24"/>
          <w:lang w:eastAsia="tr-TR"/>
        </w:rPr>
      </w:pPr>
      <w:r w:rsidRPr="00354484">
        <w:rPr>
          <w:rFonts w:eastAsia="Times New Roman"/>
          <w:szCs w:val="24"/>
          <w:lang w:eastAsia="tr-TR"/>
        </w:rPr>
        <w:t xml:space="preserve">Analizde kullanılacak tüm bileşenler oda sıcaklığına getirildi. Deney esnasında, çözülen enzim buz üzerinde tutuldu. </w:t>
      </w:r>
    </w:p>
    <w:p w:rsidR="00A40077" w:rsidRDefault="00A40077" w:rsidP="00A40077">
      <w:pPr>
        <w:pStyle w:val="ListeParagraf"/>
        <w:numPr>
          <w:ilvl w:val="0"/>
          <w:numId w:val="17"/>
        </w:numPr>
        <w:spacing w:after="200"/>
        <w:rPr>
          <w:rFonts w:eastAsia="Times New Roman"/>
          <w:szCs w:val="24"/>
          <w:lang w:eastAsia="tr-TR"/>
        </w:rPr>
      </w:pPr>
      <w:r w:rsidRPr="006E61B9">
        <w:rPr>
          <w:rFonts w:eastAsia="Times New Roman"/>
          <w:b/>
          <w:szCs w:val="24"/>
          <w:lang w:eastAsia="tr-TR"/>
        </w:rPr>
        <w:t>Standart ve numuneler</w:t>
      </w:r>
      <w:r w:rsidRPr="006E61B9">
        <w:rPr>
          <w:rFonts w:eastAsia="Times New Roman"/>
          <w:szCs w:val="24"/>
          <w:lang w:eastAsia="tr-TR"/>
        </w:rPr>
        <w:t xml:space="preserve">: 300 mg/dL standarttan </w:t>
      </w:r>
      <w:r>
        <w:rPr>
          <w:rFonts w:eastAsia="Times New Roman"/>
          <w:szCs w:val="24"/>
          <w:lang w:eastAsia="tr-TR"/>
        </w:rPr>
        <w:t xml:space="preserve">protokole uygun olarak </w:t>
      </w:r>
      <w:r w:rsidRPr="006E61B9">
        <w:rPr>
          <w:rFonts w:eastAsia="Times New Roman"/>
          <w:szCs w:val="24"/>
          <w:lang w:eastAsia="tr-TR"/>
        </w:rPr>
        <w:t xml:space="preserve">300 </w:t>
      </w:r>
      <w:r w:rsidRPr="006E61B9">
        <w:rPr>
          <w:rFonts w:eastAsia="Times New Roman" w:cs="Times New Roman"/>
          <w:szCs w:val="24"/>
          <w:lang w:eastAsia="tr-TR"/>
        </w:rPr>
        <w:t>µ</w:t>
      </w:r>
      <w:r w:rsidRPr="006E61B9">
        <w:rPr>
          <w:rFonts w:eastAsia="Times New Roman"/>
          <w:szCs w:val="24"/>
          <w:lang w:eastAsia="tr-TR"/>
        </w:rPr>
        <w:t xml:space="preserve">M standart hazırlandı. </w:t>
      </w:r>
      <w:r w:rsidRPr="006E61B9">
        <w:rPr>
          <w:rFonts w:eastAsia="Times New Roman" w:cs="Times New Roman"/>
          <w:szCs w:val="24"/>
          <w:lang w:eastAsia="tr-TR"/>
        </w:rPr>
        <w:t xml:space="preserve">Standart grafiği için gerekli olan seri dilusyonlar </w:t>
      </w:r>
      <w:r w:rsidRPr="00C07866">
        <w:rPr>
          <w:rFonts w:eastAsia="Times New Roman" w:cs="Times New Roman"/>
          <w:szCs w:val="24"/>
          <w:lang w:eastAsia="tr-TR"/>
        </w:rPr>
        <w:t>Tablo 3’de</w:t>
      </w:r>
      <w:r w:rsidRPr="006E61B9">
        <w:rPr>
          <w:rFonts w:eastAsia="Times New Roman" w:cs="Times New Roman"/>
          <w:szCs w:val="24"/>
          <w:lang w:eastAsia="tr-TR"/>
        </w:rPr>
        <w:t xml:space="preserve"> belirtildiği gibi hazırlanarak uygun miktarlarda distile su ile seyreltildi. </w:t>
      </w:r>
      <w:r w:rsidR="0088250B">
        <w:rPr>
          <w:rFonts w:eastAsia="Times New Roman" w:cs="Times New Roman"/>
          <w:szCs w:val="24"/>
          <w:lang w:eastAsia="tr-TR"/>
        </w:rPr>
        <w:t>Standard grafiği Şekil 21</w:t>
      </w:r>
      <w:r>
        <w:rPr>
          <w:rFonts w:eastAsia="Times New Roman" w:cs="Times New Roman"/>
          <w:szCs w:val="24"/>
          <w:lang w:eastAsia="tr-TR"/>
        </w:rPr>
        <w:t>’de verilmiştir.</w:t>
      </w:r>
      <w:r w:rsidRPr="006E61B9">
        <w:rPr>
          <w:rFonts w:eastAsia="Times New Roman"/>
          <w:szCs w:val="24"/>
          <w:lang w:eastAsia="tr-TR"/>
        </w:rPr>
        <w:t xml:space="preserve">     </w:t>
      </w:r>
    </w:p>
    <w:p w:rsidR="00A40077" w:rsidRDefault="00A40077" w:rsidP="00A40077">
      <w:pPr>
        <w:rPr>
          <w:rFonts w:eastAsia="Times New Roman"/>
          <w:szCs w:val="24"/>
          <w:lang w:eastAsia="tr-TR"/>
        </w:rPr>
      </w:pPr>
    </w:p>
    <w:p w:rsidR="003A2F7A" w:rsidRPr="001560AD" w:rsidRDefault="003A2F7A" w:rsidP="00A40077">
      <w:pPr>
        <w:rPr>
          <w:rFonts w:eastAsia="Times New Roman"/>
          <w:szCs w:val="24"/>
          <w:lang w:eastAsia="tr-TR"/>
        </w:rPr>
      </w:pPr>
    </w:p>
    <w:p w:rsidR="00A40077" w:rsidRDefault="00A40077" w:rsidP="00A40077">
      <w:pPr>
        <w:pStyle w:val="ListeParagraf"/>
        <w:rPr>
          <w:rFonts w:eastAsia="Times New Roman"/>
          <w:b/>
          <w:szCs w:val="24"/>
          <w:lang w:eastAsia="tr-TR"/>
        </w:rPr>
      </w:pPr>
    </w:p>
    <w:p w:rsidR="00A40077" w:rsidRPr="001C7A5C" w:rsidRDefault="00A40077" w:rsidP="003A2F7A">
      <w:pPr>
        <w:pStyle w:val="Balk2"/>
        <w:rPr>
          <w:rFonts w:eastAsia="Times New Roman"/>
          <w:lang w:eastAsia="tr-TR"/>
        </w:rPr>
      </w:pPr>
      <w:r w:rsidRPr="001C7A5C">
        <w:rPr>
          <w:rFonts w:eastAsia="Times New Roman"/>
          <w:lang w:eastAsia="tr-TR"/>
        </w:rPr>
        <w:lastRenderedPageBreak/>
        <w:t xml:space="preserve">Tablo 3. </w:t>
      </w:r>
      <w:r w:rsidR="007266DD">
        <w:rPr>
          <w:rFonts w:eastAsia="Times New Roman"/>
          <w:b w:val="0"/>
          <w:lang w:eastAsia="tr-TR"/>
        </w:rPr>
        <w:t>Glukoz s</w:t>
      </w:r>
      <w:r w:rsidRPr="003A2F7A">
        <w:rPr>
          <w:rFonts w:eastAsia="Times New Roman"/>
          <w:b w:val="0"/>
          <w:lang w:eastAsia="tr-TR"/>
        </w:rPr>
        <w:t>tandart</w:t>
      </w:r>
      <w:r w:rsidR="007266DD">
        <w:rPr>
          <w:rFonts w:eastAsia="Times New Roman"/>
          <w:b w:val="0"/>
          <w:lang w:eastAsia="tr-TR"/>
        </w:rPr>
        <w:t>larının h</w:t>
      </w:r>
      <w:r w:rsidRPr="003A2F7A">
        <w:rPr>
          <w:rFonts w:eastAsia="Times New Roman"/>
          <w:b w:val="0"/>
          <w:lang w:eastAsia="tr-TR"/>
        </w:rPr>
        <w:t>azırlanması</w:t>
      </w:r>
      <w:r w:rsidR="00B02C28">
        <w:rPr>
          <w:rFonts w:eastAsia="Times New Roman"/>
          <w:b w:val="0"/>
          <w:lang w:eastAsia="tr-TR"/>
        </w:rPr>
        <w:t>.</w:t>
      </w:r>
    </w:p>
    <w:tbl>
      <w:tblPr>
        <w:tblStyle w:val="AkGlgeleme-Vurgu4"/>
        <w:tblW w:w="6696" w:type="dxa"/>
        <w:tblInd w:w="108" w:type="dxa"/>
        <w:tblBorders>
          <w:top w:val="single" w:sz="4" w:space="0" w:color="auto"/>
          <w:bottom w:val="single" w:sz="4" w:space="0" w:color="auto"/>
        </w:tblBorders>
        <w:tblLook w:val="04A0" w:firstRow="1" w:lastRow="0" w:firstColumn="1" w:lastColumn="0" w:noHBand="0" w:noVBand="1"/>
      </w:tblPr>
      <w:tblGrid>
        <w:gridCol w:w="1593"/>
        <w:gridCol w:w="1701"/>
        <w:gridCol w:w="1701"/>
        <w:gridCol w:w="1701"/>
      </w:tblGrid>
      <w:tr w:rsidR="00A40077" w:rsidRPr="00140AF3" w:rsidTr="00C5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auto"/>
              <w:left w:val="none" w:sz="0" w:space="0" w:color="auto"/>
              <w:bottom w:val="single" w:sz="4" w:space="0" w:color="auto"/>
              <w:right w:val="none" w:sz="0" w:space="0" w:color="auto"/>
            </w:tcBorders>
            <w:shd w:val="clear" w:color="auto" w:fill="auto"/>
          </w:tcPr>
          <w:p w:rsidR="00A40077" w:rsidRPr="00140AF3" w:rsidRDefault="00A40077" w:rsidP="00A40077">
            <w:pPr>
              <w:jc w:val="center"/>
            </w:pPr>
            <w:r w:rsidRPr="00140AF3">
              <w:t>No</w:t>
            </w:r>
          </w:p>
        </w:tc>
        <w:tc>
          <w:tcPr>
            <w:tcW w:w="1701" w:type="dxa"/>
            <w:tcBorders>
              <w:top w:val="single" w:sz="4" w:space="0" w:color="auto"/>
              <w:left w:val="none" w:sz="0" w:space="0" w:color="auto"/>
              <w:bottom w:val="single" w:sz="4" w:space="0" w:color="auto"/>
              <w:right w:val="none" w:sz="0" w:space="0" w:color="auto"/>
            </w:tcBorders>
            <w:shd w:val="clear" w:color="auto" w:fill="auto"/>
          </w:tcPr>
          <w:p w:rsidR="006F4696" w:rsidRDefault="006F4696" w:rsidP="006F4696">
            <w:pPr>
              <w:ind w:firstLine="0"/>
              <w:cnfStyle w:val="100000000000" w:firstRow="1" w:lastRow="0" w:firstColumn="0" w:lastColumn="0" w:oddVBand="0" w:evenVBand="0" w:oddHBand="0" w:evenHBand="0" w:firstRowFirstColumn="0" w:firstRowLastColumn="0" w:lastRowFirstColumn="0" w:lastRowLastColumn="0"/>
            </w:pPr>
            <w:r>
              <w:t xml:space="preserve">       </w:t>
            </w:r>
            <w:r w:rsidR="00A40077" w:rsidRPr="00140AF3">
              <w:t xml:space="preserve">300 µM </w:t>
            </w:r>
            <w:r>
              <w:t xml:space="preserve"> </w:t>
            </w:r>
          </w:p>
          <w:p w:rsidR="00A40077" w:rsidRPr="00140AF3" w:rsidRDefault="006F4696" w:rsidP="006F4696">
            <w:pPr>
              <w:ind w:firstLine="0"/>
              <w:cnfStyle w:val="100000000000" w:firstRow="1" w:lastRow="0" w:firstColumn="0" w:lastColumn="0" w:oddVBand="0" w:evenVBand="0" w:oddHBand="0" w:evenHBand="0" w:firstRowFirstColumn="0" w:firstRowLastColumn="0" w:lastRowFirstColumn="0" w:lastRowLastColumn="0"/>
            </w:pPr>
            <w:r>
              <w:t xml:space="preserve">     </w:t>
            </w:r>
            <w:r w:rsidR="00A40077" w:rsidRPr="00140AF3">
              <w:t xml:space="preserve">STD+ </w:t>
            </w:r>
            <w:r w:rsidR="00A40077" w:rsidRPr="00721D57">
              <w:rPr>
                <w:color w:val="FF0000"/>
              </w:rPr>
              <w:t>H</w:t>
            </w:r>
            <w:r w:rsidR="00A40077" w:rsidRPr="00721D57">
              <w:rPr>
                <w:color w:val="FF0000"/>
                <w:vertAlign w:val="subscript"/>
              </w:rPr>
              <w:t>2</w:t>
            </w:r>
            <w:r w:rsidR="00A40077" w:rsidRPr="00721D57">
              <w:rPr>
                <w:color w:val="FF0000"/>
              </w:rPr>
              <w:t>O</w:t>
            </w:r>
          </w:p>
        </w:tc>
        <w:tc>
          <w:tcPr>
            <w:tcW w:w="1701" w:type="dxa"/>
            <w:tcBorders>
              <w:top w:val="single" w:sz="4" w:space="0" w:color="auto"/>
              <w:left w:val="none" w:sz="0" w:space="0" w:color="auto"/>
              <w:bottom w:val="single" w:sz="4" w:space="0" w:color="auto"/>
              <w:right w:val="none" w:sz="0" w:space="0" w:color="auto"/>
            </w:tcBorders>
            <w:shd w:val="clear" w:color="auto" w:fill="auto"/>
          </w:tcPr>
          <w:p w:rsidR="006F4696" w:rsidRDefault="006F4696" w:rsidP="006F4696">
            <w:pPr>
              <w:ind w:firstLine="0"/>
              <w:cnfStyle w:val="100000000000" w:firstRow="1" w:lastRow="0" w:firstColumn="0" w:lastColumn="0" w:oddVBand="0" w:evenVBand="0" w:oddHBand="0" w:evenHBand="0" w:firstRowFirstColumn="0" w:firstRowLastColumn="0" w:lastRowFirstColumn="0" w:lastRowLastColumn="0"/>
            </w:pPr>
            <w:r>
              <w:t xml:space="preserve">          </w:t>
            </w:r>
            <w:r w:rsidR="00A40077" w:rsidRPr="00140AF3">
              <w:t xml:space="preserve">Hacim </w:t>
            </w:r>
            <w:r>
              <w:t xml:space="preserve"> </w:t>
            </w:r>
          </w:p>
          <w:p w:rsidR="00A40077" w:rsidRPr="00140AF3" w:rsidRDefault="006F4696" w:rsidP="006F4696">
            <w:pPr>
              <w:ind w:firstLine="0"/>
              <w:cnfStyle w:val="100000000000" w:firstRow="1" w:lastRow="0" w:firstColumn="0" w:lastColumn="0" w:oddVBand="0" w:evenVBand="0" w:oddHBand="0" w:evenHBand="0" w:firstRowFirstColumn="0" w:firstRowLastColumn="0" w:lastRowFirstColumn="0" w:lastRowLastColumn="0"/>
            </w:pPr>
            <w:r>
              <w:t xml:space="preserve">            </w:t>
            </w:r>
            <w:r w:rsidR="00A40077" w:rsidRPr="00140AF3">
              <w:t>(µL)</w:t>
            </w:r>
          </w:p>
        </w:tc>
        <w:tc>
          <w:tcPr>
            <w:tcW w:w="1701" w:type="dxa"/>
            <w:tcBorders>
              <w:top w:val="single" w:sz="4" w:space="0" w:color="auto"/>
              <w:left w:val="none" w:sz="0" w:space="0" w:color="auto"/>
              <w:bottom w:val="single" w:sz="4" w:space="0" w:color="auto"/>
              <w:right w:val="none" w:sz="0" w:space="0" w:color="auto"/>
            </w:tcBorders>
            <w:shd w:val="clear" w:color="auto" w:fill="auto"/>
          </w:tcPr>
          <w:p w:rsidR="006F4696" w:rsidRDefault="006F4696" w:rsidP="006F4696">
            <w:pPr>
              <w:ind w:firstLine="0"/>
              <w:cnfStyle w:val="100000000000" w:firstRow="1" w:lastRow="0" w:firstColumn="0" w:lastColumn="0" w:oddVBand="0" w:evenVBand="0" w:oddHBand="0" w:evenHBand="0" w:firstRowFirstColumn="0" w:firstRowLastColumn="0" w:lastRowFirstColumn="0" w:lastRowLastColumn="0"/>
            </w:pPr>
            <w:r>
              <w:t xml:space="preserve">          Glu</w:t>
            </w:r>
            <w:r w:rsidR="00A40077" w:rsidRPr="00140AF3">
              <w:t xml:space="preserve">koz </w:t>
            </w:r>
            <w:r>
              <w:t xml:space="preserve"> </w:t>
            </w:r>
          </w:p>
          <w:p w:rsidR="00A40077" w:rsidRPr="00140AF3" w:rsidRDefault="006F4696" w:rsidP="006F4696">
            <w:pPr>
              <w:ind w:firstLine="0"/>
              <w:cnfStyle w:val="100000000000" w:firstRow="1" w:lastRow="0" w:firstColumn="0" w:lastColumn="0" w:oddVBand="0" w:evenVBand="0" w:oddHBand="0" w:evenHBand="0" w:firstRowFirstColumn="0" w:firstRowLastColumn="0" w:lastRowFirstColumn="0" w:lastRowLastColumn="0"/>
            </w:pPr>
            <w:r>
              <w:t xml:space="preserve">           </w:t>
            </w:r>
            <w:r w:rsidR="00A40077" w:rsidRPr="00140AF3">
              <w:t>(µM)</w:t>
            </w:r>
          </w:p>
        </w:tc>
      </w:tr>
      <w:tr w:rsidR="00A40077" w:rsidRPr="00140AF3" w:rsidTr="00C5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auto"/>
              <w:left w:val="none" w:sz="0" w:space="0" w:color="auto"/>
              <w:right w:val="none" w:sz="0" w:space="0" w:color="auto"/>
            </w:tcBorders>
            <w:shd w:val="clear" w:color="auto" w:fill="auto"/>
          </w:tcPr>
          <w:p w:rsidR="00A40077" w:rsidRPr="00140AF3" w:rsidRDefault="00A40077" w:rsidP="00A40077">
            <w:pPr>
              <w:jc w:val="center"/>
            </w:pPr>
            <w:r w:rsidRPr="00140AF3">
              <w:t>1</w:t>
            </w:r>
          </w:p>
        </w:tc>
        <w:tc>
          <w:tcPr>
            <w:tcW w:w="1701" w:type="dxa"/>
            <w:tcBorders>
              <w:top w:val="single" w:sz="4" w:space="0" w:color="auto"/>
              <w:left w:val="none" w:sz="0" w:space="0" w:color="auto"/>
              <w:right w:val="none" w:sz="0" w:space="0" w:color="auto"/>
            </w:tcBorders>
            <w:shd w:val="clear" w:color="auto" w:fill="auto"/>
          </w:tcPr>
          <w:p w:rsidR="00721D57" w:rsidRDefault="00A40077" w:rsidP="00721D57">
            <w:pPr>
              <w:ind w:firstLine="0"/>
              <w:jc w:val="center"/>
              <w:cnfStyle w:val="000000100000" w:firstRow="0" w:lastRow="0" w:firstColumn="0" w:lastColumn="0" w:oddVBand="0" w:evenVBand="0" w:oddHBand="1" w:evenHBand="0" w:firstRowFirstColumn="0" w:firstRowLastColumn="0" w:lastRowFirstColumn="0" w:lastRowLastColumn="0"/>
              <w:rPr>
                <w:b/>
              </w:rPr>
            </w:pPr>
            <w:r w:rsidRPr="00140AF3">
              <w:rPr>
                <w:b/>
              </w:rPr>
              <w:t>200 µL</w:t>
            </w:r>
          </w:p>
          <w:p w:rsidR="00A40077" w:rsidRPr="00721D57" w:rsidRDefault="00A40077" w:rsidP="00721D57">
            <w:pPr>
              <w:ind w:firstLine="0"/>
              <w:jc w:val="center"/>
              <w:cnfStyle w:val="000000100000" w:firstRow="0" w:lastRow="0" w:firstColumn="0" w:lastColumn="0" w:oddVBand="0" w:evenVBand="0" w:oddHBand="1" w:evenHBand="0" w:firstRowFirstColumn="0" w:firstRowLastColumn="0" w:lastRowFirstColumn="0" w:lastRowLastColumn="0"/>
              <w:rPr>
                <w:b/>
                <w:color w:val="FF0000"/>
              </w:rPr>
            </w:pPr>
            <w:r w:rsidRPr="00721D57">
              <w:rPr>
                <w:b/>
                <w:color w:val="FF0000"/>
              </w:rPr>
              <w:t xml:space="preserve">+ </w:t>
            </w:r>
            <w:r w:rsidR="00721D57" w:rsidRPr="00721D57">
              <w:rPr>
                <w:b/>
                <w:color w:val="FF0000"/>
              </w:rPr>
              <w:t>0</w:t>
            </w:r>
            <w:r w:rsidRPr="00721D57">
              <w:rPr>
                <w:b/>
                <w:color w:val="FF0000"/>
              </w:rPr>
              <w:t xml:space="preserve"> µL</w:t>
            </w:r>
          </w:p>
        </w:tc>
        <w:tc>
          <w:tcPr>
            <w:tcW w:w="1701" w:type="dxa"/>
            <w:tcBorders>
              <w:top w:val="single" w:sz="4" w:space="0" w:color="auto"/>
              <w:left w:val="none" w:sz="0" w:space="0" w:color="auto"/>
              <w:right w:val="none" w:sz="0" w:space="0" w:color="auto"/>
            </w:tcBorders>
            <w:shd w:val="clear" w:color="auto" w:fill="auto"/>
          </w:tcPr>
          <w:p w:rsidR="00A40077" w:rsidRPr="00140AF3" w:rsidRDefault="00A40077" w:rsidP="006F4696">
            <w:pPr>
              <w:jc w:val="center"/>
              <w:cnfStyle w:val="000000100000" w:firstRow="0" w:lastRow="0" w:firstColumn="0" w:lastColumn="0" w:oddVBand="0" w:evenVBand="0" w:oddHBand="1" w:evenHBand="0" w:firstRowFirstColumn="0" w:firstRowLastColumn="0" w:lastRowFirstColumn="0" w:lastRowLastColumn="0"/>
              <w:rPr>
                <w:b/>
              </w:rPr>
            </w:pPr>
            <w:r w:rsidRPr="00140AF3">
              <w:rPr>
                <w:b/>
              </w:rPr>
              <w:t>200</w:t>
            </w:r>
          </w:p>
        </w:tc>
        <w:tc>
          <w:tcPr>
            <w:tcW w:w="1701" w:type="dxa"/>
            <w:tcBorders>
              <w:top w:val="single" w:sz="4" w:space="0" w:color="auto"/>
              <w:left w:val="none" w:sz="0" w:space="0" w:color="auto"/>
              <w:right w:val="none" w:sz="0" w:space="0" w:color="auto"/>
            </w:tcBorders>
            <w:shd w:val="clear" w:color="auto" w:fill="auto"/>
          </w:tcPr>
          <w:p w:rsidR="00A40077" w:rsidRPr="00140AF3" w:rsidRDefault="00A40077" w:rsidP="006F4696">
            <w:pPr>
              <w:jc w:val="center"/>
              <w:cnfStyle w:val="000000100000" w:firstRow="0" w:lastRow="0" w:firstColumn="0" w:lastColumn="0" w:oddVBand="0" w:evenVBand="0" w:oddHBand="1" w:evenHBand="0" w:firstRowFirstColumn="0" w:firstRowLastColumn="0" w:lastRowFirstColumn="0" w:lastRowLastColumn="0"/>
              <w:rPr>
                <w:b/>
              </w:rPr>
            </w:pPr>
            <w:r w:rsidRPr="00140AF3">
              <w:rPr>
                <w:b/>
              </w:rPr>
              <w:t>300</w:t>
            </w:r>
          </w:p>
        </w:tc>
      </w:tr>
      <w:tr w:rsidR="00A40077" w:rsidRPr="00140AF3" w:rsidTr="00C52D88">
        <w:tc>
          <w:tcPr>
            <w:cnfStyle w:val="001000000000" w:firstRow="0" w:lastRow="0" w:firstColumn="1" w:lastColumn="0" w:oddVBand="0" w:evenVBand="0" w:oddHBand="0" w:evenHBand="0" w:firstRowFirstColumn="0" w:firstRowLastColumn="0" w:lastRowFirstColumn="0" w:lastRowLastColumn="0"/>
            <w:tcW w:w="1593" w:type="dxa"/>
            <w:shd w:val="clear" w:color="auto" w:fill="auto"/>
          </w:tcPr>
          <w:p w:rsidR="00A40077" w:rsidRPr="00140AF3" w:rsidRDefault="00A40077" w:rsidP="00A40077">
            <w:pPr>
              <w:jc w:val="center"/>
            </w:pPr>
            <w:r w:rsidRPr="00140AF3">
              <w:t>2</w:t>
            </w:r>
          </w:p>
        </w:tc>
        <w:tc>
          <w:tcPr>
            <w:tcW w:w="1701" w:type="dxa"/>
            <w:shd w:val="clear" w:color="auto" w:fill="auto"/>
          </w:tcPr>
          <w:p w:rsidR="00721D57" w:rsidRDefault="00A40077" w:rsidP="00721D57">
            <w:pPr>
              <w:ind w:firstLine="0"/>
              <w:jc w:val="center"/>
              <w:cnfStyle w:val="000000000000" w:firstRow="0" w:lastRow="0" w:firstColumn="0" w:lastColumn="0" w:oddVBand="0" w:evenVBand="0" w:oddHBand="0" w:evenHBand="0" w:firstRowFirstColumn="0" w:firstRowLastColumn="0" w:lastRowFirstColumn="0" w:lastRowLastColumn="0"/>
              <w:rPr>
                <w:b/>
              </w:rPr>
            </w:pPr>
            <w:r w:rsidRPr="00140AF3">
              <w:rPr>
                <w:b/>
              </w:rPr>
              <w:t>120 µL</w:t>
            </w:r>
          </w:p>
          <w:p w:rsidR="00A40077" w:rsidRPr="00721D57" w:rsidRDefault="00A40077" w:rsidP="00721D57">
            <w:pPr>
              <w:ind w:firstLine="0"/>
              <w:jc w:val="center"/>
              <w:cnfStyle w:val="000000000000" w:firstRow="0" w:lastRow="0" w:firstColumn="0" w:lastColumn="0" w:oddVBand="0" w:evenVBand="0" w:oddHBand="0" w:evenHBand="0" w:firstRowFirstColumn="0" w:firstRowLastColumn="0" w:lastRowFirstColumn="0" w:lastRowLastColumn="0"/>
              <w:rPr>
                <w:b/>
                <w:color w:val="FF0000"/>
              </w:rPr>
            </w:pPr>
            <w:r w:rsidRPr="00721D57">
              <w:rPr>
                <w:b/>
                <w:color w:val="FF0000"/>
              </w:rPr>
              <w:t>+ 80 µL</w:t>
            </w:r>
          </w:p>
        </w:tc>
        <w:tc>
          <w:tcPr>
            <w:tcW w:w="1701" w:type="dxa"/>
            <w:shd w:val="clear" w:color="auto" w:fill="auto"/>
          </w:tcPr>
          <w:p w:rsidR="00A40077" w:rsidRPr="00140AF3" w:rsidRDefault="00A40077" w:rsidP="006F4696">
            <w:pPr>
              <w:jc w:val="center"/>
              <w:cnfStyle w:val="000000000000" w:firstRow="0" w:lastRow="0" w:firstColumn="0" w:lastColumn="0" w:oddVBand="0" w:evenVBand="0" w:oddHBand="0" w:evenHBand="0" w:firstRowFirstColumn="0" w:firstRowLastColumn="0" w:lastRowFirstColumn="0" w:lastRowLastColumn="0"/>
              <w:rPr>
                <w:b/>
              </w:rPr>
            </w:pPr>
            <w:r w:rsidRPr="00140AF3">
              <w:rPr>
                <w:b/>
              </w:rPr>
              <w:t>200</w:t>
            </w:r>
          </w:p>
        </w:tc>
        <w:tc>
          <w:tcPr>
            <w:tcW w:w="1701" w:type="dxa"/>
            <w:shd w:val="clear" w:color="auto" w:fill="auto"/>
          </w:tcPr>
          <w:p w:rsidR="00A40077" w:rsidRPr="00140AF3" w:rsidRDefault="00A40077" w:rsidP="006F4696">
            <w:pPr>
              <w:jc w:val="center"/>
              <w:cnfStyle w:val="000000000000" w:firstRow="0" w:lastRow="0" w:firstColumn="0" w:lastColumn="0" w:oddVBand="0" w:evenVBand="0" w:oddHBand="0" w:evenHBand="0" w:firstRowFirstColumn="0" w:firstRowLastColumn="0" w:lastRowFirstColumn="0" w:lastRowLastColumn="0"/>
              <w:rPr>
                <w:b/>
              </w:rPr>
            </w:pPr>
            <w:r w:rsidRPr="00140AF3">
              <w:rPr>
                <w:b/>
              </w:rPr>
              <w:t>180</w:t>
            </w:r>
          </w:p>
        </w:tc>
      </w:tr>
      <w:tr w:rsidR="00A40077" w:rsidRPr="00140AF3" w:rsidTr="00C5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left w:val="none" w:sz="0" w:space="0" w:color="auto"/>
              <w:right w:val="none" w:sz="0" w:space="0" w:color="auto"/>
            </w:tcBorders>
            <w:shd w:val="clear" w:color="auto" w:fill="auto"/>
          </w:tcPr>
          <w:p w:rsidR="00A40077" w:rsidRPr="00140AF3" w:rsidRDefault="00A40077" w:rsidP="00A40077">
            <w:pPr>
              <w:jc w:val="center"/>
            </w:pPr>
            <w:r w:rsidRPr="00140AF3">
              <w:t>3</w:t>
            </w:r>
          </w:p>
        </w:tc>
        <w:tc>
          <w:tcPr>
            <w:tcW w:w="1701" w:type="dxa"/>
            <w:tcBorders>
              <w:left w:val="none" w:sz="0" w:space="0" w:color="auto"/>
              <w:right w:val="none" w:sz="0" w:space="0" w:color="auto"/>
            </w:tcBorders>
            <w:shd w:val="clear" w:color="auto" w:fill="auto"/>
          </w:tcPr>
          <w:p w:rsidR="006F4696" w:rsidRDefault="00A40077" w:rsidP="00721D57">
            <w:pPr>
              <w:ind w:firstLine="0"/>
              <w:jc w:val="center"/>
              <w:cnfStyle w:val="000000100000" w:firstRow="0" w:lastRow="0" w:firstColumn="0" w:lastColumn="0" w:oddVBand="0" w:evenVBand="0" w:oddHBand="1" w:evenHBand="0" w:firstRowFirstColumn="0" w:firstRowLastColumn="0" w:lastRowFirstColumn="0" w:lastRowLastColumn="0"/>
              <w:rPr>
                <w:b/>
              </w:rPr>
            </w:pPr>
            <w:r w:rsidRPr="006F4696">
              <w:rPr>
                <w:b/>
              </w:rPr>
              <w:t>60</w:t>
            </w:r>
            <w:r w:rsidR="006F4696" w:rsidRPr="006F4696">
              <w:rPr>
                <w:b/>
              </w:rPr>
              <w:t xml:space="preserve"> µL</w:t>
            </w:r>
          </w:p>
          <w:p w:rsidR="00A40077" w:rsidRPr="00721D57" w:rsidRDefault="00A40077" w:rsidP="00721D57">
            <w:pPr>
              <w:ind w:firstLine="0"/>
              <w:jc w:val="center"/>
              <w:cnfStyle w:val="000000100000" w:firstRow="0" w:lastRow="0" w:firstColumn="0" w:lastColumn="0" w:oddVBand="0" w:evenVBand="0" w:oddHBand="1" w:evenHBand="0" w:firstRowFirstColumn="0" w:firstRowLastColumn="0" w:lastRowFirstColumn="0" w:lastRowLastColumn="0"/>
              <w:rPr>
                <w:b/>
                <w:color w:val="FF0000"/>
              </w:rPr>
            </w:pPr>
            <w:r w:rsidRPr="00721D57">
              <w:rPr>
                <w:b/>
                <w:color w:val="FF0000"/>
              </w:rPr>
              <w:t>+140 µL</w:t>
            </w:r>
          </w:p>
        </w:tc>
        <w:tc>
          <w:tcPr>
            <w:tcW w:w="1701" w:type="dxa"/>
            <w:tcBorders>
              <w:left w:val="none" w:sz="0" w:space="0" w:color="auto"/>
              <w:right w:val="none" w:sz="0" w:space="0" w:color="auto"/>
            </w:tcBorders>
            <w:shd w:val="clear" w:color="auto" w:fill="auto"/>
          </w:tcPr>
          <w:p w:rsidR="00A40077" w:rsidRPr="00140AF3" w:rsidRDefault="00A40077" w:rsidP="006F4696">
            <w:pPr>
              <w:jc w:val="center"/>
              <w:cnfStyle w:val="000000100000" w:firstRow="0" w:lastRow="0" w:firstColumn="0" w:lastColumn="0" w:oddVBand="0" w:evenVBand="0" w:oddHBand="1" w:evenHBand="0" w:firstRowFirstColumn="0" w:firstRowLastColumn="0" w:lastRowFirstColumn="0" w:lastRowLastColumn="0"/>
              <w:rPr>
                <w:b/>
              </w:rPr>
            </w:pPr>
            <w:r w:rsidRPr="00140AF3">
              <w:rPr>
                <w:b/>
              </w:rPr>
              <w:t>200</w:t>
            </w:r>
          </w:p>
        </w:tc>
        <w:tc>
          <w:tcPr>
            <w:tcW w:w="1701" w:type="dxa"/>
            <w:tcBorders>
              <w:left w:val="none" w:sz="0" w:space="0" w:color="auto"/>
              <w:right w:val="none" w:sz="0" w:space="0" w:color="auto"/>
            </w:tcBorders>
            <w:shd w:val="clear" w:color="auto" w:fill="auto"/>
          </w:tcPr>
          <w:p w:rsidR="00A40077" w:rsidRPr="00140AF3" w:rsidRDefault="00A40077" w:rsidP="006F4696">
            <w:pPr>
              <w:jc w:val="center"/>
              <w:cnfStyle w:val="000000100000" w:firstRow="0" w:lastRow="0" w:firstColumn="0" w:lastColumn="0" w:oddVBand="0" w:evenVBand="0" w:oddHBand="1" w:evenHBand="0" w:firstRowFirstColumn="0" w:firstRowLastColumn="0" w:lastRowFirstColumn="0" w:lastRowLastColumn="0"/>
              <w:rPr>
                <w:b/>
              </w:rPr>
            </w:pPr>
            <w:r w:rsidRPr="00140AF3">
              <w:rPr>
                <w:b/>
              </w:rPr>
              <w:t>90</w:t>
            </w:r>
          </w:p>
        </w:tc>
      </w:tr>
      <w:tr w:rsidR="00A40077" w:rsidRPr="00140AF3" w:rsidTr="00C52D88">
        <w:tc>
          <w:tcPr>
            <w:cnfStyle w:val="001000000000" w:firstRow="0" w:lastRow="0" w:firstColumn="1" w:lastColumn="0" w:oddVBand="0" w:evenVBand="0" w:oddHBand="0" w:evenHBand="0" w:firstRowFirstColumn="0" w:firstRowLastColumn="0" w:lastRowFirstColumn="0" w:lastRowLastColumn="0"/>
            <w:tcW w:w="1593" w:type="dxa"/>
            <w:shd w:val="clear" w:color="auto" w:fill="auto"/>
          </w:tcPr>
          <w:p w:rsidR="00A40077" w:rsidRPr="00140AF3" w:rsidRDefault="00A40077" w:rsidP="00A40077">
            <w:pPr>
              <w:jc w:val="center"/>
            </w:pPr>
            <w:r w:rsidRPr="00140AF3">
              <w:t>4</w:t>
            </w:r>
          </w:p>
        </w:tc>
        <w:tc>
          <w:tcPr>
            <w:tcW w:w="1701" w:type="dxa"/>
            <w:shd w:val="clear" w:color="auto" w:fill="auto"/>
          </w:tcPr>
          <w:p w:rsidR="006F4696" w:rsidRDefault="006F4696" w:rsidP="00721D57">
            <w:pPr>
              <w:cnfStyle w:val="000000000000" w:firstRow="0" w:lastRow="0" w:firstColumn="0" w:lastColumn="0" w:oddVBand="0" w:evenVBand="0" w:oddHBand="0" w:evenHBand="0" w:firstRowFirstColumn="0" w:firstRowLastColumn="0" w:lastRowFirstColumn="0" w:lastRowLastColumn="0"/>
              <w:rPr>
                <w:b/>
              </w:rPr>
            </w:pPr>
            <w:r>
              <w:rPr>
                <w:b/>
              </w:rPr>
              <w:t>0</w:t>
            </w:r>
            <w:r w:rsidR="00A40077" w:rsidRPr="00140AF3">
              <w:rPr>
                <w:b/>
              </w:rPr>
              <w:t xml:space="preserve"> µL</w:t>
            </w:r>
          </w:p>
          <w:p w:rsidR="00A40077" w:rsidRPr="00721D57" w:rsidRDefault="00A40077" w:rsidP="00721D57">
            <w:pPr>
              <w:ind w:firstLine="0"/>
              <w:jc w:val="center"/>
              <w:cnfStyle w:val="000000000000" w:firstRow="0" w:lastRow="0" w:firstColumn="0" w:lastColumn="0" w:oddVBand="0" w:evenVBand="0" w:oddHBand="0" w:evenHBand="0" w:firstRowFirstColumn="0" w:firstRowLastColumn="0" w:lastRowFirstColumn="0" w:lastRowLastColumn="0"/>
              <w:rPr>
                <w:b/>
                <w:color w:val="FF0000"/>
              </w:rPr>
            </w:pPr>
            <w:r w:rsidRPr="00721D57">
              <w:rPr>
                <w:b/>
                <w:color w:val="FF0000"/>
              </w:rPr>
              <w:t>+ 200 µL</w:t>
            </w:r>
          </w:p>
        </w:tc>
        <w:tc>
          <w:tcPr>
            <w:tcW w:w="1701" w:type="dxa"/>
            <w:shd w:val="clear" w:color="auto" w:fill="auto"/>
          </w:tcPr>
          <w:p w:rsidR="00A40077" w:rsidRPr="00140AF3" w:rsidRDefault="00A40077" w:rsidP="006F4696">
            <w:pPr>
              <w:jc w:val="center"/>
              <w:cnfStyle w:val="000000000000" w:firstRow="0" w:lastRow="0" w:firstColumn="0" w:lastColumn="0" w:oddVBand="0" w:evenVBand="0" w:oddHBand="0" w:evenHBand="0" w:firstRowFirstColumn="0" w:firstRowLastColumn="0" w:lastRowFirstColumn="0" w:lastRowLastColumn="0"/>
              <w:rPr>
                <w:b/>
              </w:rPr>
            </w:pPr>
            <w:r w:rsidRPr="00140AF3">
              <w:rPr>
                <w:b/>
              </w:rPr>
              <w:t>200</w:t>
            </w:r>
          </w:p>
        </w:tc>
        <w:tc>
          <w:tcPr>
            <w:tcW w:w="1701" w:type="dxa"/>
            <w:shd w:val="clear" w:color="auto" w:fill="auto"/>
          </w:tcPr>
          <w:p w:rsidR="00A40077" w:rsidRPr="00140AF3" w:rsidRDefault="00A40077" w:rsidP="006F4696">
            <w:pPr>
              <w:jc w:val="center"/>
              <w:cnfStyle w:val="000000000000" w:firstRow="0" w:lastRow="0" w:firstColumn="0" w:lastColumn="0" w:oddVBand="0" w:evenVBand="0" w:oddHBand="0" w:evenHBand="0" w:firstRowFirstColumn="0" w:firstRowLastColumn="0" w:lastRowFirstColumn="0" w:lastRowLastColumn="0"/>
              <w:rPr>
                <w:b/>
              </w:rPr>
            </w:pPr>
            <w:r w:rsidRPr="00140AF3">
              <w:rPr>
                <w:b/>
              </w:rPr>
              <w:t>0</w:t>
            </w:r>
          </w:p>
        </w:tc>
      </w:tr>
    </w:tbl>
    <w:p w:rsidR="00A40077" w:rsidRDefault="00A40077" w:rsidP="00A40077">
      <w:pPr>
        <w:jc w:val="center"/>
        <w:rPr>
          <w:rFonts w:eastAsia="Times New Roman"/>
          <w:szCs w:val="24"/>
          <w:lang w:eastAsia="tr-TR"/>
        </w:rPr>
      </w:pPr>
    </w:p>
    <w:p w:rsidR="00A40077" w:rsidRDefault="00A40077" w:rsidP="00A40077">
      <w:pPr>
        <w:jc w:val="center"/>
        <w:rPr>
          <w:rFonts w:eastAsia="Times New Roman"/>
          <w:szCs w:val="24"/>
          <w:lang w:eastAsia="tr-TR"/>
        </w:rPr>
      </w:pPr>
    </w:p>
    <w:p w:rsidR="00A40077" w:rsidRDefault="00A40077" w:rsidP="00A40077">
      <w:pPr>
        <w:jc w:val="center"/>
        <w:rPr>
          <w:rFonts w:eastAsia="Times New Roman"/>
          <w:szCs w:val="24"/>
          <w:lang w:eastAsia="tr-TR"/>
        </w:rPr>
      </w:pPr>
      <w:r>
        <w:rPr>
          <w:rFonts w:eastAsia="Times New Roman"/>
          <w:noProof/>
          <w:szCs w:val="24"/>
          <w:lang w:eastAsia="tr-TR"/>
        </w:rPr>
        <w:drawing>
          <wp:inline distT="0" distB="0" distL="0" distR="0">
            <wp:extent cx="2988000" cy="2966400"/>
            <wp:effectExtent l="0" t="0" r="0" b="0"/>
            <wp:docPr id="49"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2988000" cy="2966400"/>
                    </a:xfrm>
                    <a:prstGeom prst="rect">
                      <a:avLst/>
                    </a:prstGeom>
                    <a:noFill/>
                    <a:ln w="9525">
                      <a:noFill/>
                      <a:miter lim="800000"/>
                      <a:headEnd/>
                      <a:tailEnd/>
                    </a:ln>
                  </pic:spPr>
                </pic:pic>
              </a:graphicData>
            </a:graphic>
          </wp:inline>
        </w:drawing>
      </w:r>
    </w:p>
    <w:p w:rsidR="00A40077" w:rsidRPr="0090328C" w:rsidRDefault="00B02C28" w:rsidP="00A40077">
      <w:pPr>
        <w:jc w:val="center"/>
        <w:rPr>
          <w:rFonts w:eastAsia="Times New Roman"/>
          <w:szCs w:val="24"/>
          <w:lang w:eastAsia="tr-TR"/>
        </w:rPr>
      </w:pPr>
      <w:r>
        <w:rPr>
          <w:rFonts w:eastAsia="Times New Roman"/>
          <w:b/>
          <w:szCs w:val="24"/>
          <w:lang w:eastAsia="tr-TR"/>
        </w:rPr>
        <w:t xml:space="preserve">             </w:t>
      </w:r>
      <w:r w:rsidR="0088250B">
        <w:rPr>
          <w:rFonts w:eastAsia="Times New Roman"/>
          <w:b/>
          <w:szCs w:val="24"/>
          <w:lang w:eastAsia="tr-TR"/>
        </w:rPr>
        <w:t>Şekil 21</w:t>
      </w:r>
      <w:r w:rsidR="00A40077" w:rsidRPr="003C0CA2">
        <w:rPr>
          <w:rFonts w:eastAsia="Times New Roman"/>
          <w:b/>
          <w:szCs w:val="24"/>
          <w:lang w:eastAsia="tr-TR"/>
        </w:rPr>
        <w:t>.</w:t>
      </w:r>
      <w:r>
        <w:rPr>
          <w:rFonts w:eastAsia="Times New Roman"/>
          <w:szCs w:val="24"/>
          <w:lang w:eastAsia="tr-TR"/>
        </w:rPr>
        <w:t xml:space="preserve"> Glukoz standard g</w:t>
      </w:r>
      <w:r w:rsidR="00A40077">
        <w:rPr>
          <w:rFonts w:eastAsia="Times New Roman"/>
          <w:szCs w:val="24"/>
          <w:lang w:eastAsia="tr-TR"/>
        </w:rPr>
        <w:t>rafiği</w:t>
      </w:r>
      <w:r w:rsidR="00A11D55">
        <w:rPr>
          <w:rFonts w:eastAsia="Times New Roman"/>
          <w:szCs w:val="24"/>
          <w:lang w:eastAsia="tr-TR"/>
        </w:rPr>
        <w:t>.</w:t>
      </w:r>
    </w:p>
    <w:p w:rsidR="00A40077" w:rsidRPr="00C07866" w:rsidRDefault="00A40077" w:rsidP="00A40077">
      <w:pPr>
        <w:pStyle w:val="NormalWeb"/>
        <w:spacing w:line="360" w:lineRule="auto"/>
        <w:jc w:val="both"/>
        <w:rPr>
          <w:rFonts w:cstheme="minorBidi"/>
          <w:sz w:val="24"/>
          <w:szCs w:val="24"/>
        </w:rPr>
      </w:pPr>
      <w:r>
        <w:rPr>
          <w:rFonts w:cstheme="minorBidi"/>
        </w:rPr>
        <w:t xml:space="preserve">      </w:t>
      </w:r>
      <w:r w:rsidRPr="00C07866">
        <w:rPr>
          <w:rFonts w:cstheme="minorBidi"/>
          <w:sz w:val="24"/>
          <w:szCs w:val="24"/>
        </w:rPr>
        <w:t>96’lık plakanın kuyucuklarına sırasıyla 20 µL standartlar ilave edildi ve normoksi/</w:t>
      </w:r>
      <w:proofErr w:type="gramStart"/>
      <w:r w:rsidRPr="00C07866">
        <w:rPr>
          <w:rFonts w:cstheme="minorBidi"/>
          <w:sz w:val="24"/>
          <w:szCs w:val="24"/>
        </w:rPr>
        <w:t xml:space="preserve">hipoksi </w:t>
      </w:r>
      <w:r>
        <w:rPr>
          <w:rFonts w:cstheme="minorBidi"/>
          <w:sz w:val="24"/>
          <w:szCs w:val="24"/>
        </w:rPr>
        <w:t xml:space="preserve"> </w:t>
      </w:r>
      <w:r w:rsidRPr="00C07866">
        <w:rPr>
          <w:rFonts w:cstheme="minorBidi"/>
          <w:sz w:val="24"/>
          <w:szCs w:val="24"/>
        </w:rPr>
        <w:t xml:space="preserve">  koşullarında</w:t>
      </w:r>
      <w:proofErr w:type="gramEnd"/>
      <w:r w:rsidRPr="00C07866">
        <w:rPr>
          <w:rFonts w:cstheme="minorBidi"/>
          <w:sz w:val="24"/>
          <w:szCs w:val="24"/>
        </w:rPr>
        <w:t xml:space="preserve"> farklı konsantrasyonlarda (0, 5.5, 15, 55 mM) glukoz muamele edilen hücrelerin 3, 6, 12, 24 ve 48 saat inkübasyon süreleri sonunda vasatlarından alınan örnekler PBS ile gerekli seyreltme işlemleri yapıldıktan sonra 20 µL kuyucuklara eklendi.</w:t>
      </w:r>
    </w:p>
    <w:p w:rsidR="00A40077" w:rsidRPr="00C07866" w:rsidRDefault="00A40077" w:rsidP="00A40077">
      <w:pPr>
        <w:rPr>
          <w:rFonts w:eastAsia="Times New Roman"/>
          <w:szCs w:val="24"/>
          <w:lang w:eastAsia="tr-TR"/>
        </w:rPr>
      </w:pPr>
    </w:p>
    <w:p w:rsidR="00A40077" w:rsidRPr="00136378" w:rsidRDefault="00A40077" w:rsidP="00A40077">
      <w:pPr>
        <w:pStyle w:val="ListeParagraf"/>
        <w:numPr>
          <w:ilvl w:val="0"/>
          <w:numId w:val="17"/>
        </w:numPr>
        <w:spacing w:after="200"/>
        <w:rPr>
          <w:rFonts w:eastAsia="Times New Roman"/>
          <w:szCs w:val="24"/>
          <w:lang w:eastAsia="tr-TR"/>
        </w:rPr>
      </w:pPr>
      <w:r w:rsidRPr="00136378">
        <w:rPr>
          <w:rFonts w:eastAsia="Times New Roman"/>
          <w:b/>
          <w:szCs w:val="24"/>
          <w:lang w:eastAsia="tr-TR"/>
        </w:rPr>
        <w:t xml:space="preserve">Çalışma Reaktifi: </w:t>
      </w:r>
      <w:r w:rsidRPr="00136378">
        <w:rPr>
          <w:rFonts w:eastAsia="Times New Roman"/>
          <w:szCs w:val="24"/>
          <w:lang w:eastAsia="tr-TR"/>
        </w:rPr>
        <w:t xml:space="preserve">85 µL </w:t>
      </w:r>
      <w:r>
        <w:rPr>
          <w:rFonts w:eastAsia="Times New Roman"/>
          <w:szCs w:val="24"/>
          <w:lang w:eastAsia="tr-TR"/>
        </w:rPr>
        <w:t>çalışma</w:t>
      </w:r>
      <w:r w:rsidRPr="00136378">
        <w:rPr>
          <w:rFonts w:eastAsia="Times New Roman"/>
          <w:szCs w:val="24"/>
          <w:lang w:eastAsia="tr-TR"/>
        </w:rPr>
        <w:t xml:space="preserve"> </w:t>
      </w:r>
      <w:r>
        <w:rPr>
          <w:rFonts w:eastAsia="Times New Roman"/>
          <w:szCs w:val="24"/>
          <w:lang w:eastAsia="tr-TR"/>
        </w:rPr>
        <w:t>t</w:t>
      </w:r>
      <w:r w:rsidRPr="00136378">
        <w:rPr>
          <w:rFonts w:eastAsia="Times New Roman"/>
          <w:szCs w:val="24"/>
          <w:lang w:eastAsia="tr-TR"/>
        </w:rPr>
        <w:t>ampon</w:t>
      </w:r>
      <w:r>
        <w:rPr>
          <w:rFonts w:eastAsia="Times New Roman"/>
          <w:szCs w:val="24"/>
          <w:lang w:eastAsia="tr-TR"/>
        </w:rPr>
        <w:t>u</w:t>
      </w:r>
      <w:r w:rsidRPr="00136378">
        <w:rPr>
          <w:rFonts w:eastAsia="Times New Roman"/>
          <w:szCs w:val="24"/>
          <w:lang w:eastAsia="tr-TR"/>
        </w:rPr>
        <w:t xml:space="preserve">, 1 µL </w:t>
      </w:r>
      <w:r>
        <w:rPr>
          <w:rFonts w:eastAsia="Times New Roman"/>
          <w:szCs w:val="24"/>
          <w:lang w:eastAsia="tr-TR"/>
        </w:rPr>
        <w:t>e</w:t>
      </w:r>
      <w:r w:rsidRPr="00136378">
        <w:rPr>
          <w:rFonts w:eastAsia="Times New Roman"/>
          <w:szCs w:val="24"/>
          <w:lang w:eastAsia="tr-TR"/>
        </w:rPr>
        <w:t xml:space="preserve">nzim </w:t>
      </w:r>
      <w:r>
        <w:rPr>
          <w:rFonts w:eastAsia="Times New Roman"/>
          <w:szCs w:val="24"/>
          <w:lang w:eastAsia="tr-TR"/>
        </w:rPr>
        <w:t>k</w:t>
      </w:r>
      <w:r w:rsidRPr="00136378">
        <w:rPr>
          <w:rFonts w:eastAsia="Times New Roman"/>
          <w:szCs w:val="24"/>
          <w:lang w:eastAsia="tr-TR"/>
        </w:rPr>
        <w:t xml:space="preserve">arışımı ve 1 µL </w:t>
      </w:r>
      <w:r>
        <w:rPr>
          <w:rFonts w:eastAsia="Times New Roman"/>
          <w:szCs w:val="24"/>
          <w:lang w:eastAsia="tr-TR"/>
        </w:rPr>
        <w:t>b</w:t>
      </w:r>
      <w:r w:rsidRPr="00136378">
        <w:rPr>
          <w:rFonts w:eastAsia="Times New Roman"/>
          <w:szCs w:val="24"/>
          <w:lang w:eastAsia="tr-TR"/>
        </w:rPr>
        <w:t xml:space="preserve">oya </w:t>
      </w:r>
      <w:r>
        <w:rPr>
          <w:rFonts w:eastAsia="Times New Roman"/>
          <w:szCs w:val="24"/>
          <w:lang w:eastAsia="tr-TR"/>
        </w:rPr>
        <w:t>r</w:t>
      </w:r>
      <w:r w:rsidRPr="00136378">
        <w:rPr>
          <w:rFonts w:eastAsia="Times New Roman"/>
          <w:szCs w:val="24"/>
          <w:lang w:eastAsia="tr-TR"/>
        </w:rPr>
        <w:t>eaktifi temiz bir tüpte karıştırılarak hazırlanan çalışma reaktifinden her bir reaksiyon kuyucuğuna 80  µL aktarıldı.</w:t>
      </w:r>
    </w:p>
    <w:p w:rsidR="00A40077" w:rsidRDefault="00A40077" w:rsidP="00A40077">
      <w:pPr>
        <w:pStyle w:val="ListeParagraf"/>
        <w:numPr>
          <w:ilvl w:val="0"/>
          <w:numId w:val="17"/>
        </w:numPr>
        <w:spacing w:after="200"/>
        <w:rPr>
          <w:rFonts w:eastAsia="Times New Roman"/>
          <w:szCs w:val="24"/>
          <w:lang w:eastAsia="tr-TR"/>
        </w:rPr>
      </w:pPr>
      <w:r w:rsidRPr="00136378">
        <w:rPr>
          <w:rFonts w:eastAsia="Times New Roman"/>
          <w:szCs w:val="24"/>
          <w:lang w:eastAsia="tr-TR"/>
        </w:rPr>
        <w:lastRenderedPageBreak/>
        <w:t>30 dakika oda sıcaklığı</w:t>
      </w:r>
      <w:r>
        <w:rPr>
          <w:rFonts w:eastAsia="Times New Roman"/>
          <w:szCs w:val="24"/>
          <w:lang w:eastAsia="tr-TR"/>
        </w:rPr>
        <w:t xml:space="preserve">nda inkübasyonu gerçekleştirildi ve 570 nm’de optik dansitesi okundu. </w:t>
      </w:r>
    </w:p>
    <w:p w:rsidR="00A40077" w:rsidRPr="00136378" w:rsidRDefault="00A40077" w:rsidP="00A40077">
      <w:pPr>
        <w:rPr>
          <w:rFonts w:eastAsia="Times New Roman"/>
          <w:b/>
          <w:szCs w:val="24"/>
          <w:lang w:eastAsia="tr-TR"/>
        </w:rPr>
      </w:pPr>
      <w:r w:rsidRPr="00136378">
        <w:rPr>
          <w:rFonts w:eastAsia="Times New Roman"/>
          <w:b/>
          <w:szCs w:val="24"/>
          <w:lang w:eastAsia="tr-TR"/>
        </w:rPr>
        <w:t>Hesaplama Formülü</w:t>
      </w:r>
    </w:p>
    <w:p w:rsidR="00A40077" w:rsidRDefault="00A40077" w:rsidP="00A40077">
      <w:pPr>
        <w:ind w:left="360"/>
        <w:rPr>
          <w:rFonts w:eastAsia="Times New Roman"/>
          <w:szCs w:val="24"/>
          <w:lang w:eastAsia="tr-TR"/>
        </w:rPr>
      </w:pPr>
      <w:r>
        <w:rPr>
          <w:rFonts w:eastAsia="Times New Roman"/>
          <w:szCs w:val="24"/>
          <w:lang w:eastAsia="tr-TR"/>
        </w:rPr>
        <w:t>[Glikoz]</w:t>
      </w:r>
      <w:r w:rsidRPr="00136378">
        <w:rPr>
          <w:rFonts w:eastAsia="Times New Roman"/>
          <w:szCs w:val="24"/>
          <w:vertAlign w:val="subscript"/>
          <w:lang w:eastAsia="tr-TR"/>
        </w:rPr>
        <w:t>˭</w:t>
      </w:r>
      <w:r>
        <w:rPr>
          <w:rFonts w:eastAsia="Times New Roman"/>
          <w:szCs w:val="24"/>
          <w:vertAlign w:val="subscript"/>
          <w:lang w:eastAsia="tr-TR"/>
        </w:rPr>
        <w:t xml:space="preserve"> </w:t>
      </w:r>
      <w:r>
        <w:rPr>
          <w:rFonts w:eastAsia="Times New Roman"/>
          <w:szCs w:val="24"/>
          <w:lang w:eastAsia="tr-TR"/>
        </w:rPr>
        <w:t>(R</w:t>
      </w:r>
      <w:r w:rsidRPr="00136378">
        <w:rPr>
          <w:rFonts w:eastAsia="Times New Roman"/>
          <w:szCs w:val="24"/>
          <w:vertAlign w:val="subscript"/>
          <w:lang w:eastAsia="tr-TR"/>
        </w:rPr>
        <w:t>NUMUNE</w:t>
      </w:r>
      <w:r>
        <w:rPr>
          <w:rFonts w:eastAsia="Times New Roman"/>
          <w:szCs w:val="24"/>
          <w:lang w:eastAsia="tr-TR"/>
        </w:rPr>
        <w:t>-R</w:t>
      </w:r>
      <w:r w:rsidRPr="00136378">
        <w:rPr>
          <w:rFonts w:eastAsia="Times New Roman"/>
          <w:szCs w:val="24"/>
          <w:vertAlign w:val="subscript"/>
          <w:lang w:eastAsia="tr-TR"/>
        </w:rPr>
        <w:t>KÖR</w:t>
      </w:r>
      <w:r>
        <w:rPr>
          <w:rFonts w:eastAsia="Times New Roman"/>
          <w:szCs w:val="24"/>
          <w:lang w:eastAsia="tr-TR"/>
        </w:rPr>
        <w:t>) / Eğim (µM</w:t>
      </w:r>
      <w:r w:rsidRPr="00136378">
        <w:rPr>
          <w:rFonts w:eastAsia="Times New Roman"/>
          <w:szCs w:val="24"/>
          <w:vertAlign w:val="superscript"/>
          <w:lang w:eastAsia="tr-TR"/>
        </w:rPr>
        <w:t>-1</w:t>
      </w:r>
      <w:r>
        <w:rPr>
          <w:rFonts w:eastAsia="Times New Roman"/>
          <w:szCs w:val="24"/>
          <w:lang w:eastAsia="tr-TR"/>
        </w:rPr>
        <w:t xml:space="preserve">) </w:t>
      </w:r>
      <w:r w:rsidRPr="00136378">
        <w:rPr>
          <w:rFonts w:eastAsia="Times New Roman"/>
          <w:szCs w:val="24"/>
          <w:lang w:eastAsia="tr-TR"/>
        </w:rPr>
        <w:t>ˣ</w:t>
      </w:r>
      <w:r>
        <w:rPr>
          <w:rFonts w:eastAsia="Times New Roman"/>
          <w:szCs w:val="24"/>
          <w:lang w:eastAsia="tr-TR"/>
        </w:rPr>
        <w:t xml:space="preserve"> n (µM)</w:t>
      </w:r>
    </w:p>
    <w:p w:rsidR="00A40077" w:rsidRDefault="00A40077" w:rsidP="00A40077">
      <w:pPr>
        <w:ind w:left="360"/>
        <w:rPr>
          <w:rFonts w:eastAsia="Times New Roman"/>
          <w:szCs w:val="24"/>
          <w:lang w:eastAsia="tr-TR"/>
        </w:rPr>
      </w:pPr>
      <w:proofErr w:type="gramStart"/>
      <w:r>
        <w:rPr>
          <w:rFonts w:eastAsia="Times New Roman"/>
          <w:szCs w:val="24"/>
          <w:lang w:eastAsia="tr-TR"/>
        </w:rPr>
        <w:t>n</w:t>
      </w:r>
      <w:proofErr w:type="gramEnd"/>
      <w:r>
        <w:rPr>
          <w:rFonts w:eastAsia="Times New Roman"/>
          <w:szCs w:val="24"/>
          <w:lang w:eastAsia="tr-TR"/>
        </w:rPr>
        <w:t>:</w:t>
      </w:r>
      <w:r w:rsidRPr="00136378">
        <w:rPr>
          <w:rFonts w:eastAsia="Times New Roman"/>
          <w:szCs w:val="24"/>
          <w:lang w:eastAsia="tr-TR"/>
        </w:rPr>
        <w:t xml:space="preserve"> </w:t>
      </w:r>
      <w:r>
        <w:rPr>
          <w:rFonts w:eastAsia="Times New Roman"/>
          <w:szCs w:val="24"/>
          <w:lang w:eastAsia="tr-TR"/>
        </w:rPr>
        <w:t>(seyreltme miktarı)</w:t>
      </w:r>
    </w:p>
    <w:p w:rsidR="00A40077" w:rsidRDefault="00A40077" w:rsidP="00A40077">
      <w:pPr>
        <w:ind w:left="360"/>
        <w:rPr>
          <w:rFonts w:eastAsia="Times New Roman"/>
          <w:szCs w:val="24"/>
          <w:lang w:eastAsia="tr-TR"/>
        </w:rPr>
      </w:pPr>
    </w:p>
    <w:p w:rsidR="001E47F1" w:rsidRDefault="001E47F1" w:rsidP="001E47F1">
      <w:pPr>
        <w:ind w:left="357"/>
        <w:rPr>
          <w:rFonts w:eastAsia="Times New Roman"/>
          <w:szCs w:val="24"/>
          <w:lang w:eastAsia="tr-TR"/>
        </w:rPr>
      </w:pPr>
    </w:p>
    <w:p w:rsidR="00A40077" w:rsidRDefault="00A40077" w:rsidP="003C0CA2">
      <w:pPr>
        <w:pStyle w:val="Balk2"/>
        <w:rPr>
          <w:rFonts w:eastAsia="Times New Roman"/>
          <w:lang w:eastAsia="tr-TR"/>
        </w:rPr>
      </w:pPr>
      <w:r w:rsidRPr="00132F0B">
        <w:rPr>
          <w:rFonts w:eastAsia="Times New Roman"/>
          <w:lang w:eastAsia="tr-TR"/>
        </w:rPr>
        <w:t>3.</w:t>
      </w:r>
      <w:r>
        <w:rPr>
          <w:rFonts w:eastAsia="Times New Roman"/>
          <w:lang w:eastAsia="tr-TR"/>
        </w:rPr>
        <w:t>6</w:t>
      </w:r>
      <w:r w:rsidR="00861AA3">
        <w:rPr>
          <w:rFonts w:eastAsia="Times New Roman"/>
          <w:lang w:eastAsia="tr-TR"/>
        </w:rPr>
        <w:t>.</w:t>
      </w:r>
      <w:r w:rsidRPr="00132F0B">
        <w:rPr>
          <w:rFonts w:eastAsia="Times New Roman"/>
          <w:lang w:eastAsia="tr-TR"/>
        </w:rPr>
        <w:t xml:space="preserve"> </w:t>
      </w:r>
      <w:r>
        <w:rPr>
          <w:rFonts w:eastAsia="Times New Roman"/>
          <w:lang w:eastAsia="tr-TR"/>
        </w:rPr>
        <w:t>Wound Healing Testi</w:t>
      </w:r>
    </w:p>
    <w:p w:rsidR="003C0CA2" w:rsidRDefault="003C0CA2" w:rsidP="00A40077">
      <w:pPr>
        <w:rPr>
          <w:rFonts w:eastAsia="Times New Roman"/>
          <w:b/>
          <w:szCs w:val="24"/>
          <w:lang w:eastAsia="tr-TR"/>
        </w:rPr>
      </w:pPr>
    </w:p>
    <w:p w:rsidR="00A40077" w:rsidRDefault="00A40077" w:rsidP="00A40077">
      <w:pPr>
        <w:rPr>
          <w:color w:val="000000"/>
          <w:szCs w:val="24"/>
        </w:rPr>
      </w:pPr>
      <w:r w:rsidRPr="00193059">
        <w:rPr>
          <w:rFonts w:eastAsia="Times New Roman"/>
          <w:szCs w:val="24"/>
          <w:lang w:eastAsia="tr-TR"/>
        </w:rPr>
        <w:t xml:space="preserve">Hücre migrasyonunun ve etkileşiminin analiz edildiği bir testtir. </w:t>
      </w:r>
      <w:r>
        <w:rPr>
          <w:rFonts w:eastAsia="Times New Roman"/>
          <w:szCs w:val="24"/>
          <w:lang w:eastAsia="tr-TR"/>
        </w:rPr>
        <w:t>6 kuyucuklu plakalara 2 mL içinde 2x10</w:t>
      </w:r>
      <w:r w:rsidRPr="00193059">
        <w:rPr>
          <w:rFonts w:eastAsia="Times New Roman"/>
          <w:szCs w:val="24"/>
          <w:vertAlign w:val="superscript"/>
          <w:lang w:eastAsia="tr-TR"/>
        </w:rPr>
        <w:t>4</w:t>
      </w:r>
      <w:r>
        <w:rPr>
          <w:rFonts w:eastAsia="Times New Roman"/>
          <w:szCs w:val="24"/>
          <w:vertAlign w:val="superscript"/>
          <w:lang w:eastAsia="tr-TR"/>
        </w:rPr>
        <w:t xml:space="preserve"> </w:t>
      </w:r>
      <w:r>
        <w:rPr>
          <w:rFonts w:eastAsia="Times New Roman"/>
          <w:szCs w:val="24"/>
          <w:lang w:eastAsia="tr-TR"/>
        </w:rPr>
        <w:t xml:space="preserve">hücre olacak şekilde ekim yapıldı. 24 saat inkübasyondan sonra, 200 µL’lik pipet ucu ile </w:t>
      </w:r>
      <w:r>
        <w:rPr>
          <w:color w:val="000000"/>
          <w:szCs w:val="24"/>
        </w:rPr>
        <w:t xml:space="preserve">saat 12 yönünden başlanarak saat 6 yönüne doğru her kuyucuğun ortasına düz ve eşit olacak şekilde bir çizgi çizildi. Ardından kuyucuklardaki besiyeri uzaklaştırılarak PBS ile yıkandı, ölü hücreler temizlendi ve belirlenen konsantrasyonlarda (0, </w:t>
      </w:r>
      <w:proofErr w:type="gramStart"/>
      <w:r>
        <w:rPr>
          <w:color w:val="000000"/>
          <w:szCs w:val="24"/>
        </w:rPr>
        <w:t>5.5</w:t>
      </w:r>
      <w:proofErr w:type="gramEnd"/>
      <w:r>
        <w:rPr>
          <w:color w:val="000000"/>
          <w:szCs w:val="24"/>
        </w:rPr>
        <w:t xml:space="preserve">, 15 ve 55 mM) glukoz içeren 2 mL besiyeri ile muamele edildi. Plakalar normoksik ve </w:t>
      </w:r>
      <w:r w:rsidR="0088250B">
        <w:rPr>
          <w:color w:val="000000"/>
          <w:szCs w:val="24"/>
        </w:rPr>
        <w:t xml:space="preserve">hipoksik ortama alındı (Resim </w:t>
      </w:r>
      <w:r>
        <w:rPr>
          <w:color w:val="000000"/>
          <w:szCs w:val="24"/>
        </w:rPr>
        <w:t>7). Devamında 0</w:t>
      </w:r>
      <w:proofErr w:type="gramStart"/>
      <w:r>
        <w:rPr>
          <w:color w:val="000000"/>
          <w:szCs w:val="24"/>
        </w:rPr>
        <w:t>.,</w:t>
      </w:r>
      <w:proofErr w:type="gramEnd"/>
      <w:r>
        <w:rPr>
          <w:color w:val="000000"/>
          <w:szCs w:val="24"/>
        </w:rPr>
        <w:t xml:space="preserve"> 6., 12., 24. ve 48. saatlerde fotoğraflama yapıldı. Yarıklar İmage1.48 programı ile ölçüldü.</w:t>
      </w:r>
    </w:p>
    <w:p w:rsidR="003C0CA2" w:rsidRDefault="003C0CA2" w:rsidP="00A40077">
      <w:pPr>
        <w:rPr>
          <w:color w:val="000000"/>
          <w:szCs w:val="24"/>
        </w:rPr>
      </w:pPr>
    </w:p>
    <w:p w:rsidR="00A40077" w:rsidRDefault="00A40077" w:rsidP="00A40077">
      <w:pPr>
        <w:jc w:val="center"/>
        <w:rPr>
          <w:rFonts w:eastAsia="Times New Roman"/>
          <w:szCs w:val="24"/>
          <w:lang w:eastAsia="tr-TR"/>
        </w:rPr>
      </w:pPr>
      <w:r>
        <w:rPr>
          <w:rFonts w:eastAsia="Times New Roman"/>
          <w:noProof/>
          <w:szCs w:val="24"/>
          <w:lang w:eastAsia="tr-TR"/>
        </w:rPr>
        <w:drawing>
          <wp:inline distT="0" distB="0" distL="0" distR="0">
            <wp:extent cx="2460652" cy="2926800"/>
            <wp:effectExtent l="76200" t="76200" r="111125" b="121285"/>
            <wp:docPr id="5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2460652" cy="292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0077" w:rsidRDefault="0088250B" w:rsidP="00A40077">
      <w:pPr>
        <w:jc w:val="center"/>
        <w:rPr>
          <w:rFonts w:eastAsia="Times New Roman"/>
          <w:szCs w:val="24"/>
          <w:lang w:eastAsia="tr-TR"/>
        </w:rPr>
      </w:pPr>
      <w:r>
        <w:rPr>
          <w:rFonts w:eastAsia="Times New Roman"/>
          <w:b/>
          <w:szCs w:val="24"/>
          <w:lang w:eastAsia="tr-TR"/>
        </w:rPr>
        <w:t xml:space="preserve">Resim </w:t>
      </w:r>
      <w:r w:rsidR="00A40077" w:rsidRPr="003C0CA2">
        <w:rPr>
          <w:rFonts w:eastAsia="Times New Roman"/>
          <w:b/>
          <w:szCs w:val="24"/>
          <w:lang w:eastAsia="tr-TR"/>
        </w:rPr>
        <w:t>7.</w:t>
      </w:r>
      <w:r w:rsidR="00A40077">
        <w:rPr>
          <w:rFonts w:eastAsia="Times New Roman"/>
          <w:szCs w:val="24"/>
          <w:lang w:eastAsia="tr-TR"/>
        </w:rPr>
        <w:t xml:space="preserve"> Wound healing testi için hipoksi ortamına alınacak 6’lı plakaların modüler inkübatör chamber içine yerleştirilmesi</w:t>
      </w:r>
      <w:r w:rsidR="00A11D55">
        <w:rPr>
          <w:rFonts w:eastAsia="Times New Roman"/>
          <w:szCs w:val="24"/>
          <w:lang w:eastAsia="tr-TR"/>
        </w:rPr>
        <w:t>.</w:t>
      </w:r>
    </w:p>
    <w:p w:rsidR="00A40077" w:rsidRDefault="00A40077" w:rsidP="00A40077">
      <w:pPr>
        <w:rPr>
          <w:rFonts w:eastAsia="Times New Roman"/>
          <w:szCs w:val="24"/>
          <w:lang w:eastAsia="tr-TR"/>
        </w:rPr>
      </w:pPr>
    </w:p>
    <w:p w:rsidR="00A40077" w:rsidRDefault="00A40077" w:rsidP="003C0CA2">
      <w:pPr>
        <w:pStyle w:val="Balk2"/>
        <w:rPr>
          <w:rFonts w:eastAsia="Times New Roman"/>
          <w:lang w:eastAsia="tr-TR"/>
        </w:rPr>
      </w:pPr>
      <w:r w:rsidRPr="00F47708">
        <w:rPr>
          <w:rFonts w:eastAsia="Times New Roman"/>
          <w:lang w:eastAsia="tr-TR"/>
        </w:rPr>
        <w:lastRenderedPageBreak/>
        <w:t>3.7</w:t>
      </w:r>
      <w:r w:rsidR="00861AA3">
        <w:rPr>
          <w:rFonts w:eastAsia="Times New Roman"/>
          <w:lang w:eastAsia="tr-TR"/>
        </w:rPr>
        <w:t xml:space="preserve">. </w:t>
      </w:r>
      <w:r w:rsidRPr="00F47708">
        <w:rPr>
          <w:rFonts w:eastAsia="Times New Roman"/>
          <w:lang w:eastAsia="tr-TR"/>
        </w:rPr>
        <w:t xml:space="preserve"> İstatistiksel Analiz</w:t>
      </w:r>
    </w:p>
    <w:p w:rsidR="00A40077" w:rsidRPr="00F47708" w:rsidRDefault="00A40077" w:rsidP="00A40077">
      <w:pPr>
        <w:rPr>
          <w:rFonts w:eastAsia="Times New Roman"/>
          <w:b/>
          <w:szCs w:val="24"/>
          <w:lang w:eastAsia="tr-TR"/>
        </w:rPr>
      </w:pPr>
    </w:p>
    <w:p w:rsidR="00A40077" w:rsidRPr="003F1425" w:rsidRDefault="00A40077" w:rsidP="00A40077">
      <w:pPr>
        <w:rPr>
          <w:szCs w:val="24"/>
        </w:rPr>
      </w:pPr>
      <w:r w:rsidRPr="003F1425">
        <w:rPr>
          <w:szCs w:val="24"/>
        </w:rPr>
        <w:t xml:space="preserve">Elde edilen verilerin istatistiksel analizi SPSS (for Windows Release </w:t>
      </w:r>
      <w:proofErr w:type="gramStart"/>
      <w:r w:rsidRPr="003F1425">
        <w:rPr>
          <w:szCs w:val="24"/>
        </w:rPr>
        <w:t>22.0</w:t>
      </w:r>
      <w:proofErr w:type="gramEnd"/>
      <w:r w:rsidRPr="003F1425">
        <w:rPr>
          <w:szCs w:val="24"/>
        </w:rPr>
        <w:t xml:space="preserve"> Standart Version Copyright © SPSS Inc. </w:t>
      </w:r>
      <w:r w:rsidR="00F45BC4" w:rsidRPr="00391974">
        <w:rPr>
          <w:rFonts w:cs="Times New Roman"/>
          <w:szCs w:val="24"/>
        </w:rPr>
        <w:t>Chicago, IL, USA</w:t>
      </w:r>
      <w:proofErr w:type="gramStart"/>
      <w:r w:rsidR="00F45BC4" w:rsidRPr="00391974">
        <w:rPr>
          <w:rFonts w:cs="Times New Roman"/>
          <w:szCs w:val="24"/>
        </w:rPr>
        <w:t>)</w:t>
      </w:r>
      <w:proofErr w:type="gramEnd"/>
      <w:r w:rsidR="00F45BC4" w:rsidRPr="00391974">
        <w:rPr>
          <w:rFonts w:cs="Times New Roman"/>
          <w:szCs w:val="24"/>
        </w:rPr>
        <w:t xml:space="preserve"> </w:t>
      </w:r>
      <w:r w:rsidRPr="003F1425">
        <w:rPr>
          <w:szCs w:val="24"/>
        </w:rPr>
        <w:t>hazır paket programı ve MS-Excel 2016 programında yapıldı. Değişimlerin normal dağılıma uygunluğu Shapiro-Wilk testi ile belirlendi. Tüm parametreler için tanımlayıcı ifadelerde ortalama ve standart sapma kullanıldı.</w:t>
      </w:r>
    </w:p>
    <w:p w:rsidR="00A40077" w:rsidRPr="00E61DB5" w:rsidRDefault="00A40077" w:rsidP="00A40077">
      <w:pPr>
        <w:rPr>
          <w:szCs w:val="24"/>
        </w:rPr>
      </w:pPr>
      <w:r w:rsidRPr="003F1425">
        <w:rPr>
          <w:szCs w:val="24"/>
        </w:rPr>
        <w:t xml:space="preserve">Gruplar arasındaki istatistiki değerlendirmeler tek yön varyans analizi One-Way ANOVA uygulanarak yapıldı, post </w:t>
      </w:r>
      <w:proofErr w:type="gramStart"/>
      <w:r w:rsidRPr="003F1425">
        <w:rPr>
          <w:szCs w:val="24"/>
        </w:rPr>
        <w:t>hoc</w:t>
      </w:r>
      <w:proofErr w:type="gramEnd"/>
      <w:r w:rsidRPr="003F1425">
        <w:rPr>
          <w:szCs w:val="24"/>
        </w:rPr>
        <w:t xml:space="preserve"> test olarak Tukey testi kullanıldı. Elde edilen veriler p&lt;0.05 (%95) hipotezini sağlayacak şekilde test edildi.</w:t>
      </w:r>
    </w:p>
    <w:p w:rsidR="00A40077" w:rsidRPr="00E61DB5" w:rsidRDefault="00A40077" w:rsidP="00A40077">
      <w:pPr>
        <w:rPr>
          <w:szCs w:val="24"/>
        </w:rPr>
      </w:pPr>
    </w:p>
    <w:p w:rsidR="009E54D6" w:rsidRDefault="009E54D6" w:rsidP="009E54D6">
      <w:pPr>
        <w:ind w:firstLine="0"/>
        <w:rPr>
          <w:rFonts w:cs="Times New Roman"/>
          <w:b/>
          <w:color w:val="222222"/>
          <w:sz w:val="28"/>
          <w:szCs w:val="28"/>
          <w:shd w:val="clear" w:color="auto" w:fill="FFFFFF"/>
        </w:rPr>
      </w:pPr>
    </w:p>
    <w:p w:rsidR="009E54D6" w:rsidRDefault="009E54D6" w:rsidP="009E54D6">
      <w:pPr>
        <w:ind w:firstLine="0"/>
        <w:rPr>
          <w:rFonts w:cs="Times New Roman"/>
          <w:b/>
          <w:color w:val="222222"/>
          <w:sz w:val="28"/>
          <w:szCs w:val="28"/>
          <w:shd w:val="clear" w:color="auto" w:fill="FFFFFF"/>
        </w:rPr>
      </w:pPr>
    </w:p>
    <w:p w:rsidR="009E54D6" w:rsidRDefault="009E54D6" w:rsidP="009E54D6">
      <w:pPr>
        <w:ind w:firstLine="0"/>
        <w:rPr>
          <w:rFonts w:cs="Times New Roman"/>
          <w:b/>
          <w:color w:val="222222"/>
          <w:sz w:val="28"/>
          <w:szCs w:val="28"/>
          <w:shd w:val="clear" w:color="auto" w:fill="FFFFFF"/>
        </w:rPr>
      </w:pPr>
    </w:p>
    <w:p w:rsidR="009E54D6" w:rsidRDefault="009E54D6" w:rsidP="009E54D6">
      <w:pPr>
        <w:ind w:firstLine="0"/>
        <w:rPr>
          <w:rFonts w:cs="Times New Roman"/>
          <w:b/>
          <w:color w:val="222222"/>
          <w:sz w:val="28"/>
          <w:szCs w:val="28"/>
          <w:shd w:val="clear" w:color="auto" w:fill="FFFFFF"/>
        </w:rPr>
      </w:pPr>
      <w:r>
        <w:rPr>
          <w:rFonts w:cs="Times New Roman"/>
          <w:b/>
          <w:color w:val="222222"/>
          <w:sz w:val="28"/>
          <w:szCs w:val="28"/>
          <w:shd w:val="clear" w:color="auto" w:fill="FFFFFF"/>
        </w:rPr>
        <w:br w:type="page"/>
      </w:r>
    </w:p>
    <w:p w:rsidR="002B3673" w:rsidRDefault="002B3673" w:rsidP="002B3673">
      <w:pPr>
        <w:jc w:val="center"/>
        <w:rPr>
          <w:rFonts w:cs="Times New Roman"/>
          <w:b/>
        </w:rPr>
      </w:pPr>
      <w:r>
        <w:rPr>
          <w:rFonts w:cs="Times New Roman"/>
          <w:b/>
        </w:rPr>
        <w:lastRenderedPageBreak/>
        <w:t xml:space="preserve">  </w:t>
      </w:r>
      <w:r w:rsidR="00002CBF" w:rsidRPr="004C1D44">
        <w:rPr>
          <w:rFonts w:cs="Times New Roman"/>
          <w:b/>
          <w:sz w:val="28"/>
          <w:szCs w:val="28"/>
          <w:shd w:val="clear" w:color="auto" w:fill="FFFFFF"/>
        </w:rPr>
        <w:t>4. BULGULAR</w:t>
      </w:r>
    </w:p>
    <w:p w:rsidR="002B3673" w:rsidRDefault="002B3673" w:rsidP="002B3673">
      <w:pPr>
        <w:jc w:val="center"/>
        <w:rPr>
          <w:rFonts w:cs="Times New Roman"/>
          <w:b/>
        </w:rPr>
      </w:pPr>
    </w:p>
    <w:p w:rsidR="002B3673" w:rsidRPr="00274951" w:rsidRDefault="002B3673" w:rsidP="002B3673">
      <w:pPr>
        <w:jc w:val="center"/>
        <w:rPr>
          <w:rFonts w:cs="Times New Roman"/>
          <w:b/>
        </w:rPr>
      </w:pPr>
    </w:p>
    <w:p w:rsidR="002B3673" w:rsidRDefault="002B3673" w:rsidP="003D1F37">
      <w:pPr>
        <w:pStyle w:val="Balk2"/>
      </w:pPr>
      <w:r w:rsidRPr="00274951">
        <w:t>4.1.</w:t>
      </w:r>
      <w:r>
        <w:t xml:space="preserve">  </w:t>
      </w:r>
      <w:r w:rsidRPr="00274951">
        <w:t>MCF-</w:t>
      </w:r>
      <w:r>
        <w:t>7 Hücrelerinin</w:t>
      </w:r>
      <w:r w:rsidRPr="00274951">
        <w:t xml:space="preserve"> İnvert-Mikroskop Görüntüleri</w:t>
      </w:r>
    </w:p>
    <w:p w:rsidR="002B3673" w:rsidRPr="00274951" w:rsidRDefault="002B3673" w:rsidP="002B3673">
      <w:pPr>
        <w:rPr>
          <w:rFonts w:cs="Times New Roman"/>
          <w:b/>
        </w:rPr>
      </w:pPr>
    </w:p>
    <w:p w:rsidR="002B3673" w:rsidRDefault="002B3673" w:rsidP="002B3673">
      <w:pPr>
        <w:rPr>
          <w:rFonts w:cs="Times New Roman"/>
        </w:rPr>
      </w:pPr>
      <w:r>
        <w:rPr>
          <w:rFonts w:cs="Times New Roman"/>
        </w:rPr>
        <w:t>MCF-7 hücreleri belli</w:t>
      </w:r>
      <w:r w:rsidRPr="00274951">
        <w:rPr>
          <w:rFonts w:cs="Times New Roman"/>
        </w:rPr>
        <w:t xml:space="preserve"> inkübasyon süreleri</w:t>
      </w:r>
      <w:r>
        <w:rPr>
          <w:rFonts w:cs="Times New Roman"/>
        </w:rPr>
        <w:t xml:space="preserve"> boyunca </w:t>
      </w:r>
      <w:r w:rsidRPr="00274951">
        <w:rPr>
          <w:rFonts w:cs="Times New Roman"/>
        </w:rPr>
        <w:t xml:space="preserve">0, </w:t>
      </w:r>
      <w:proofErr w:type="gramStart"/>
      <w:r w:rsidRPr="00274951">
        <w:rPr>
          <w:rFonts w:cs="Times New Roman"/>
        </w:rPr>
        <w:t>5.5</w:t>
      </w:r>
      <w:proofErr w:type="gramEnd"/>
      <w:r w:rsidRPr="00274951">
        <w:rPr>
          <w:rFonts w:cs="Times New Roman"/>
        </w:rPr>
        <w:t>, 15 ve 55 mM glukoz</w:t>
      </w:r>
      <w:r>
        <w:rPr>
          <w:rFonts w:cs="Times New Roman"/>
        </w:rPr>
        <w:t>a maruz bırakıldı. Özellikle uzun süreli (48 saat) maruziyette glukoz içeren ve glukoz içermeyen (0 mM) ortamlardaki hücrelerin morfolojik görüntüleri arasında belirgin farklar meydana gel</w:t>
      </w:r>
      <w:r w:rsidR="0075651D">
        <w:rPr>
          <w:rFonts w:cs="Times New Roman"/>
        </w:rPr>
        <w:t>di</w:t>
      </w:r>
      <w:r>
        <w:rPr>
          <w:rFonts w:cs="Times New Roman"/>
        </w:rPr>
        <w:t xml:space="preserve">. </w:t>
      </w:r>
      <w:r w:rsidRPr="00274951">
        <w:rPr>
          <w:rFonts w:cs="Times New Roman"/>
        </w:rPr>
        <w:t>Normoksik ve hipoksik ortamda gl</w:t>
      </w:r>
      <w:r>
        <w:rPr>
          <w:rFonts w:cs="Times New Roman"/>
        </w:rPr>
        <w:t>u</w:t>
      </w:r>
      <w:r w:rsidRPr="00274951">
        <w:rPr>
          <w:rFonts w:cs="Times New Roman"/>
        </w:rPr>
        <w:t xml:space="preserve">koz </w:t>
      </w:r>
      <w:proofErr w:type="gramStart"/>
      <w:r w:rsidRPr="00274951">
        <w:rPr>
          <w:rFonts w:cs="Times New Roman"/>
        </w:rPr>
        <w:t>konsantrasyonu</w:t>
      </w:r>
      <w:proofErr w:type="gramEnd"/>
      <w:r w:rsidRPr="00274951">
        <w:rPr>
          <w:rFonts w:cs="Times New Roman"/>
        </w:rPr>
        <w:t xml:space="preserve"> azaldıkça hücre proliferasyonunun zamana bağlı azaldığı ve </w:t>
      </w:r>
      <w:r>
        <w:rPr>
          <w:rFonts w:cs="Times New Roman"/>
        </w:rPr>
        <w:t>bunun yanında hücrelerin morfolojik görünümlerinin değiştiği</w:t>
      </w:r>
      <w:r w:rsidRPr="00274951">
        <w:rPr>
          <w:rFonts w:cs="Times New Roman"/>
        </w:rPr>
        <w:t xml:space="preserve"> </w:t>
      </w:r>
      <w:r>
        <w:rPr>
          <w:rFonts w:cs="Times New Roman"/>
        </w:rPr>
        <w:t>göz</w:t>
      </w:r>
      <w:r w:rsidRPr="00274951">
        <w:rPr>
          <w:rFonts w:cs="Times New Roman"/>
        </w:rPr>
        <w:t>len</w:t>
      </w:r>
      <w:r w:rsidR="0075651D">
        <w:rPr>
          <w:rFonts w:cs="Times New Roman"/>
        </w:rPr>
        <w:t>di</w:t>
      </w:r>
      <w:r w:rsidR="0088250B">
        <w:rPr>
          <w:rFonts w:cs="Times New Roman"/>
        </w:rPr>
        <w:t xml:space="preserve"> (Resim 8</w:t>
      </w:r>
      <w:r>
        <w:rPr>
          <w:rFonts w:cs="Times New Roman"/>
        </w:rPr>
        <w:t>).</w:t>
      </w:r>
    </w:p>
    <w:p w:rsidR="002B3673" w:rsidRPr="00274951" w:rsidRDefault="002B3673" w:rsidP="002B3673">
      <w:pPr>
        <w:rPr>
          <w:rFonts w:cs="Times New Roman"/>
        </w:rPr>
      </w:pPr>
    </w:p>
    <w:p w:rsidR="002B3673" w:rsidRPr="00815B43" w:rsidRDefault="002B3673" w:rsidP="002B3673">
      <w:pPr>
        <w:jc w:val="center"/>
        <w:rPr>
          <w:rFonts w:cs="Times New Roman"/>
        </w:rPr>
      </w:pPr>
      <w:r w:rsidRPr="00274951">
        <w:rPr>
          <w:rFonts w:cs="Times New Roman"/>
          <w:b/>
        </w:rPr>
        <w:t>Normoksik ortam</w:t>
      </w:r>
      <w:r w:rsidRPr="00274951">
        <w:rPr>
          <w:rFonts w:cs="Times New Roman"/>
        </w:rPr>
        <w:t xml:space="preserve">                                  </w:t>
      </w:r>
      <w:r w:rsidRPr="00274951">
        <w:rPr>
          <w:rFonts w:cs="Times New Roman"/>
          <w:b/>
        </w:rPr>
        <w:t>Hipoksik Ortam</w:t>
      </w:r>
    </w:p>
    <w:p w:rsidR="002B3673" w:rsidRDefault="002B3673" w:rsidP="002B3673">
      <w:pPr>
        <w:jc w:val="center"/>
        <w:rPr>
          <w:rFonts w:cs="Times New Roman"/>
        </w:rPr>
      </w:pPr>
      <w:r>
        <w:rPr>
          <w:rFonts w:cs="Times New Roman"/>
          <w:noProof/>
          <w:lang w:eastAsia="tr-TR"/>
        </w:rPr>
        <w:drawing>
          <wp:inline distT="0" distB="0" distL="0" distR="0">
            <wp:extent cx="2333625" cy="1960064"/>
            <wp:effectExtent l="76200" t="76200" r="104775" b="116840"/>
            <wp:docPr id="75" name="Resim 25" descr="C:\Users\irem\Desktop\irem hücre görüntüleme\48.saat\norm 0 no 4\norm 0 no 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rem\Desktop\irem hücre görüntüleme\48.saat\norm 0 no 4\norm 0 no 4 .jpg"/>
                    <pic:cNvPicPr>
                      <a:picLocks noChangeAspect="1" noChangeArrowheads="1"/>
                    </pic:cNvPicPr>
                  </pic:nvPicPr>
                  <pic:blipFill>
                    <a:blip r:embed="rId57" cstate="print">
                      <a:grayscl/>
                    </a:blip>
                    <a:srcRect/>
                    <a:stretch>
                      <a:fillRect/>
                    </a:stretch>
                  </pic:blipFill>
                  <pic:spPr bwMode="auto">
                    <a:xfrm>
                      <a:off x="0" y="0"/>
                      <a:ext cx="2334133" cy="196049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cs="Times New Roman"/>
          <w:noProof/>
          <w:lang w:eastAsia="tr-TR"/>
        </w:rPr>
        <w:drawing>
          <wp:inline distT="0" distB="0" distL="0" distR="0">
            <wp:extent cx="2342508" cy="1969452"/>
            <wp:effectExtent l="76200" t="76200" r="115570" b="107315"/>
            <wp:docPr id="76" name="Resim 26" descr="C:\Users\irem\Desktop\irem hücre görüntüleme\48.saat\hip 0 no 1\hip 0 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rem\Desktop\irem hücre görüntüleme\48.saat\hip 0 no 1\hip 0 no 1.jpg"/>
                    <pic:cNvPicPr>
                      <a:picLocks noChangeAspect="1" noChangeArrowheads="1"/>
                    </pic:cNvPicPr>
                  </pic:nvPicPr>
                  <pic:blipFill>
                    <a:blip r:embed="rId58" cstate="print">
                      <a:grayscl/>
                    </a:blip>
                    <a:srcRect/>
                    <a:stretch>
                      <a:fillRect/>
                    </a:stretch>
                  </pic:blipFill>
                  <pic:spPr bwMode="auto">
                    <a:xfrm>
                      <a:off x="0" y="0"/>
                      <a:ext cx="2347347" cy="197352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B3673" w:rsidRPr="00EE6E59" w:rsidRDefault="002B3673" w:rsidP="002B3673">
      <w:pPr>
        <w:jc w:val="center"/>
        <w:rPr>
          <w:rFonts w:cs="Times New Roman"/>
          <w:b/>
        </w:rPr>
      </w:pPr>
      <w:r w:rsidRPr="00EE6E59">
        <w:rPr>
          <w:rFonts w:cs="Times New Roman"/>
          <w:b/>
        </w:rPr>
        <w:t>(a)</w:t>
      </w:r>
    </w:p>
    <w:p w:rsidR="002B3673" w:rsidRDefault="002B3673" w:rsidP="002B3673">
      <w:pPr>
        <w:jc w:val="center"/>
        <w:rPr>
          <w:rFonts w:cs="Times New Roman"/>
        </w:rPr>
      </w:pPr>
      <w:r>
        <w:rPr>
          <w:rFonts w:cs="Times New Roman"/>
          <w:noProof/>
          <w:lang w:eastAsia="tr-TR"/>
        </w:rPr>
        <w:drawing>
          <wp:inline distT="0" distB="0" distL="0" distR="0">
            <wp:extent cx="2324100" cy="1952625"/>
            <wp:effectExtent l="76200" t="76200" r="114300" b="123825"/>
            <wp:docPr id="77" name="Resim 27" descr="C:\Users\irem\Desktop\irem hücre görüntüleme\48.saat\norm 5.5 no\norm 5.5 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rem\Desktop\irem hücre görüntüleme\48.saat\norm 5.5 no\norm 5.5 no.jpg"/>
                    <pic:cNvPicPr>
                      <a:picLocks noChangeAspect="1" noChangeArrowheads="1"/>
                    </pic:cNvPicPr>
                  </pic:nvPicPr>
                  <pic:blipFill>
                    <a:blip r:embed="rId59" cstate="print">
                      <a:grayscl/>
                    </a:blip>
                    <a:srcRect/>
                    <a:stretch>
                      <a:fillRect/>
                    </a:stretch>
                  </pic:blipFill>
                  <pic:spPr bwMode="auto">
                    <a:xfrm>
                      <a:off x="0" y="0"/>
                      <a:ext cx="2324606" cy="195305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cs="Times New Roman"/>
          <w:noProof/>
          <w:lang w:eastAsia="tr-TR"/>
        </w:rPr>
        <w:drawing>
          <wp:inline distT="0" distB="0" distL="0" distR="0">
            <wp:extent cx="2305050" cy="1952625"/>
            <wp:effectExtent l="76200" t="76200" r="114300" b="123825"/>
            <wp:docPr id="78" name="Resim 28" descr="C:\Users\irem\Desktop\irem hücre görüntüleme\48.saat\hip 5.5 no 1\hip 5.5 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rem\Desktop\irem hücre görüntüleme\48.saat\hip 5.5 no 1\hip 5.5 no 1.jpg"/>
                    <pic:cNvPicPr>
                      <a:picLocks noChangeAspect="1" noChangeArrowheads="1"/>
                    </pic:cNvPicPr>
                  </pic:nvPicPr>
                  <pic:blipFill>
                    <a:blip r:embed="rId60" cstate="print">
                      <a:grayscl/>
                      <a:extLst>
                        <a:ext uri="{BEBA8EAE-BF5A-486C-A8C5-ECC9F3942E4B}">
                          <a14:imgProps xmlns:a14="http://schemas.microsoft.com/office/drawing/2010/main">
                            <a14:imgLayer r:embed="rId61">
                              <a14:imgEffect>
                                <a14:sharpenSoften amount="80000"/>
                              </a14:imgEffect>
                            </a14:imgLayer>
                          </a14:imgProps>
                        </a:ext>
                      </a:extLst>
                    </a:blip>
                    <a:srcRect/>
                    <a:stretch>
                      <a:fillRect/>
                    </a:stretch>
                  </pic:blipFill>
                  <pic:spPr bwMode="auto">
                    <a:xfrm>
                      <a:off x="0" y="0"/>
                      <a:ext cx="2305551" cy="1953049"/>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B3673" w:rsidRPr="00EE6E59" w:rsidRDefault="002B3673" w:rsidP="002B3673">
      <w:pPr>
        <w:jc w:val="center"/>
        <w:rPr>
          <w:rFonts w:cs="Times New Roman"/>
          <w:b/>
        </w:rPr>
      </w:pPr>
      <w:r w:rsidRPr="00EE6E59">
        <w:rPr>
          <w:rFonts w:cs="Times New Roman"/>
          <w:b/>
        </w:rPr>
        <w:t>(b)</w:t>
      </w:r>
    </w:p>
    <w:p w:rsidR="002B3673" w:rsidRDefault="002B3673" w:rsidP="002B3673">
      <w:pPr>
        <w:jc w:val="center"/>
        <w:rPr>
          <w:rFonts w:cs="Times New Roman"/>
        </w:rPr>
      </w:pPr>
      <w:r>
        <w:rPr>
          <w:rFonts w:cs="Times New Roman"/>
          <w:noProof/>
          <w:lang w:eastAsia="tr-TR"/>
        </w:rPr>
        <w:lastRenderedPageBreak/>
        <w:drawing>
          <wp:inline distT="0" distB="0" distL="0" distR="0">
            <wp:extent cx="2333625" cy="1981199"/>
            <wp:effectExtent l="76200" t="76200" r="104775" b="114935"/>
            <wp:docPr id="79" name="Resim 29" descr="C:\Users\irem\Desktop\irem hücre görüntüleme\48.saat\norm 15 no 1\norm 15 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rem\Desktop\irem hücre görüntüleme\48.saat\norm 15 no 1\norm 15 no 1.jpg"/>
                    <pic:cNvPicPr>
                      <a:picLocks noChangeAspect="1" noChangeArrowheads="1"/>
                    </pic:cNvPicPr>
                  </pic:nvPicPr>
                  <pic:blipFill>
                    <a:blip r:embed="rId62" cstate="print">
                      <a:grayscl/>
                    </a:blip>
                    <a:srcRect/>
                    <a:stretch>
                      <a:fillRect/>
                    </a:stretch>
                  </pic:blipFill>
                  <pic:spPr bwMode="auto">
                    <a:xfrm>
                      <a:off x="0" y="0"/>
                      <a:ext cx="2334133" cy="1981631"/>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cs="Times New Roman"/>
          <w:noProof/>
          <w:lang w:eastAsia="tr-TR"/>
        </w:rPr>
        <w:drawing>
          <wp:inline distT="0" distB="0" distL="0" distR="0">
            <wp:extent cx="2305050" cy="1981200"/>
            <wp:effectExtent l="76200" t="76200" r="114300" b="114300"/>
            <wp:docPr id="80" name="Resim 30" descr="C:\Users\irem\Desktop\irem hücre görüntüleme\48.saat\hip 15 no\hip 15 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rem\Desktop\irem hücre görüntüleme\48.saat\hip 15 no\hip 15 no.jpg"/>
                    <pic:cNvPicPr>
                      <a:picLocks noChangeAspect="1" noChangeArrowheads="1"/>
                    </pic:cNvPicPr>
                  </pic:nvPicPr>
                  <pic:blipFill>
                    <a:blip r:embed="rId63" cstate="print">
                      <a:grayscl/>
                    </a:blip>
                    <a:srcRect/>
                    <a:stretch>
                      <a:fillRect/>
                    </a:stretch>
                  </pic:blipFill>
                  <pic:spPr bwMode="auto">
                    <a:xfrm>
                      <a:off x="0" y="0"/>
                      <a:ext cx="2308104" cy="1983825"/>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B3673" w:rsidRPr="00EE6E59" w:rsidRDefault="002B3673" w:rsidP="002B3673">
      <w:pPr>
        <w:jc w:val="center"/>
        <w:rPr>
          <w:rFonts w:cs="Times New Roman"/>
          <w:b/>
        </w:rPr>
      </w:pPr>
      <w:r w:rsidRPr="00EE6E59">
        <w:rPr>
          <w:rFonts w:cs="Times New Roman"/>
          <w:b/>
        </w:rPr>
        <w:t xml:space="preserve">(c) </w:t>
      </w:r>
    </w:p>
    <w:p w:rsidR="002B3673" w:rsidRDefault="002B3673" w:rsidP="002B3673">
      <w:pPr>
        <w:jc w:val="center"/>
        <w:rPr>
          <w:rFonts w:cs="Times New Roman"/>
        </w:rPr>
      </w:pPr>
      <w:r>
        <w:rPr>
          <w:rFonts w:cs="Times New Roman"/>
          <w:noProof/>
          <w:lang w:eastAsia="tr-TR"/>
        </w:rPr>
        <w:drawing>
          <wp:inline distT="0" distB="0" distL="0" distR="0">
            <wp:extent cx="2305050" cy="1978419"/>
            <wp:effectExtent l="76200" t="76200" r="114300" b="117475"/>
            <wp:docPr id="81" name="Resim 31" descr="C:\Users\irem\Desktop\irem hücre görüntüleme\48.saat\norm 55 no\norm 55 n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rem\Desktop\irem hücre görüntüleme\48.saat\norm 55 no\norm 55 no .jpg"/>
                    <pic:cNvPicPr>
                      <a:picLocks noChangeAspect="1" noChangeArrowheads="1"/>
                    </pic:cNvPicPr>
                  </pic:nvPicPr>
                  <pic:blipFill>
                    <a:blip r:embed="rId64" cstate="print">
                      <a:grayscl/>
                    </a:blip>
                    <a:srcRect/>
                    <a:stretch>
                      <a:fillRect/>
                    </a:stretch>
                  </pic:blipFill>
                  <pic:spPr bwMode="auto">
                    <a:xfrm>
                      <a:off x="0" y="0"/>
                      <a:ext cx="2313501" cy="1985673"/>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cs="Times New Roman"/>
          <w:noProof/>
          <w:lang w:eastAsia="tr-TR"/>
        </w:rPr>
        <w:drawing>
          <wp:inline distT="0" distB="0" distL="0" distR="0">
            <wp:extent cx="2324100" cy="1981200"/>
            <wp:effectExtent l="76200" t="76200" r="114300" b="114300"/>
            <wp:docPr id="82" name="Resim 32" descr="C:\Users\irem\Desktop\irem hücre görüntüleme\48.saat\hip 55 no 2\hip 55 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rem\Desktop\irem hücre görüntüleme\48.saat\hip 55 no 2\hip 55 no 2.jpg"/>
                    <pic:cNvPicPr>
                      <a:picLocks noChangeAspect="1" noChangeArrowheads="1"/>
                    </pic:cNvPicPr>
                  </pic:nvPicPr>
                  <pic:blipFill>
                    <a:blip r:embed="rId65" cstate="print">
                      <a:grayscl/>
                    </a:blip>
                    <a:srcRect/>
                    <a:stretch>
                      <a:fillRect/>
                    </a:stretch>
                  </pic:blipFill>
                  <pic:spPr bwMode="auto">
                    <a:xfrm>
                      <a:off x="0" y="0"/>
                      <a:ext cx="2324606" cy="1981631"/>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B3673" w:rsidRPr="00EE6E59" w:rsidRDefault="002B3673" w:rsidP="002B3673">
      <w:pPr>
        <w:jc w:val="center"/>
        <w:rPr>
          <w:rFonts w:cs="Times New Roman"/>
          <w:b/>
        </w:rPr>
      </w:pPr>
      <w:r w:rsidRPr="00EE6E59">
        <w:rPr>
          <w:rFonts w:cs="Times New Roman"/>
          <w:b/>
        </w:rPr>
        <w:t>(d)</w:t>
      </w:r>
    </w:p>
    <w:p w:rsidR="002B3673" w:rsidRDefault="002B3673" w:rsidP="002B3673">
      <w:pPr>
        <w:autoSpaceDE w:val="0"/>
        <w:autoSpaceDN w:val="0"/>
        <w:adjustRightInd w:val="0"/>
        <w:rPr>
          <w:rFonts w:cs="Times New Roman"/>
          <w:szCs w:val="24"/>
        </w:rPr>
      </w:pPr>
      <w:r>
        <w:rPr>
          <w:rFonts w:cs="Times New Roman"/>
          <w:b/>
          <w:bCs/>
          <w:szCs w:val="24"/>
        </w:rPr>
        <w:t>Resim</w:t>
      </w:r>
      <w:r w:rsidR="0088250B">
        <w:rPr>
          <w:rFonts w:cs="Times New Roman"/>
          <w:b/>
          <w:bCs/>
          <w:szCs w:val="24"/>
        </w:rPr>
        <w:t xml:space="preserve"> 8</w:t>
      </w:r>
      <w:r w:rsidRPr="00C37D28">
        <w:rPr>
          <w:rFonts w:cs="Times New Roman"/>
          <w:b/>
          <w:bCs/>
          <w:szCs w:val="24"/>
        </w:rPr>
        <w:t xml:space="preserve">. </w:t>
      </w:r>
      <w:r w:rsidRPr="00C37D28">
        <w:rPr>
          <w:rFonts w:cs="Times New Roman"/>
          <w:szCs w:val="24"/>
        </w:rPr>
        <w:t xml:space="preserve">MCF7 hücrelerinin </w:t>
      </w:r>
      <w:r>
        <w:rPr>
          <w:rFonts w:cs="Times New Roman"/>
          <w:szCs w:val="24"/>
        </w:rPr>
        <w:t xml:space="preserve">normoksik (sol) ve hipoksik ortamda (sağ) 0 mM </w:t>
      </w:r>
      <w:r w:rsidRPr="00C37D28">
        <w:rPr>
          <w:rFonts w:cs="Times New Roman"/>
          <w:szCs w:val="24"/>
        </w:rPr>
        <w:t>(a)</w:t>
      </w:r>
      <w:r>
        <w:rPr>
          <w:rFonts w:cs="Times New Roman"/>
          <w:szCs w:val="24"/>
        </w:rPr>
        <w:t xml:space="preserve">, </w:t>
      </w:r>
      <w:proofErr w:type="gramStart"/>
      <w:r>
        <w:rPr>
          <w:rFonts w:cs="Times New Roman"/>
          <w:szCs w:val="24"/>
        </w:rPr>
        <w:t>5.5</w:t>
      </w:r>
      <w:proofErr w:type="gramEnd"/>
      <w:r>
        <w:rPr>
          <w:rFonts w:cs="Times New Roman"/>
          <w:szCs w:val="24"/>
        </w:rPr>
        <w:t xml:space="preserve"> mM (b), 15 mM (c) ve 55 mM (d)</w:t>
      </w:r>
      <w:r w:rsidRPr="00C37D28">
        <w:rPr>
          <w:rFonts w:cs="Times New Roman"/>
          <w:szCs w:val="24"/>
        </w:rPr>
        <w:t xml:space="preserve"> </w:t>
      </w:r>
      <w:r>
        <w:rPr>
          <w:rFonts w:cs="Times New Roman"/>
          <w:szCs w:val="24"/>
        </w:rPr>
        <w:t xml:space="preserve">glukoz </w:t>
      </w:r>
      <w:r w:rsidRPr="00C37D28">
        <w:rPr>
          <w:rFonts w:cs="Times New Roman"/>
          <w:szCs w:val="24"/>
        </w:rPr>
        <w:t xml:space="preserve">uygulanan </w:t>
      </w:r>
      <w:r>
        <w:rPr>
          <w:rFonts w:cs="Times New Roman"/>
          <w:szCs w:val="24"/>
        </w:rPr>
        <w:t>gruplarda 48</w:t>
      </w:r>
      <w:r w:rsidRPr="00C37D28">
        <w:rPr>
          <w:rFonts w:cs="Times New Roman"/>
          <w:szCs w:val="24"/>
        </w:rPr>
        <w:t xml:space="preserve"> saatlik inkübasyon sonundaki</w:t>
      </w:r>
      <w:r>
        <w:rPr>
          <w:rFonts w:cs="Times New Roman"/>
          <w:szCs w:val="24"/>
        </w:rPr>
        <w:t xml:space="preserve"> </w:t>
      </w:r>
      <w:r w:rsidRPr="00C37D28">
        <w:rPr>
          <w:rFonts w:cs="Times New Roman"/>
          <w:szCs w:val="24"/>
        </w:rPr>
        <w:t xml:space="preserve">morfolojik </w:t>
      </w:r>
      <w:r w:rsidRPr="00C27D71">
        <w:rPr>
          <w:rFonts w:cs="Times New Roman"/>
          <w:szCs w:val="24"/>
        </w:rPr>
        <w:t xml:space="preserve">görüntüleri (Mikroskop Büyütmesi </w:t>
      </w:r>
      <w:r w:rsidR="003C2496">
        <w:rPr>
          <w:rFonts w:cs="Times New Roman"/>
          <w:szCs w:val="24"/>
        </w:rPr>
        <w:t>2</w:t>
      </w:r>
      <w:r w:rsidRPr="00C27D71">
        <w:rPr>
          <w:rFonts w:cs="Times New Roman"/>
          <w:szCs w:val="24"/>
        </w:rPr>
        <w:t>0X)</w:t>
      </w:r>
      <w:r w:rsidR="00793DD2">
        <w:rPr>
          <w:rFonts w:cs="Times New Roman"/>
          <w:szCs w:val="24"/>
        </w:rPr>
        <w:t>.</w:t>
      </w:r>
    </w:p>
    <w:p w:rsidR="002B3673" w:rsidRDefault="002B3673" w:rsidP="002B3673">
      <w:pPr>
        <w:jc w:val="center"/>
        <w:rPr>
          <w:b/>
        </w:rPr>
      </w:pPr>
    </w:p>
    <w:p w:rsidR="002B3673" w:rsidRDefault="002B3673" w:rsidP="003D1F37">
      <w:pPr>
        <w:pStyle w:val="Balk2"/>
      </w:pPr>
      <w:r w:rsidRPr="00EE6E59">
        <w:t>4.2</w:t>
      </w:r>
      <w:r w:rsidR="00861AA3">
        <w:t>.</w:t>
      </w:r>
      <w:r w:rsidRPr="00EE6E59">
        <w:t xml:space="preserve"> Hücre Canlılığının Değerlendirilmesi</w:t>
      </w:r>
    </w:p>
    <w:p w:rsidR="002B3673" w:rsidRPr="00EE6E59" w:rsidRDefault="002B3673" w:rsidP="002B3673">
      <w:pPr>
        <w:rPr>
          <w:rFonts w:cs="Times New Roman"/>
          <w:b/>
        </w:rPr>
      </w:pPr>
    </w:p>
    <w:p w:rsidR="002B3673" w:rsidRDefault="002B3673" w:rsidP="002B3673">
      <w:pPr>
        <w:rPr>
          <w:rFonts w:cs="Times New Roman"/>
          <w:color w:val="000000"/>
          <w:szCs w:val="24"/>
        </w:rPr>
      </w:pPr>
      <w:r w:rsidRPr="00EE6E59">
        <w:rPr>
          <w:rFonts w:cs="Times New Roman"/>
          <w:color w:val="000000"/>
          <w:szCs w:val="24"/>
        </w:rPr>
        <w:t>MCF7 meme kanser hücrelerinin glukoz konsantrasyonuna ve inkübasyon süresine bağlı değişen proliferasyon oranlarını belirlemek amacıyla hücreler dört fark</w:t>
      </w:r>
      <w:r>
        <w:rPr>
          <w:rFonts w:cs="Times New Roman"/>
          <w:color w:val="000000"/>
          <w:szCs w:val="24"/>
        </w:rPr>
        <w:t xml:space="preserve">lı konsantrasyonda glukoz (0, 5.5, </w:t>
      </w:r>
      <w:r w:rsidRPr="00EE6E59">
        <w:rPr>
          <w:rFonts w:cs="Times New Roman"/>
          <w:color w:val="000000"/>
          <w:szCs w:val="24"/>
        </w:rPr>
        <w:t xml:space="preserve">15 ve 55 mM) içeren besiyerlerinde 3, 6,12, 24 ve 48 </w:t>
      </w:r>
      <w:proofErr w:type="gramStart"/>
      <w:r>
        <w:rPr>
          <w:rFonts w:cs="Times New Roman"/>
          <w:color w:val="000000"/>
          <w:szCs w:val="24"/>
        </w:rPr>
        <w:t xml:space="preserve">saat </w:t>
      </w:r>
      <w:r w:rsidRPr="00EE6E59">
        <w:rPr>
          <w:rFonts w:cs="Times New Roman"/>
          <w:color w:val="000000"/>
          <w:szCs w:val="24"/>
        </w:rPr>
        <w:t xml:space="preserve"> normoksik</w:t>
      </w:r>
      <w:proofErr w:type="gramEnd"/>
      <w:r w:rsidRPr="00EE6E59">
        <w:rPr>
          <w:rFonts w:cs="Times New Roman"/>
          <w:color w:val="000000"/>
          <w:szCs w:val="24"/>
        </w:rPr>
        <w:t xml:space="preserve"> ve hipoksik koşullarda inkübe edildi ve canlılık oranları WST-1 hücre canlılık testi</w:t>
      </w:r>
      <w:r>
        <w:rPr>
          <w:rFonts w:cs="Times New Roman"/>
          <w:color w:val="000000"/>
          <w:szCs w:val="24"/>
        </w:rPr>
        <w:t xml:space="preserve"> </w:t>
      </w:r>
      <w:r w:rsidRPr="002A3CD2">
        <w:rPr>
          <w:rFonts w:cs="Times New Roman"/>
          <w:color w:val="000000"/>
          <w:szCs w:val="24"/>
        </w:rPr>
        <w:t>kullanılarak belirlendi.</w:t>
      </w:r>
      <w:r>
        <w:rPr>
          <w:rFonts w:cs="Times New Roman"/>
          <w:color w:val="000000"/>
          <w:szCs w:val="24"/>
        </w:rPr>
        <w:t xml:space="preserve"> Gruplara ait % canlılık</w:t>
      </w:r>
      <w:r w:rsidR="00D450D5">
        <w:rPr>
          <w:rFonts w:cs="Times New Roman"/>
          <w:color w:val="000000"/>
          <w:szCs w:val="24"/>
        </w:rPr>
        <w:t xml:space="preserve"> değerleri Tablo 4, 5</w:t>
      </w:r>
      <w:r>
        <w:rPr>
          <w:rFonts w:cs="Times New Roman"/>
          <w:color w:val="000000"/>
          <w:szCs w:val="24"/>
        </w:rPr>
        <w:t>,</w:t>
      </w:r>
      <w:r w:rsidR="00D450D5">
        <w:rPr>
          <w:rFonts w:cs="Times New Roman"/>
          <w:color w:val="000000"/>
          <w:szCs w:val="24"/>
        </w:rPr>
        <w:t xml:space="preserve"> 6</w:t>
      </w:r>
      <w:r>
        <w:rPr>
          <w:rFonts w:cs="Times New Roman"/>
          <w:color w:val="000000"/>
          <w:szCs w:val="24"/>
        </w:rPr>
        <w:t xml:space="preserve"> ve </w:t>
      </w:r>
      <w:r w:rsidR="00D450D5">
        <w:rPr>
          <w:rFonts w:cs="Times New Roman"/>
          <w:color w:val="000000"/>
          <w:szCs w:val="24"/>
        </w:rPr>
        <w:t>7’de</w:t>
      </w:r>
      <w:r>
        <w:rPr>
          <w:rFonts w:cs="Times New Roman"/>
          <w:color w:val="000000"/>
          <w:szCs w:val="24"/>
        </w:rPr>
        <w:t xml:space="preserve"> verilmiştir.</w:t>
      </w:r>
    </w:p>
    <w:p w:rsidR="007108FE" w:rsidRDefault="002B3673" w:rsidP="002B3673">
      <w:pPr>
        <w:rPr>
          <w:rFonts w:cs="Times New Roman"/>
          <w:color w:val="000000"/>
          <w:szCs w:val="24"/>
        </w:rPr>
      </w:pPr>
      <w:r w:rsidRPr="002C4BCE">
        <w:rPr>
          <w:rFonts w:cs="Times New Roman"/>
          <w:color w:val="000000"/>
          <w:szCs w:val="24"/>
        </w:rPr>
        <w:t xml:space="preserve">Farklı </w:t>
      </w:r>
      <w:proofErr w:type="gramStart"/>
      <w:r w:rsidRPr="002C4BCE">
        <w:rPr>
          <w:rFonts w:cs="Times New Roman"/>
          <w:color w:val="000000"/>
          <w:szCs w:val="24"/>
        </w:rPr>
        <w:t>konsantrasyonlarda</w:t>
      </w:r>
      <w:proofErr w:type="gramEnd"/>
      <w:r w:rsidRPr="002C4BCE">
        <w:rPr>
          <w:rFonts w:cs="Times New Roman"/>
          <w:color w:val="000000"/>
          <w:szCs w:val="24"/>
        </w:rPr>
        <w:t xml:space="preserve"> glukoz içeren ortamlarda hipoksik ve normoksik koşullarda gerçekleştirilen hücre canlılık analizlerinin zamana göre karşılaştırmaları aşağıda verilmiştir.</w:t>
      </w:r>
      <w:r>
        <w:rPr>
          <w:rFonts w:cs="Times New Roman"/>
          <w:color w:val="000000"/>
          <w:szCs w:val="24"/>
        </w:rPr>
        <w:t xml:space="preserve"> Normoksik ortamda tüm </w:t>
      </w:r>
      <w:proofErr w:type="gramStart"/>
      <w:r>
        <w:rPr>
          <w:rFonts w:cs="Times New Roman"/>
          <w:color w:val="000000"/>
          <w:szCs w:val="24"/>
        </w:rPr>
        <w:t>konsantrasyonlar</w:t>
      </w:r>
      <w:proofErr w:type="gramEnd"/>
      <w:r>
        <w:rPr>
          <w:rFonts w:cs="Times New Roman"/>
          <w:color w:val="000000"/>
          <w:szCs w:val="24"/>
        </w:rPr>
        <w:t xml:space="preserve"> için dikkat çekici nokta 6.saatte hücre canlılığının </w:t>
      </w:r>
      <w:r>
        <w:rPr>
          <w:rFonts w:cs="Times New Roman"/>
          <w:color w:val="000000"/>
          <w:szCs w:val="24"/>
        </w:rPr>
        <w:lastRenderedPageBreak/>
        <w:t>azalmasıdır. Bu azalma istatiksel olarak anlamlı değildir (</w:t>
      </w:r>
      <w:r w:rsidR="00673405">
        <w:rPr>
          <w:rFonts w:cs="Times New Roman"/>
          <w:color w:val="000000"/>
          <w:szCs w:val="24"/>
        </w:rPr>
        <w:t>p&gt;0,</w:t>
      </w:r>
      <w:r w:rsidRPr="00084377">
        <w:rPr>
          <w:rFonts w:cs="Times New Roman"/>
          <w:color w:val="000000"/>
          <w:szCs w:val="24"/>
        </w:rPr>
        <w:t>05</w:t>
      </w:r>
      <w:r>
        <w:rPr>
          <w:rFonts w:cs="Times New Roman"/>
          <w:color w:val="000000"/>
          <w:szCs w:val="24"/>
        </w:rPr>
        <w:t xml:space="preserve">). 12.saatte kontrole göre 0, 15 ve 55 mM </w:t>
      </w:r>
      <w:proofErr w:type="gramStart"/>
      <w:r>
        <w:rPr>
          <w:rFonts w:cs="Times New Roman"/>
          <w:color w:val="000000"/>
          <w:szCs w:val="24"/>
        </w:rPr>
        <w:t>konsantrasyonlarında</w:t>
      </w:r>
      <w:proofErr w:type="gramEnd"/>
      <w:r>
        <w:rPr>
          <w:rFonts w:cs="Times New Roman"/>
          <w:color w:val="000000"/>
          <w:szCs w:val="24"/>
        </w:rPr>
        <w:t xml:space="preserve"> canlıl</w:t>
      </w:r>
      <w:r w:rsidR="007108FE">
        <w:rPr>
          <w:rFonts w:cs="Times New Roman"/>
          <w:color w:val="000000"/>
          <w:szCs w:val="24"/>
        </w:rPr>
        <w:t>ık artışı belirlen</w:t>
      </w:r>
      <w:r w:rsidR="000B20B6">
        <w:rPr>
          <w:rFonts w:cs="Times New Roman"/>
          <w:color w:val="000000"/>
          <w:szCs w:val="24"/>
        </w:rPr>
        <w:t>di</w:t>
      </w:r>
      <w:r w:rsidR="007108FE">
        <w:rPr>
          <w:rFonts w:cs="Times New Roman"/>
          <w:color w:val="000000"/>
          <w:szCs w:val="24"/>
        </w:rPr>
        <w:t xml:space="preserve"> (p&lt;0,05</w:t>
      </w:r>
      <w:r>
        <w:rPr>
          <w:rFonts w:cs="Times New Roman"/>
          <w:color w:val="000000"/>
          <w:szCs w:val="24"/>
        </w:rPr>
        <w:t xml:space="preserve">). </w:t>
      </w:r>
      <w:r w:rsidR="007108FE">
        <w:rPr>
          <w:rFonts w:cs="Times New Roman"/>
          <w:color w:val="000000"/>
          <w:szCs w:val="24"/>
        </w:rPr>
        <w:t xml:space="preserve">Ancak </w:t>
      </w:r>
      <w:r>
        <w:rPr>
          <w:rFonts w:cs="Times New Roman"/>
          <w:color w:val="000000"/>
          <w:szCs w:val="24"/>
        </w:rPr>
        <w:t xml:space="preserve">12. ve 24. saatler arası tüm </w:t>
      </w:r>
      <w:proofErr w:type="gramStart"/>
      <w:r>
        <w:rPr>
          <w:rFonts w:cs="Times New Roman"/>
          <w:color w:val="000000"/>
          <w:szCs w:val="24"/>
        </w:rPr>
        <w:t>konsantrasyon</w:t>
      </w:r>
      <w:proofErr w:type="gramEnd"/>
      <w:r>
        <w:rPr>
          <w:rFonts w:cs="Times New Roman"/>
          <w:color w:val="000000"/>
          <w:szCs w:val="24"/>
        </w:rPr>
        <w:t xml:space="preserve"> için hücre canlılığında anlamlı bir değişim olma</w:t>
      </w:r>
      <w:r w:rsidR="000B20B6">
        <w:rPr>
          <w:rFonts w:cs="Times New Roman"/>
          <w:color w:val="000000"/>
          <w:szCs w:val="24"/>
        </w:rPr>
        <w:t>dı</w:t>
      </w:r>
      <w:r>
        <w:rPr>
          <w:rFonts w:cs="Times New Roman"/>
          <w:color w:val="000000"/>
          <w:szCs w:val="24"/>
        </w:rPr>
        <w:t xml:space="preserve"> (p&gt;0,05). 3.saate göre en yüksek canlılık yüzdeleri ise 48.saatte elde edildi (</w:t>
      </w:r>
      <w:r w:rsidRPr="002C4BCE">
        <w:rPr>
          <w:rFonts w:cs="Times New Roman"/>
          <w:color w:val="000000"/>
          <w:szCs w:val="24"/>
        </w:rPr>
        <w:t>p&lt;0,001</w:t>
      </w:r>
      <w:r w:rsidR="00897312">
        <w:rPr>
          <w:rFonts w:cs="Times New Roman"/>
          <w:color w:val="000000"/>
          <w:szCs w:val="24"/>
        </w:rPr>
        <w:t>)</w:t>
      </w:r>
      <w:r w:rsidR="00D450D5">
        <w:rPr>
          <w:rFonts w:cs="Times New Roman"/>
          <w:color w:val="000000"/>
          <w:szCs w:val="24"/>
        </w:rPr>
        <w:t xml:space="preserve"> (Tablo 4</w:t>
      </w:r>
      <w:r w:rsidR="007108FE">
        <w:rPr>
          <w:rFonts w:cs="Times New Roman"/>
          <w:color w:val="000000"/>
          <w:szCs w:val="24"/>
        </w:rPr>
        <w:t>).</w:t>
      </w:r>
    </w:p>
    <w:p w:rsidR="002B3673" w:rsidRDefault="002B3673" w:rsidP="002B3673">
      <w:pPr>
        <w:rPr>
          <w:rFonts w:cs="Times New Roman"/>
          <w:color w:val="000000"/>
          <w:szCs w:val="24"/>
        </w:rPr>
      </w:pPr>
      <w:r>
        <w:rPr>
          <w:rFonts w:cs="Times New Roman"/>
          <w:color w:val="000000"/>
          <w:szCs w:val="24"/>
        </w:rPr>
        <w:t xml:space="preserve"> Hipoksik koşullarda 6.saatte </w:t>
      </w:r>
      <w:r w:rsidR="007108FE">
        <w:rPr>
          <w:rFonts w:cs="Times New Roman"/>
          <w:color w:val="000000"/>
          <w:szCs w:val="24"/>
        </w:rPr>
        <w:t>genel olarak</w:t>
      </w:r>
      <w:r>
        <w:rPr>
          <w:rFonts w:cs="Times New Roman"/>
          <w:color w:val="000000"/>
          <w:szCs w:val="24"/>
        </w:rPr>
        <w:t xml:space="preserve"> hücre proliferasyonunda istatiksel olarak anlamlı olmayan artışlar görüldü (</w:t>
      </w:r>
      <w:r w:rsidR="00673405">
        <w:rPr>
          <w:rFonts w:cs="Times New Roman"/>
          <w:color w:val="000000"/>
          <w:szCs w:val="24"/>
        </w:rPr>
        <w:t>p&gt;0,</w:t>
      </w:r>
      <w:r w:rsidRPr="00084377">
        <w:rPr>
          <w:rFonts w:cs="Times New Roman"/>
          <w:color w:val="000000"/>
          <w:szCs w:val="24"/>
        </w:rPr>
        <w:t>05</w:t>
      </w:r>
      <w:r w:rsidR="00B02C28">
        <w:rPr>
          <w:rFonts w:cs="Times New Roman"/>
          <w:color w:val="000000"/>
          <w:szCs w:val="24"/>
        </w:rPr>
        <w:t xml:space="preserve">). </w:t>
      </w:r>
      <w:r w:rsidR="00D04DF0">
        <w:rPr>
          <w:rFonts w:cs="Times New Roman"/>
          <w:color w:val="000000"/>
          <w:szCs w:val="24"/>
        </w:rPr>
        <w:t xml:space="preserve">6.saatten </w:t>
      </w:r>
      <w:proofErr w:type="gramStart"/>
      <w:r w:rsidR="00D04DF0">
        <w:rPr>
          <w:rFonts w:cs="Times New Roman"/>
          <w:color w:val="000000"/>
          <w:szCs w:val="24"/>
        </w:rPr>
        <w:t xml:space="preserve">itibaren </w:t>
      </w:r>
      <w:r>
        <w:rPr>
          <w:rFonts w:cs="Times New Roman"/>
          <w:color w:val="000000"/>
          <w:szCs w:val="24"/>
        </w:rPr>
        <w:t xml:space="preserve"> hücrelerin</w:t>
      </w:r>
      <w:proofErr w:type="gramEnd"/>
      <w:r>
        <w:rPr>
          <w:rFonts w:cs="Times New Roman"/>
          <w:color w:val="000000"/>
          <w:szCs w:val="24"/>
        </w:rPr>
        <w:t xml:space="preserve"> canlılık oranlarında inkübasyon süresi ile paralel artış şekillenmiştir (p&lt;0,0</w:t>
      </w:r>
      <w:r w:rsidR="007108FE">
        <w:rPr>
          <w:rFonts w:cs="Times New Roman"/>
          <w:color w:val="000000"/>
          <w:szCs w:val="24"/>
        </w:rPr>
        <w:t>5</w:t>
      </w:r>
      <w:r>
        <w:rPr>
          <w:rFonts w:cs="Times New Roman"/>
          <w:color w:val="000000"/>
          <w:szCs w:val="24"/>
        </w:rPr>
        <w:t xml:space="preserve">). Normoksik ortama benzer şekilde kontrole göre </w:t>
      </w:r>
      <w:r w:rsidR="007108FE">
        <w:rPr>
          <w:rFonts w:cs="Times New Roman"/>
          <w:color w:val="000000"/>
          <w:szCs w:val="24"/>
        </w:rPr>
        <w:t xml:space="preserve">(3.saat) </w:t>
      </w:r>
      <w:r>
        <w:rPr>
          <w:rFonts w:cs="Times New Roman"/>
          <w:color w:val="000000"/>
          <w:szCs w:val="24"/>
        </w:rPr>
        <w:t>en yüksek canlılık yüzdeleri 48. saatte elde edildi (</w:t>
      </w:r>
      <w:r w:rsidRPr="002C4BCE">
        <w:rPr>
          <w:rFonts w:cs="Times New Roman"/>
          <w:color w:val="000000"/>
          <w:szCs w:val="24"/>
        </w:rPr>
        <w:t>p&lt;0,001</w:t>
      </w:r>
      <w:r>
        <w:rPr>
          <w:rFonts w:cs="Times New Roman"/>
          <w:color w:val="000000"/>
          <w:szCs w:val="24"/>
        </w:rPr>
        <w:t>). Hem normoksik (%257) hem de hipoksik (%319) koşullar için 55 mM glukoz bulunduran ortamda 48. saatteki hücr</w:t>
      </w:r>
      <w:r w:rsidR="007108FE">
        <w:rPr>
          <w:rFonts w:cs="Times New Roman"/>
          <w:color w:val="000000"/>
          <w:szCs w:val="24"/>
        </w:rPr>
        <w:t xml:space="preserve">e canlılığı maksimum düzeydedir (Tablo </w:t>
      </w:r>
      <w:r w:rsidR="00D450D5">
        <w:rPr>
          <w:rFonts w:cs="Times New Roman"/>
          <w:color w:val="000000"/>
          <w:szCs w:val="24"/>
        </w:rPr>
        <w:t>5</w:t>
      </w:r>
      <w:r w:rsidR="007108FE">
        <w:rPr>
          <w:rFonts w:cs="Times New Roman"/>
          <w:color w:val="000000"/>
          <w:szCs w:val="24"/>
        </w:rPr>
        <w:t xml:space="preserve">). </w:t>
      </w:r>
    </w:p>
    <w:p w:rsidR="002B3673" w:rsidRDefault="002B3673" w:rsidP="002B3673">
      <w:pPr>
        <w:rPr>
          <w:rFonts w:cs="Times New Roman"/>
          <w:color w:val="000000"/>
          <w:szCs w:val="24"/>
        </w:rPr>
      </w:pPr>
    </w:p>
    <w:p w:rsidR="002B3673" w:rsidRDefault="00D450D5" w:rsidP="003D1F37">
      <w:pPr>
        <w:pStyle w:val="Balk2"/>
        <w:rPr>
          <w:b w:val="0"/>
        </w:rPr>
      </w:pPr>
      <w:r>
        <w:t>Tablo 4</w:t>
      </w:r>
      <w:r w:rsidR="002B3673">
        <w:t xml:space="preserve">. </w:t>
      </w:r>
      <w:r w:rsidR="002B3673" w:rsidRPr="003D1F37">
        <w:rPr>
          <w:b w:val="0"/>
        </w:rPr>
        <w:t xml:space="preserve">Normoksik ortamda farklı </w:t>
      </w:r>
      <w:proofErr w:type="gramStart"/>
      <w:r w:rsidR="002B3673" w:rsidRPr="003D1F37">
        <w:rPr>
          <w:b w:val="0"/>
        </w:rPr>
        <w:t>konsantrasyonlarda</w:t>
      </w:r>
      <w:proofErr w:type="gramEnd"/>
      <w:r w:rsidR="002B3673" w:rsidRPr="003D1F37">
        <w:rPr>
          <w:b w:val="0"/>
        </w:rPr>
        <w:t xml:space="preserve"> glukoz uygulamasının 3.saat kontrol grubuna göre % canlılık oranları ve istatiksel değerleri</w:t>
      </w:r>
    </w:p>
    <w:p w:rsidR="00B02C28" w:rsidRPr="00B02C28" w:rsidRDefault="00B02C28" w:rsidP="00B02C28"/>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2"/>
        <w:gridCol w:w="1572"/>
        <w:gridCol w:w="1559"/>
        <w:gridCol w:w="1560"/>
        <w:gridCol w:w="1701"/>
      </w:tblGrid>
      <w:tr w:rsidR="002B3673" w:rsidRPr="00AB4FCC" w:rsidTr="00B02C28">
        <w:trPr>
          <w:trHeight w:val="841"/>
        </w:trPr>
        <w:tc>
          <w:tcPr>
            <w:tcW w:w="1972" w:type="dxa"/>
            <w:tcBorders>
              <w:bottom w:val="single" w:sz="4" w:space="0" w:color="auto"/>
            </w:tcBorders>
          </w:tcPr>
          <w:p w:rsidR="002B3673" w:rsidRPr="00FC6A07" w:rsidRDefault="002B3673" w:rsidP="003D1F37">
            <w:pPr>
              <w:jc w:val="center"/>
              <w:rPr>
                <w:rFonts w:eastAsia="Calibri" w:cs="Times New Roman"/>
                <w:b/>
                <w:sz w:val="18"/>
              </w:rPr>
            </w:pPr>
            <w:r w:rsidRPr="00FC6A07">
              <w:rPr>
                <w:rFonts w:eastAsia="Calibri" w:cs="Times New Roman"/>
                <w:b/>
                <w:sz w:val="18"/>
              </w:rPr>
              <w:t>Normoksi</w:t>
            </w:r>
          </w:p>
          <w:p w:rsidR="002B3673" w:rsidRPr="00FC6A07" w:rsidRDefault="002B3673" w:rsidP="003D1F37">
            <w:pPr>
              <w:jc w:val="center"/>
              <w:rPr>
                <w:rFonts w:eastAsia="Calibri" w:cs="Times New Roman"/>
                <w:b/>
                <w:sz w:val="18"/>
              </w:rPr>
            </w:pPr>
            <w:r w:rsidRPr="00FC6A07">
              <w:rPr>
                <w:rFonts w:eastAsia="Calibri" w:cs="Times New Roman"/>
                <w:b/>
                <w:sz w:val="18"/>
              </w:rPr>
              <w:t>İnkübasyon</w:t>
            </w:r>
          </w:p>
          <w:p w:rsidR="002B3673" w:rsidRPr="00B02C28" w:rsidRDefault="002B3673" w:rsidP="003D1F37">
            <w:pPr>
              <w:jc w:val="center"/>
              <w:rPr>
                <w:rFonts w:eastAsia="Calibri" w:cs="Times New Roman"/>
                <w:sz w:val="16"/>
              </w:rPr>
            </w:pPr>
            <w:r w:rsidRPr="00FC6A07">
              <w:rPr>
                <w:rFonts w:eastAsia="Calibri" w:cs="Times New Roman"/>
                <w:b/>
                <w:sz w:val="18"/>
              </w:rPr>
              <w:t>Süresi</w:t>
            </w:r>
          </w:p>
        </w:tc>
        <w:tc>
          <w:tcPr>
            <w:tcW w:w="1572" w:type="dxa"/>
            <w:tcBorders>
              <w:bottom w:val="single" w:sz="4" w:space="0" w:color="auto"/>
            </w:tcBorders>
          </w:tcPr>
          <w:p w:rsidR="002B3673" w:rsidRPr="00FC6A07" w:rsidRDefault="002B3673" w:rsidP="003D1F37">
            <w:pPr>
              <w:jc w:val="center"/>
              <w:rPr>
                <w:rFonts w:eastAsia="Calibri" w:cs="Times New Roman"/>
                <w:b/>
                <w:sz w:val="18"/>
                <w:szCs w:val="20"/>
              </w:rPr>
            </w:pPr>
          </w:p>
          <w:p w:rsidR="002B3673" w:rsidRPr="00FC6A07" w:rsidRDefault="002B3673" w:rsidP="003D1F37">
            <w:pPr>
              <w:jc w:val="center"/>
              <w:rPr>
                <w:rFonts w:eastAsia="Calibri" w:cs="Times New Roman"/>
                <w:b/>
                <w:sz w:val="18"/>
                <w:szCs w:val="20"/>
              </w:rPr>
            </w:pPr>
            <w:r w:rsidRPr="00FC6A07">
              <w:rPr>
                <w:rFonts w:eastAsia="Calibri" w:cs="Times New Roman"/>
                <w:b/>
                <w:sz w:val="18"/>
                <w:szCs w:val="20"/>
              </w:rPr>
              <w:t>0 mM</w:t>
            </w:r>
          </w:p>
          <w:p w:rsidR="002B3673" w:rsidRPr="00FC6A07" w:rsidRDefault="002B3673" w:rsidP="003D1F37">
            <w:pPr>
              <w:jc w:val="center"/>
              <w:rPr>
                <w:rFonts w:eastAsia="Calibri" w:cs="Times New Roman"/>
                <w:b/>
                <w:sz w:val="18"/>
                <w:szCs w:val="20"/>
              </w:rPr>
            </w:pPr>
            <w:r w:rsidRPr="00FC6A07">
              <w:rPr>
                <w:rFonts w:eastAsia="Calibri" w:cs="Times New Roman"/>
                <w:b/>
                <w:sz w:val="18"/>
                <w:szCs w:val="20"/>
              </w:rPr>
              <w:t>%canlılık</w:t>
            </w:r>
          </w:p>
        </w:tc>
        <w:tc>
          <w:tcPr>
            <w:tcW w:w="1559" w:type="dxa"/>
            <w:tcBorders>
              <w:bottom w:val="single" w:sz="4" w:space="0" w:color="auto"/>
            </w:tcBorders>
          </w:tcPr>
          <w:p w:rsidR="002B3673" w:rsidRPr="00FC6A07" w:rsidRDefault="002B3673" w:rsidP="003D1F37">
            <w:pPr>
              <w:jc w:val="center"/>
              <w:rPr>
                <w:rFonts w:eastAsia="Calibri" w:cs="Times New Roman"/>
                <w:b/>
                <w:sz w:val="18"/>
                <w:szCs w:val="20"/>
              </w:rPr>
            </w:pPr>
          </w:p>
          <w:p w:rsidR="002B3673" w:rsidRPr="00FC6A07" w:rsidRDefault="002B3673" w:rsidP="003D1F37">
            <w:pPr>
              <w:jc w:val="center"/>
              <w:rPr>
                <w:rFonts w:eastAsia="Calibri" w:cs="Times New Roman"/>
                <w:b/>
                <w:sz w:val="18"/>
                <w:szCs w:val="20"/>
              </w:rPr>
            </w:pPr>
            <w:r w:rsidRPr="00FC6A07">
              <w:rPr>
                <w:rFonts w:eastAsia="Calibri" w:cs="Times New Roman"/>
                <w:b/>
                <w:sz w:val="18"/>
                <w:szCs w:val="20"/>
              </w:rPr>
              <w:t>5,5 mM</w:t>
            </w:r>
          </w:p>
          <w:p w:rsidR="002B3673" w:rsidRPr="00FC6A07" w:rsidRDefault="002B3673" w:rsidP="003D1F37">
            <w:pPr>
              <w:jc w:val="center"/>
              <w:rPr>
                <w:rFonts w:eastAsia="Calibri" w:cs="Times New Roman"/>
                <w:b/>
                <w:sz w:val="18"/>
                <w:szCs w:val="20"/>
              </w:rPr>
            </w:pPr>
            <w:r w:rsidRPr="00FC6A07">
              <w:rPr>
                <w:rFonts w:eastAsia="Calibri" w:cs="Times New Roman"/>
                <w:b/>
                <w:sz w:val="18"/>
                <w:szCs w:val="20"/>
              </w:rPr>
              <w:t>%canlılık</w:t>
            </w:r>
          </w:p>
        </w:tc>
        <w:tc>
          <w:tcPr>
            <w:tcW w:w="1560" w:type="dxa"/>
            <w:tcBorders>
              <w:bottom w:val="single" w:sz="4" w:space="0" w:color="auto"/>
            </w:tcBorders>
          </w:tcPr>
          <w:p w:rsidR="002B3673" w:rsidRPr="00FC6A07" w:rsidRDefault="002B3673" w:rsidP="003D1F37">
            <w:pPr>
              <w:jc w:val="center"/>
              <w:rPr>
                <w:rFonts w:eastAsia="Calibri" w:cs="Times New Roman"/>
                <w:b/>
                <w:sz w:val="18"/>
                <w:szCs w:val="20"/>
              </w:rPr>
            </w:pPr>
          </w:p>
          <w:p w:rsidR="002B3673" w:rsidRPr="00FC6A07" w:rsidRDefault="002B3673" w:rsidP="003D1F37">
            <w:pPr>
              <w:jc w:val="center"/>
              <w:rPr>
                <w:rFonts w:eastAsia="Calibri" w:cs="Times New Roman"/>
                <w:b/>
                <w:sz w:val="18"/>
                <w:szCs w:val="20"/>
              </w:rPr>
            </w:pPr>
            <w:r w:rsidRPr="00FC6A07">
              <w:rPr>
                <w:rFonts w:eastAsia="Calibri" w:cs="Times New Roman"/>
                <w:b/>
                <w:sz w:val="18"/>
                <w:szCs w:val="20"/>
              </w:rPr>
              <w:t>15 mM</w:t>
            </w:r>
          </w:p>
          <w:p w:rsidR="002B3673" w:rsidRPr="00FC6A07" w:rsidRDefault="002B3673" w:rsidP="003D1F37">
            <w:pPr>
              <w:jc w:val="center"/>
              <w:rPr>
                <w:rFonts w:eastAsia="Calibri" w:cs="Times New Roman"/>
                <w:b/>
                <w:sz w:val="18"/>
                <w:szCs w:val="20"/>
              </w:rPr>
            </w:pPr>
            <w:r w:rsidRPr="00FC6A07">
              <w:rPr>
                <w:rFonts w:eastAsia="Calibri" w:cs="Times New Roman"/>
                <w:b/>
                <w:sz w:val="18"/>
                <w:szCs w:val="20"/>
              </w:rPr>
              <w:t>%canlılık</w:t>
            </w:r>
          </w:p>
        </w:tc>
        <w:tc>
          <w:tcPr>
            <w:tcW w:w="1701" w:type="dxa"/>
            <w:tcBorders>
              <w:bottom w:val="single" w:sz="4" w:space="0" w:color="auto"/>
            </w:tcBorders>
          </w:tcPr>
          <w:p w:rsidR="002B3673" w:rsidRPr="00FC6A07" w:rsidRDefault="002B3673" w:rsidP="003D1F37">
            <w:pPr>
              <w:jc w:val="center"/>
              <w:rPr>
                <w:rFonts w:eastAsia="Calibri" w:cs="Times New Roman"/>
                <w:b/>
                <w:sz w:val="18"/>
                <w:szCs w:val="20"/>
              </w:rPr>
            </w:pPr>
          </w:p>
          <w:p w:rsidR="002B3673" w:rsidRPr="00FC6A07" w:rsidRDefault="002B3673" w:rsidP="003D1F37">
            <w:pPr>
              <w:jc w:val="center"/>
              <w:rPr>
                <w:rFonts w:eastAsia="Calibri" w:cs="Times New Roman"/>
                <w:b/>
                <w:sz w:val="18"/>
                <w:szCs w:val="20"/>
              </w:rPr>
            </w:pPr>
            <w:r w:rsidRPr="00FC6A07">
              <w:rPr>
                <w:rFonts w:eastAsia="Calibri" w:cs="Times New Roman"/>
                <w:b/>
                <w:sz w:val="18"/>
                <w:szCs w:val="20"/>
              </w:rPr>
              <w:t>55 mM</w:t>
            </w:r>
          </w:p>
          <w:p w:rsidR="002B3673" w:rsidRPr="00FC6A07" w:rsidRDefault="002B3673" w:rsidP="003D1F37">
            <w:pPr>
              <w:jc w:val="center"/>
              <w:rPr>
                <w:rFonts w:eastAsia="Calibri" w:cs="Times New Roman"/>
                <w:b/>
                <w:sz w:val="18"/>
                <w:szCs w:val="20"/>
              </w:rPr>
            </w:pPr>
            <w:r w:rsidRPr="00FC6A07">
              <w:rPr>
                <w:rFonts w:eastAsia="Calibri" w:cs="Times New Roman"/>
                <w:b/>
                <w:sz w:val="18"/>
                <w:szCs w:val="20"/>
              </w:rPr>
              <w:t>%canlılık</w:t>
            </w:r>
          </w:p>
        </w:tc>
      </w:tr>
      <w:tr w:rsidR="002B3673" w:rsidRPr="00AB4FCC" w:rsidTr="00B02C28">
        <w:trPr>
          <w:trHeight w:val="526"/>
        </w:trPr>
        <w:tc>
          <w:tcPr>
            <w:tcW w:w="1972" w:type="dxa"/>
            <w:tcBorders>
              <w:top w:val="single" w:sz="4" w:space="0" w:color="auto"/>
            </w:tcBorders>
          </w:tcPr>
          <w:p w:rsidR="002B3673" w:rsidRPr="00FC6A07" w:rsidRDefault="002B3673" w:rsidP="003D1F37">
            <w:pPr>
              <w:spacing w:line="500" w:lineRule="atLeast"/>
              <w:jc w:val="center"/>
              <w:rPr>
                <w:rFonts w:eastAsia="Calibri" w:cs="Times New Roman"/>
                <w:sz w:val="16"/>
              </w:rPr>
            </w:pPr>
            <w:r w:rsidRPr="00FC6A07">
              <w:rPr>
                <w:rFonts w:eastAsia="Calibri" w:cs="Times New Roman"/>
                <w:sz w:val="16"/>
              </w:rPr>
              <w:t>Kontrol</w:t>
            </w:r>
          </w:p>
        </w:tc>
        <w:tc>
          <w:tcPr>
            <w:tcW w:w="1572" w:type="dxa"/>
            <w:tcBorders>
              <w:top w:val="single" w:sz="4" w:space="0" w:color="auto"/>
            </w:tcBorders>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100±0,307</w:t>
            </w:r>
            <w:r w:rsidRPr="00FC6A07">
              <w:rPr>
                <w:rFonts w:cs="Times New Roman"/>
                <w:color w:val="000000"/>
                <w:sz w:val="16"/>
                <w:vertAlign w:val="superscript"/>
              </w:rPr>
              <w:t xml:space="preserve"> a</w:t>
            </w:r>
          </w:p>
        </w:tc>
        <w:tc>
          <w:tcPr>
            <w:tcW w:w="1559" w:type="dxa"/>
            <w:tcBorders>
              <w:top w:val="single" w:sz="4" w:space="0" w:color="auto"/>
            </w:tcBorders>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100±7,63</w:t>
            </w:r>
            <w:r w:rsidRPr="00FC6A07">
              <w:rPr>
                <w:rFonts w:cs="Times New Roman"/>
                <w:color w:val="000000"/>
                <w:sz w:val="16"/>
                <w:vertAlign w:val="superscript"/>
              </w:rPr>
              <w:t xml:space="preserve"> a</w:t>
            </w:r>
          </w:p>
        </w:tc>
        <w:tc>
          <w:tcPr>
            <w:tcW w:w="1560" w:type="dxa"/>
            <w:tcBorders>
              <w:top w:val="single" w:sz="4" w:space="0" w:color="auto"/>
            </w:tcBorders>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100±3,96</w:t>
            </w:r>
            <w:r w:rsidRPr="00FC6A07">
              <w:rPr>
                <w:rFonts w:cs="Times New Roman"/>
                <w:color w:val="000000"/>
                <w:sz w:val="16"/>
                <w:vertAlign w:val="superscript"/>
              </w:rPr>
              <w:t xml:space="preserve"> a</w:t>
            </w:r>
          </w:p>
        </w:tc>
        <w:tc>
          <w:tcPr>
            <w:tcW w:w="1701" w:type="dxa"/>
            <w:tcBorders>
              <w:top w:val="single" w:sz="4" w:space="0" w:color="auto"/>
            </w:tcBorders>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100±4,93</w:t>
            </w:r>
            <w:r w:rsidRPr="00FC6A07">
              <w:rPr>
                <w:rFonts w:cs="Times New Roman"/>
                <w:color w:val="000000"/>
                <w:sz w:val="16"/>
                <w:vertAlign w:val="superscript"/>
              </w:rPr>
              <w:t xml:space="preserve"> a</w:t>
            </w:r>
          </w:p>
        </w:tc>
      </w:tr>
      <w:tr w:rsidR="002B3673" w:rsidRPr="00AB4FCC" w:rsidTr="00B02C28">
        <w:trPr>
          <w:trHeight w:val="131"/>
        </w:trPr>
        <w:tc>
          <w:tcPr>
            <w:tcW w:w="1972" w:type="dxa"/>
          </w:tcPr>
          <w:p w:rsidR="002B3673" w:rsidRPr="00FC6A07" w:rsidRDefault="002B3673" w:rsidP="003D1F37">
            <w:pPr>
              <w:spacing w:line="500" w:lineRule="atLeast"/>
              <w:jc w:val="center"/>
              <w:rPr>
                <w:rFonts w:eastAsia="Calibri" w:cs="Times New Roman"/>
                <w:sz w:val="16"/>
              </w:rPr>
            </w:pPr>
            <w:r w:rsidRPr="00FC6A07">
              <w:rPr>
                <w:rFonts w:eastAsia="Calibri" w:cs="Times New Roman"/>
                <w:sz w:val="16"/>
              </w:rPr>
              <w:t>6.saat</w:t>
            </w:r>
          </w:p>
        </w:tc>
        <w:tc>
          <w:tcPr>
            <w:tcW w:w="1572"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 xml:space="preserve">93±4,74 </w:t>
            </w:r>
            <w:r w:rsidRPr="00FC6A07">
              <w:rPr>
                <w:rFonts w:cs="Times New Roman"/>
                <w:color w:val="000000"/>
                <w:sz w:val="16"/>
                <w:vertAlign w:val="superscript"/>
              </w:rPr>
              <w:t>a</w:t>
            </w:r>
          </w:p>
        </w:tc>
        <w:tc>
          <w:tcPr>
            <w:tcW w:w="1559"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88±2,89</w:t>
            </w:r>
            <w:r w:rsidRPr="00FC6A07">
              <w:rPr>
                <w:rFonts w:cs="Times New Roman"/>
                <w:color w:val="000000"/>
                <w:sz w:val="16"/>
                <w:vertAlign w:val="superscript"/>
              </w:rPr>
              <w:t xml:space="preserve"> a</w:t>
            </w:r>
          </w:p>
        </w:tc>
        <w:tc>
          <w:tcPr>
            <w:tcW w:w="1560"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90±4,03</w:t>
            </w:r>
            <w:r w:rsidRPr="00FC6A07">
              <w:rPr>
                <w:rFonts w:cs="Times New Roman"/>
                <w:color w:val="000000"/>
                <w:sz w:val="16"/>
                <w:vertAlign w:val="superscript"/>
              </w:rPr>
              <w:t xml:space="preserve"> a</w:t>
            </w:r>
          </w:p>
        </w:tc>
        <w:tc>
          <w:tcPr>
            <w:tcW w:w="1701"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99±4,8</w:t>
            </w:r>
            <w:r w:rsidRPr="00FC6A07">
              <w:rPr>
                <w:rFonts w:cs="Times New Roman"/>
                <w:color w:val="000000"/>
                <w:sz w:val="16"/>
                <w:vertAlign w:val="superscript"/>
              </w:rPr>
              <w:t xml:space="preserve"> a</w:t>
            </w:r>
          </w:p>
        </w:tc>
      </w:tr>
      <w:tr w:rsidR="002B3673" w:rsidRPr="00AB4FCC" w:rsidTr="00B02C28">
        <w:trPr>
          <w:trHeight w:val="131"/>
        </w:trPr>
        <w:tc>
          <w:tcPr>
            <w:tcW w:w="1972" w:type="dxa"/>
          </w:tcPr>
          <w:p w:rsidR="002B3673" w:rsidRPr="00FC6A07" w:rsidRDefault="002B3673" w:rsidP="003D1F37">
            <w:pPr>
              <w:spacing w:line="500" w:lineRule="atLeast"/>
              <w:jc w:val="center"/>
              <w:rPr>
                <w:rFonts w:eastAsia="Calibri" w:cs="Times New Roman"/>
                <w:sz w:val="16"/>
              </w:rPr>
            </w:pPr>
            <w:r w:rsidRPr="00FC6A07">
              <w:rPr>
                <w:rFonts w:eastAsia="Calibri" w:cs="Times New Roman"/>
                <w:sz w:val="16"/>
              </w:rPr>
              <w:t>12.saat</w:t>
            </w:r>
          </w:p>
        </w:tc>
        <w:tc>
          <w:tcPr>
            <w:tcW w:w="1572"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136±2,85</w:t>
            </w:r>
            <w:r w:rsidRPr="00FC6A07">
              <w:rPr>
                <w:rFonts w:cs="Times New Roman"/>
                <w:color w:val="000000"/>
                <w:sz w:val="16"/>
                <w:vertAlign w:val="superscript"/>
              </w:rPr>
              <w:t xml:space="preserve"> b</w:t>
            </w:r>
            <w:r w:rsidR="003D1489" w:rsidRPr="00FC6A07">
              <w:rPr>
                <w:rFonts w:cs="Times New Roman"/>
                <w:color w:val="000000"/>
                <w:sz w:val="16"/>
                <w:vertAlign w:val="superscript"/>
              </w:rPr>
              <w:t>*</w:t>
            </w:r>
          </w:p>
        </w:tc>
        <w:tc>
          <w:tcPr>
            <w:tcW w:w="1559"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96±6,45</w:t>
            </w:r>
            <w:r w:rsidRPr="00FC6A07">
              <w:rPr>
                <w:rFonts w:cs="Times New Roman"/>
                <w:color w:val="000000"/>
                <w:sz w:val="16"/>
                <w:vertAlign w:val="superscript"/>
              </w:rPr>
              <w:t xml:space="preserve"> a</w:t>
            </w:r>
          </w:p>
        </w:tc>
        <w:tc>
          <w:tcPr>
            <w:tcW w:w="1560"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123±5,45</w:t>
            </w:r>
            <w:r w:rsidRPr="00FC6A07">
              <w:rPr>
                <w:rFonts w:cs="Times New Roman"/>
                <w:color w:val="000000"/>
                <w:sz w:val="16"/>
                <w:vertAlign w:val="superscript"/>
              </w:rPr>
              <w:t xml:space="preserve"> b</w:t>
            </w:r>
          </w:p>
        </w:tc>
        <w:tc>
          <w:tcPr>
            <w:tcW w:w="1701"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173±8,93</w:t>
            </w:r>
            <w:r w:rsidRPr="00FC6A07">
              <w:rPr>
                <w:rFonts w:cs="Times New Roman"/>
                <w:color w:val="000000"/>
                <w:sz w:val="16"/>
                <w:vertAlign w:val="superscript"/>
              </w:rPr>
              <w:t xml:space="preserve"> b</w:t>
            </w:r>
            <w:r w:rsidR="009D6D77" w:rsidRPr="00FC6A07">
              <w:rPr>
                <w:rFonts w:cs="Times New Roman"/>
                <w:color w:val="000000"/>
                <w:sz w:val="16"/>
                <w:vertAlign w:val="superscript"/>
              </w:rPr>
              <w:t>*</w:t>
            </w:r>
          </w:p>
        </w:tc>
      </w:tr>
      <w:tr w:rsidR="002B3673" w:rsidRPr="00AB4FCC" w:rsidTr="009B055A">
        <w:trPr>
          <w:trHeight w:val="131"/>
        </w:trPr>
        <w:tc>
          <w:tcPr>
            <w:tcW w:w="1972" w:type="dxa"/>
          </w:tcPr>
          <w:p w:rsidR="002B3673" w:rsidRPr="00FC6A07" w:rsidRDefault="002B3673" w:rsidP="003D1F37">
            <w:pPr>
              <w:spacing w:line="500" w:lineRule="atLeast"/>
              <w:jc w:val="center"/>
              <w:rPr>
                <w:rFonts w:eastAsia="Calibri" w:cs="Times New Roman"/>
                <w:sz w:val="16"/>
              </w:rPr>
            </w:pPr>
            <w:r w:rsidRPr="00FC6A07">
              <w:rPr>
                <w:rFonts w:eastAsia="Calibri" w:cs="Times New Roman"/>
                <w:sz w:val="16"/>
              </w:rPr>
              <w:t>24.saat</w:t>
            </w:r>
          </w:p>
        </w:tc>
        <w:tc>
          <w:tcPr>
            <w:tcW w:w="1572"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122±7,02</w:t>
            </w:r>
            <w:r w:rsidRPr="00FC6A07">
              <w:rPr>
                <w:rFonts w:cs="Times New Roman"/>
                <w:color w:val="000000"/>
                <w:sz w:val="16"/>
                <w:vertAlign w:val="superscript"/>
              </w:rPr>
              <w:t xml:space="preserve"> b</w:t>
            </w:r>
          </w:p>
        </w:tc>
        <w:tc>
          <w:tcPr>
            <w:tcW w:w="1559"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88±5,08</w:t>
            </w:r>
            <w:r w:rsidRPr="00FC6A07">
              <w:rPr>
                <w:rFonts w:cs="Times New Roman"/>
                <w:color w:val="000000"/>
                <w:sz w:val="16"/>
                <w:vertAlign w:val="superscript"/>
              </w:rPr>
              <w:t xml:space="preserve"> a</w:t>
            </w:r>
          </w:p>
        </w:tc>
        <w:tc>
          <w:tcPr>
            <w:tcW w:w="1560"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112±1,63</w:t>
            </w:r>
            <w:r w:rsidRPr="00FC6A07">
              <w:rPr>
                <w:rFonts w:cs="Times New Roman"/>
                <w:color w:val="000000"/>
                <w:sz w:val="16"/>
                <w:vertAlign w:val="superscript"/>
              </w:rPr>
              <w:t xml:space="preserve"> ab</w:t>
            </w:r>
          </w:p>
        </w:tc>
        <w:tc>
          <w:tcPr>
            <w:tcW w:w="1701" w:type="dxa"/>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173±15,36</w:t>
            </w:r>
            <w:r w:rsidRPr="00FC6A07">
              <w:rPr>
                <w:rFonts w:cs="Times New Roman"/>
                <w:color w:val="000000"/>
                <w:sz w:val="16"/>
                <w:vertAlign w:val="superscript"/>
              </w:rPr>
              <w:t xml:space="preserve"> b</w:t>
            </w:r>
            <w:r w:rsidR="009D6D77" w:rsidRPr="00FC6A07">
              <w:rPr>
                <w:rFonts w:cs="Times New Roman"/>
                <w:color w:val="000000"/>
                <w:sz w:val="16"/>
                <w:vertAlign w:val="superscript"/>
              </w:rPr>
              <w:t>*</w:t>
            </w:r>
          </w:p>
        </w:tc>
      </w:tr>
      <w:tr w:rsidR="002B3673" w:rsidRPr="00AB4FCC" w:rsidTr="009B055A">
        <w:trPr>
          <w:trHeight w:val="131"/>
        </w:trPr>
        <w:tc>
          <w:tcPr>
            <w:tcW w:w="1972" w:type="dxa"/>
            <w:tcBorders>
              <w:bottom w:val="single" w:sz="4" w:space="0" w:color="auto"/>
            </w:tcBorders>
          </w:tcPr>
          <w:p w:rsidR="002B3673" w:rsidRPr="00FC6A07" w:rsidRDefault="002B3673" w:rsidP="003D1F37">
            <w:pPr>
              <w:spacing w:line="500" w:lineRule="atLeast"/>
              <w:jc w:val="center"/>
              <w:rPr>
                <w:rFonts w:eastAsia="Calibri" w:cs="Times New Roman"/>
                <w:sz w:val="16"/>
              </w:rPr>
            </w:pPr>
            <w:r w:rsidRPr="00FC6A07">
              <w:rPr>
                <w:rFonts w:eastAsia="Calibri" w:cs="Times New Roman"/>
                <w:sz w:val="16"/>
              </w:rPr>
              <w:t>48.saat</w:t>
            </w:r>
          </w:p>
        </w:tc>
        <w:tc>
          <w:tcPr>
            <w:tcW w:w="1572" w:type="dxa"/>
            <w:tcBorders>
              <w:bottom w:val="single" w:sz="4" w:space="0" w:color="auto"/>
            </w:tcBorders>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154±2,1</w:t>
            </w:r>
            <w:r w:rsidRPr="00FC6A07">
              <w:rPr>
                <w:rFonts w:cs="Times New Roman"/>
                <w:color w:val="000000"/>
                <w:sz w:val="16"/>
                <w:vertAlign w:val="superscript"/>
              </w:rPr>
              <w:t xml:space="preserve"> c</w:t>
            </w:r>
            <w:r w:rsidR="003D1489" w:rsidRPr="00FC6A07">
              <w:rPr>
                <w:rFonts w:cs="Times New Roman"/>
                <w:color w:val="000000"/>
                <w:sz w:val="16"/>
                <w:vertAlign w:val="superscript"/>
              </w:rPr>
              <w:t>*</w:t>
            </w:r>
          </w:p>
        </w:tc>
        <w:tc>
          <w:tcPr>
            <w:tcW w:w="1559" w:type="dxa"/>
            <w:tcBorders>
              <w:bottom w:val="single" w:sz="4" w:space="0" w:color="auto"/>
            </w:tcBorders>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152±6,2</w:t>
            </w:r>
            <w:r w:rsidRPr="00FC6A07">
              <w:rPr>
                <w:rFonts w:cs="Times New Roman"/>
                <w:color w:val="000000"/>
                <w:sz w:val="16"/>
                <w:vertAlign w:val="superscript"/>
              </w:rPr>
              <w:t xml:space="preserve"> b</w:t>
            </w:r>
            <w:r w:rsidR="009D6D77" w:rsidRPr="00FC6A07">
              <w:rPr>
                <w:rFonts w:cs="Times New Roman"/>
                <w:color w:val="000000"/>
                <w:sz w:val="16"/>
                <w:vertAlign w:val="superscript"/>
              </w:rPr>
              <w:t>*</w:t>
            </w:r>
          </w:p>
        </w:tc>
        <w:tc>
          <w:tcPr>
            <w:tcW w:w="1560" w:type="dxa"/>
            <w:tcBorders>
              <w:bottom w:val="single" w:sz="4" w:space="0" w:color="auto"/>
            </w:tcBorders>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143±3,6</w:t>
            </w:r>
            <w:r w:rsidRPr="00FC6A07">
              <w:rPr>
                <w:rFonts w:cs="Times New Roman"/>
                <w:color w:val="000000"/>
                <w:sz w:val="16"/>
                <w:vertAlign w:val="superscript"/>
              </w:rPr>
              <w:t xml:space="preserve"> c</w:t>
            </w:r>
            <w:r w:rsidR="009D6D77" w:rsidRPr="00FC6A07">
              <w:rPr>
                <w:rFonts w:cs="Times New Roman"/>
                <w:color w:val="000000"/>
                <w:sz w:val="16"/>
                <w:vertAlign w:val="superscript"/>
              </w:rPr>
              <w:t>*</w:t>
            </w:r>
          </w:p>
        </w:tc>
        <w:tc>
          <w:tcPr>
            <w:tcW w:w="1701" w:type="dxa"/>
            <w:tcBorders>
              <w:bottom w:val="single" w:sz="4" w:space="0" w:color="auto"/>
            </w:tcBorders>
          </w:tcPr>
          <w:p w:rsidR="002B3673" w:rsidRPr="00FC6A07" w:rsidRDefault="002B3673" w:rsidP="003D1F37">
            <w:pPr>
              <w:spacing w:line="500" w:lineRule="atLeast"/>
              <w:jc w:val="center"/>
              <w:rPr>
                <w:rFonts w:cs="Times New Roman"/>
                <w:color w:val="000000"/>
                <w:sz w:val="16"/>
              </w:rPr>
            </w:pPr>
            <w:r w:rsidRPr="00FC6A07">
              <w:rPr>
                <w:rFonts w:cs="Times New Roman"/>
                <w:color w:val="000000"/>
                <w:sz w:val="16"/>
              </w:rPr>
              <w:t>257±8,73</w:t>
            </w:r>
            <w:r w:rsidRPr="00FC6A07">
              <w:rPr>
                <w:rFonts w:cs="Times New Roman"/>
                <w:color w:val="000000"/>
                <w:sz w:val="16"/>
                <w:vertAlign w:val="superscript"/>
              </w:rPr>
              <w:t xml:space="preserve"> c</w:t>
            </w:r>
            <w:r w:rsidR="009D6D77" w:rsidRPr="00FC6A07">
              <w:rPr>
                <w:rFonts w:cs="Times New Roman"/>
                <w:color w:val="000000"/>
                <w:sz w:val="16"/>
                <w:vertAlign w:val="superscript"/>
              </w:rPr>
              <w:t>*</w:t>
            </w:r>
          </w:p>
        </w:tc>
      </w:tr>
      <w:tr w:rsidR="00B02C28" w:rsidRPr="00AB4FCC" w:rsidTr="009B055A">
        <w:trPr>
          <w:trHeight w:val="131"/>
        </w:trPr>
        <w:tc>
          <w:tcPr>
            <w:tcW w:w="1972" w:type="dxa"/>
            <w:tcBorders>
              <w:top w:val="single" w:sz="4" w:space="0" w:color="auto"/>
            </w:tcBorders>
          </w:tcPr>
          <w:p w:rsidR="00B02C28" w:rsidRPr="00FC3B03" w:rsidRDefault="00B02C28" w:rsidP="003D1F37">
            <w:pPr>
              <w:spacing w:line="500" w:lineRule="atLeast"/>
              <w:jc w:val="center"/>
              <w:rPr>
                <w:rFonts w:eastAsia="Calibri" w:cs="Times New Roman"/>
                <w:sz w:val="16"/>
              </w:rPr>
            </w:pPr>
          </w:p>
        </w:tc>
        <w:tc>
          <w:tcPr>
            <w:tcW w:w="1572" w:type="dxa"/>
            <w:tcBorders>
              <w:top w:val="single" w:sz="4" w:space="0" w:color="auto"/>
            </w:tcBorders>
          </w:tcPr>
          <w:p w:rsidR="00B02C28" w:rsidRPr="00FC3B03" w:rsidRDefault="00B02C28" w:rsidP="003D1F37">
            <w:pPr>
              <w:spacing w:line="500" w:lineRule="atLeast"/>
              <w:jc w:val="center"/>
              <w:rPr>
                <w:rFonts w:cs="Times New Roman"/>
                <w:color w:val="000000"/>
                <w:sz w:val="16"/>
              </w:rPr>
            </w:pPr>
          </w:p>
        </w:tc>
        <w:tc>
          <w:tcPr>
            <w:tcW w:w="1559" w:type="dxa"/>
            <w:tcBorders>
              <w:top w:val="single" w:sz="4" w:space="0" w:color="auto"/>
            </w:tcBorders>
          </w:tcPr>
          <w:p w:rsidR="00B02C28" w:rsidRPr="00FC3B03" w:rsidRDefault="00B02C28" w:rsidP="003D1F37">
            <w:pPr>
              <w:spacing w:line="500" w:lineRule="atLeast"/>
              <w:jc w:val="center"/>
              <w:rPr>
                <w:rFonts w:cs="Times New Roman"/>
                <w:color w:val="000000"/>
                <w:sz w:val="16"/>
              </w:rPr>
            </w:pPr>
          </w:p>
        </w:tc>
        <w:tc>
          <w:tcPr>
            <w:tcW w:w="1560" w:type="dxa"/>
            <w:tcBorders>
              <w:top w:val="single" w:sz="4" w:space="0" w:color="auto"/>
            </w:tcBorders>
          </w:tcPr>
          <w:p w:rsidR="00B02C28" w:rsidRPr="00FC3B03" w:rsidRDefault="00B02C28" w:rsidP="003D1F37">
            <w:pPr>
              <w:spacing w:line="500" w:lineRule="atLeast"/>
              <w:jc w:val="center"/>
              <w:rPr>
                <w:rFonts w:cs="Times New Roman"/>
                <w:color w:val="000000"/>
                <w:sz w:val="16"/>
              </w:rPr>
            </w:pPr>
          </w:p>
        </w:tc>
        <w:tc>
          <w:tcPr>
            <w:tcW w:w="1701" w:type="dxa"/>
            <w:tcBorders>
              <w:top w:val="single" w:sz="4" w:space="0" w:color="auto"/>
            </w:tcBorders>
          </w:tcPr>
          <w:p w:rsidR="00B02C28" w:rsidRPr="00FC3B03" w:rsidRDefault="00B02C28" w:rsidP="003D1F37">
            <w:pPr>
              <w:spacing w:line="500" w:lineRule="atLeast"/>
              <w:jc w:val="center"/>
              <w:rPr>
                <w:rFonts w:cs="Times New Roman"/>
                <w:color w:val="000000"/>
                <w:sz w:val="16"/>
              </w:rPr>
            </w:pPr>
          </w:p>
        </w:tc>
      </w:tr>
    </w:tbl>
    <w:p w:rsidR="002B3673" w:rsidRPr="009B055A" w:rsidRDefault="002B3673" w:rsidP="00051579">
      <w:pPr>
        <w:ind w:firstLine="0"/>
        <w:rPr>
          <w:rFonts w:cs="Times New Roman"/>
          <w:sz w:val="18"/>
        </w:rPr>
      </w:pPr>
      <w:r w:rsidRPr="009B055A">
        <w:rPr>
          <w:rFonts w:cs="Times New Roman"/>
          <w:sz w:val="18"/>
        </w:rPr>
        <w:t xml:space="preserve">(Yüzde Canlılık = [ABS ortalama (her bir örnek) / ABS ortalama (kontrol)] x 100)  </w:t>
      </w:r>
    </w:p>
    <w:p w:rsidR="002B3673" w:rsidRPr="009B055A" w:rsidRDefault="002B3673" w:rsidP="00051579">
      <w:pPr>
        <w:ind w:firstLine="0"/>
        <w:rPr>
          <w:rFonts w:cs="Times New Roman"/>
          <w:sz w:val="18"/>
        </w:rPr>
      </w:pPr>
      <w:r w:rsidRPr="009B055A">
        <w:rPr>
          <w:rFonts w:cs="Times New Roman"/>
          <w:sz w:val="18"/>
        </w:rPr>
        <w:t>Aynı sütunda farklı harfleri taşıyan ortalamalar arasındaki fark P&lt;0,05 düzeyinde istatiksel olarak önemlidir.</w:t>
      </w:r>
    </w:p>
    <w:p w:rsidR="003D1489" w:rsidRPr="009B055A" w:rsidRDefault="003D1489" w:rsidP="00051579">
      <w:pPr>
        <w:ind w:firstLine="0"/>
        <w:rPr>
          <w:rFonts w:cs="Times New Roman"/>
          <w:sz w:val="18"/>
        </w:rPr>
      </w:pPr>
      <w:r w:rsidRPr="009B055A">
        <w:rPr>
          <w:rFonts w:cs="Times New Roman"/>
          <w:sz w:val="18"/>
        </w:rPr>
        <w:t>(</w:t>
      </w:r>
      <w:r w:rsidRPr="009B055A">
        <w:rPr>
          <w:rFonts w:cs="Times New Roman"/>
          <w:color w:val="000000"/>
          <w:sz w:val="18"/>
          <w:vertAlign w:val="superscript"/>
        </w:rPr>
        <w:t>*</w:t>
      </w:r>
      <w:r w:rsidR="009D6D77" w:rsidRPr="009B055A">
        <w:rPr>
          <w:rFonts w:cs="Times New Roman"/>
          <w:color w:val="000000"/>
          <w:sz w:val="18"/>
        </w:rPr>
        <w:t>Kontrole göre p&lt;0,001</w:t>
      </w:r>
      <w:r w:rsidR="009D6D77" w:rsidRPr="009B055A">
        <w:rPr>
          <w:rFonts w:cs="Times New Roman"/>
          <w:sz w:val="18"/>
        </w:rPr>
        <w:t xml:space="preserve"> düzeyinde anlamlı</w:t>
      </w:r>
      <w:r w:rsidRPr="009B055A">
        <w:rPr>
          <w:rFonts w:cs="Times New Roman"/>
          <w:sz w:val="18"/>
        </w:rPr>
        <w:t>).</w:t>
      </w:r>
    </w:p>
    <w:p w:rsidR="003D1489" w:rsidRPr="00E63025" w:rsidRDefault="003D1489" w:rsidP="009E3BDC">
      <w:pPr>
        <w:ind w:firstLine="0"/>
        <w:jc w:val="left"/>
        <w:rPr>
          <w:rFonts w:cs="Times New Roman"/>
          <w:sz w:val="20"/>
        </w:rPr>
      </w:pPr>
    </w:p>
    <w:p w:rsidR="002B3673" w:rsidRDefault="002B3673" w:rsidP="003D1F37">
      <w:pPr>
        <w:pStyle w:val="AltKonuBal"/>
      </w:pPr>
      <w:r w:rsidRPr="003D1F37">
        <w:rPr>
          <w:noProof/>
          <w:lang w:eastAsia="tr-TR"/>
        </w:rPr>
        <w:lastRenderedPageBreak/>
        <w:drawing>
          <wp:inline distT="0" distB="0" distL="0" distR="0">
            <wp:extent cx="4572000" cy="2752725"/>
            <wp:effectExtent l="0" t="0" r="0" b="0"/>
            <wp:docPr id="51"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B3673" w:rsidRDefault="00D450D5" w:rsidP="002B3673">
      <w:pPr>
        <w:rPr>
          <w:rFonts w:cs="Times New Roman"/>
          <w:color w:val="000000"/>
          <w:szCs w:val="24"/>
        </w:rPr>
      </w:pPr>
      <w:r>
        <w:rPr>
          <w:rFonts w:cs="Times New Roman"/>
          <w:b/>
          <w:color w:val="000000"/>
          <w:szCs w:val="24"/>
        </w:rPr>
        <w:t>Şekil 22</w:t>
      </w:r>
      <w:r w:rsidR="002B3673">
        <w:rPr>
          <w:rFonts w:cs="Times New Roman"/>
          <w:b/>
          <w:color w:val="000000"/>
          <w:szCs w:val="24"/>
        </w:rPr>
        <w:t>.</w:t>
      </w:r>
      <w:r w:rsidR="002B3673" w:rsidRPr="00E20D52">
        <w:rPr>
          <w:rFonts w:cs="Times New Roman"/>
          <w:color w:val="000000"/>
          <w:szCs w:val="24"/>
        </w:rPr>
        <w:t xml:space="preserve"> MCF-7 kanser hücreleri</w:t>
      </w:r>
      <w:r w:rsidR="002B3673">
        <w:rPr>
          <w:rFonts w:cs="Times New Roman"/>
          <w:color w:val="000000"/>
          <w:szCs w:val="24"/>
        </w:rPr>
        <w:t xml:space="preserve">nin </w:t>
      </w:r>
      <w:r w:rsidR="002B3673" w:rsidRPr="00EF6984">
        <w:rPr>
          <w:rFonts w:cs="Times New Roman"/>
          <w:color w:val="000000"/>
          <w:szCs w:val="24"/>
        </w:rPr>
        <w:t>(5x10</w:t>
      </w:r>
      <w:r w:rsidR="002B3673" w:rsidRPr="00EF6984">
        <w:rPr>
          <w:rFonts w:cs="Times New Roman"/>
          <w:color w:val="000000"/>
          <w:szCs w:val="24"/>
          <w:vertAlign w:val="superscript"/>
        </w:rPr>
        <w:t>3</w:t>
      </w:r>
      <w:r w:rsidR="002B3673" w:rsidRPr="00EF6984">
        <w:rPr>
          <w:rFonts w:cs="Times New Roman"/>
          <w:color w:val="000000"/>
          <w:szCs w:val="24"/>
        </w:rPr>
        <w:t xml:space="preserve"> hücre/kuyu) </w:t>
      </w:r>
      <w:r w:rsidR="002B3673" w:rsidRPr="00E20D52">
        <w:rPr>
          <w:rFonts w:cs="Times New Roman"/>
          <w:color w:val="000000"/>
          <w:szCs w:val="24"/>
        </w:rPr>
        <w:t xml:space="preserve"> normoksi altında glukozun farklı </w:t>
      </w:r>
      <w:proofErr w:type="gramStart"/>
      <w:r w:rsidR="002B3673" w:rsidRPr="00E20D52">
        <w:rPr>
          <w:rFonts w:cs="Times New Roman"/>
          <w:color w:val="000000"/>
          <w:szCs w:val="24"/>
        </w:rPr>
        <w:t>konsantrasyonlu</w:t>
      </w:r>
      <w:proofErr w:type="gramEnd"/>
      <w:r w:rsidR="002B3673" w:rsidRPr="00E20D52">
        <w:rPr>
          <w:rFonts w:cs="Times New Roman"/>
          <w:color w:val="000000"/>
          <w:szCs w:val="24"/>
        </w:rPr>
        <w:t xml:space="preserve"> uygulama gruplarında </w:t>
      </w:r>
      <w:r w:rsidR="002B3673">
        <w:rPr>
          <w:rFonts w:cs="Times New Roman"/>
          <w:color w:val="000000"/>
          <w:szCs w:val="24"/>
        </w:rPr>
        <w:t xml:space="preserve">3, </w:t>
      </w:r>
      <w:r w:rsidR="002B3673" w:rsidRPr="00E20D52">
        <w:rPr>
          <w:rFonts w:cs="Times New Roman"/>
          <w:color w:val="000000"/>
          <w:szCs w:val="24"/>
        </w:rPr>
        <w:t>6, 12</w:t>
      </w:r>
      <w:r w:rsidR="002B3673">
        <w:rPr>
          <w:rFonts w:cs="Times New Roman"/>
          <w:color w:val="000000"/>
          <w:szCs w:val="24"/>
        </w:rPr>
        <w:t>,</w:t>
      </w:r>
      <w:r w:rsidR="002B3673" w:rsidRPr="00E20D52">
        <w:rPr>
          <w:rFonts w:cs="Times New Roman"/>
          <w:color w:val="000000"/>
          <w:szCs w:val="24"/>
        </w:rPr>
        <w:t xml:space="preserve"> 24 ve </w:t>
      </w:r>
      <w:r w:rsidR="002B3673">
        <w:rPr>
          <w:rFonts w:cs="Times New Roman"/>
          <w:color w:val="000000"/>
          <w:szCs w:val="24"/>
        </w:rPr>
        <w:t xml:space="preserve">48 </w:t>
      </w:r>
      <w:r w:rsidR="002B3673" w:rsidRPr="00E20D52">
        <w:rPr>
          <w:rFonts w:cs="Times New Roman"/>
          <w:color w:val="000000"/>
          <w:szCs w:val="24"/>
        </w:rPr>
        <w:t>saat inkübasyonu sonucu elde edilen % canlılık oranları</w:t>
      </w:r>
      <w:r w:rsidR="002B3673">
        <w:rPr>
          <w:rFonts w:cs="Times New Roman"/>
          <w:color w:val="000000"/>
          <w:szCs w:val="24"/>
        </w:rPr>
        <w:t>.</w:t>
      </w:r>
    </w:p>
    <w:p w:rsidR="003D1F37" w:rsidRDefault="003D1F37" w:rsidP="003D1F37">
      <w:pPr>
        <w:jc w:val="left"/>
        <w:rPr>
          <w:rFonts w:cs="Times New Roman"/>
          <w:color w:val="000000"/>
          <w:szCs w:val="24"/>
        </w:rPr>
      </w:pPr>
    </w:p>
    <w:p w:rsidR="002B3673" w:rsidRDefault="00D450D5" w:rsidP="003D1F37">
      <w:pPr>
        <w:ind w:firstLine="0"/>
        <w:jc w:val="left"/>
        <w:rPr>
          <w:rFonts w:cs="Times New Roman"/>
          <w:color w:val="000000"/>
          <w:szCs w:val="24"/>
        </w:rPr>
      </w:pPr>
      <w:r>
        <w:rPr>
          <w:rFonts w:cs="Times New Roman"/>
          <w:b/>
          <w:color w:val="000000"/>
          <w:szCs w:val="24"/>
        </w:rPr>
        <w:t>Tablo 5</w:t>
      </w:r>
      <w:r w:rsidR="002B3673">
        <w:rPr>
          <w:rFonts w:cs="Times New Roman"/>
          <w:b/>
          <w:color w:val="000000"/>
          <w:szCs w:val="24"/>
        </w:rPr>
        <w:t>.</w:t>
      </w:r>
      <w:r w:rsidR="002B3673">
        <w:rPr>
          <w:rFonts w:cs="Times New Roman"/>
          <w:color w:val="000000"/>
          <w:szCs w:val="24"/>
        </w:rPr>
        <w:t xml:space="preserve"> Hipoksik ortamda farklı </w:t>
      </w:r>
      <w:proofErr w:type="gramStart"/>
      <w:r w:rsidR="002B3673">
        <w:rPr>
          <w:rFonts w:cs="Times New Roman"/>
          <w:color w:val="000000"/>
          <w:szCs w:val="24"/>
        </w:rPr>
        <w:t>konsantrasyonlarda</w:t>
      </w:r>
      <w:proofErr w:type="gramEnd"/>
      <w:r w:rsidR="002B3673">
        <w:rPr>
          <w:rFonts w:cs="Times New Roman"/>
          <w:color w:val="000000"/>
          <w:szCs w:val="24"/>
        </w:rPr>
        <w:t xml:space="preserve"> glukoz uygulamasının 3.saat kontrol grubuna göre </w:t>
      </w:r>
      <w:r w:rsidR="002B3673" w:rsidRPr="00E20D52">
        <w:rPr>
          <w:rFonts w:cs="Times New Roman"/>
          <w:color w:val="000000"/>
          <w:szCs w:val="24"/>
        </w:rPr>
        <w:t>% canlılık oranları</w:t>
      </w:r>
      <w:r w:rsidR="002B3673">
        <w:rPr>
          <w:rFonts w:cs="Times New Roman"/>
          <w:color w:val="000000"/>
          <w:szCs w:val="24"/>
        </w:rPr>
        <w:t xml:space="preserve"> ve istatiksel değerleri</w:t>
      </w:r>
    </w:p>
    <w:p w:rsidR="00051579" w:rsidRDefault="00051579" w:rsidP="003D1F37">
      <w:pPr>
        <w:ind w:firstLine="0"/>
        <w:jc w:val="left"/>
        <w:rPr>
          <w:rFonts w:cs="Times New Roman"/>
          <w:color w:val="000000"/>
          <w:szCs w:val="24"/>
        </w:rPr>
      </w:pPr>
    </w:p>
    <w:tbl>
      <w:tblPr>
        <w:tblStyle w:val="TabloKlavuzu"/>
        <w:tblW w:w="468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1617"/>
        <w:gridCol w:w="1732"/>
        <w:gridCol w:w="1648"/>
        <w:gridCol w:w="1660"/>
      </w:tblGrid>
      <w:tr w:rsidR="00051579" w:rsidRPr="00B059FF" w:rsidTr="00324B03">
        <w:trPr>
          <w:trHeight w:val="1120"/>
        </w:trPr>
        <w:tc>
          <w:tcPr>
            <w:tcW w:w="1175" w:type="pct"/>
            <w:tcBorders>
              <w:bottom w:val="single" w:sz="4" w:space="0" w:color="auto"/>
            </w:tcBorders>
          </w:tcPr>
          <w:p w:rsidR="00324B03" w:rsidRDefault="00324B03" w:rsidP="00324B03">
            <w:pPr>
              <w:jc w:val="center"/>
              <w:rPr>
                <w:rFonts w:eastAsia="Calibri" w:cs="Times New Roman"/>
                <w:b/>
                <w:sz w:val="18"/>
              </w:rPr>
            </w:pPr>
          </w:p>
          <w:p w:rsidR="00051579" w:rsidRPr="00FC6A07" w:rsidRDefault="00051579" w:rsidP="00324B03">
            <w:pPr>
              <w:jc w:val="center"/>
              <w:rPr>
                <w:rFonts w:eastAsia="Calibri" w:cs="Times New Roman"/>
                <w:b/>
                <w:sz w:val="18"/>
              </w:rPr>
            </w:pPr>
            <w:r>
              <w:rPr>
                <w:rFonts w:eastAsia="Calibri" w:cs="Times New Roman"/>
                <w:b/>
                <w:sz w:val="18"/>
              </w:rPr>
              <w:t>Hipoksi</w:t>
            </w:r>
          </w:p>
          <w:p w:rsidR="00051579" w:rsidRPr="00FC6A07" w:rsidRDefault="00051579" w:rsidP="00324B03">
            <w:pPr>
              <w:jc w:val="center"/>
              <w:rPr>
                <w:rFonts w:eastAsia="Calibri" w:cs="Times New Roman"/>
                <w:b/>
                <w:sz w:val="18"/>
              </w:rPr>
            </w:pPr>
            <w:r w:rsidRPr="00FC6A07">
              <w:rPr>
                <w:rFonts w:eastAsia="Calibri" w:cs="Times New Roman"/>
                <w:b/>
                <w:sz w:val="18"/>
              </w:rPr>
              <w:t>İnkübasyon</w:t>
            </w:r>
          </w:p>
          <w:p w:rsidR="00051579" w:rsidRPr="00B02C28" w:rsidRDefault="00051579" w:rsidP="00324B03">
            <w:pPr>
              <w:jc w:val="center"/>
              <w:rPr>
                <w:rFonts w:eastAsia="Calibri" w:cs="Times New Roman"/>
                <w:sz w:val="16"/>
              </w:rPr>
            </w:pPr>
            <w:r w:rsidRPr="00FC6A07">
              <w:rPr>
                <w:rFonts w:eastAsia="Calibri" w:cs="Times New Roman"/>
                <w:b/>
                <w:sz w:val="18"/>
              </w:rPr>
              <w:t>Süresi</w:t>
            </w:r>
          </w:p>
        </w:tc>
        <w:tc>
          <w:tcPr>
            <w:tcW w:w="929" w:type="pct"/>
            <w:tcBorders>
              <w:bottom w:val="single" w:sz="4" w:space="0" w:color="auto"/>
            </w:tcBorders>
          </w:tcPr>
          <w:p w:rsidR="00051579" w:rsidRPr="00FC6A07" w:rsidRDefault="00051579" w:rsidP="00324B03">
            <w:pPr>
              <w:jc w:val="center"/>
              <w:rPr>
                <w:rFonts w:eastAsia="Calibri" w:cs="Times New Roman"/>
                <w:b/>
                <w:sz w:val="18"/>
                <w:szCs w:val="20"/>
              </w:rPr>
            </w:pPr>
          </w:p>
          <w:p w:rsidR="00324B03" w:rsidRDefault="00324B03" w:rsidP="00324B03">
            <w:pPr>
              <w:jc w:val="center"/>
              <w:rPr>
                <w:rFonts w:eastAsia="Calibri" w:cs="Times New Roman"/>
                <w:b/>
                <w:sz w:val="18"/>
                <w:szCs w:val="20"/>
              </w:rPr>
            </w:pPr>
          </w:p>
          <w:p w:rsidR="00051579" w:rsidRPr="00FC6A07" w:rsidRDefault="00051579" w:rsidP="00324B03">
            <w:pPr>
              <w:jc w:val="center"/>
              <w:rPr>
                <w:rFonts w:eastAsia="Calibri" w:cs="Times New Roman"/>
                <w:b/>
                <w:sz w:val="18"/>
                <w:szCs w:val="20"/>
              </w:rPr>
            </w:pPr>
            <w:r w:rsidRPr="00FC6A07">
              <w:rPr>
                <w:rFonts w:eastAsia="Calibri" w:cs="Times New Roman"/>
                <w:b/>
                <w:sz w:val="18"/>
                <w:szCs w:val="20"/>
              </w:rPr>
              <w:t>0 mM</w:t>
            </w:r>
          </w:p>
          <w:p w:rsidR="00051579" w:rsidRPr="00FC6A07" w:rsidRDefault="00051579" w:rsidP="00324B03">
            <w:pPr>
              <w:jc w:val="center"/>
              <w:rPr>
                <w:rFonts w:eastAsia="Calibri" w:cs="Times New Roman"/>
                <w:b/>
                <w:sz w:val="18"/>
                <w:szCs w:val="20"/>
              </w:rPr>
            </w:pPr>
            <w:r w:rsidRPr="00FC6A07">
              <w:rPr>
                <w:rFonts w:eastAsia="Calibri" w:cs="Times New Roman"/>
                <w:b/>
                <w:sz w:val="18"/>
                <w:szCs w:val="20"/>
              </w:rPr>
              <w:t>%canlılık</w:t>
            </w:r>
          </w:p>
        </w:tc>
        <w:tc>
          <w:tcPr>
            <w:tcW w:w="995" w:type="pct"/>
            <w:tcBorders>
              <w:bottom w:val="single" w:sz="4" w:space="0" w:color="auto"/>
            </w:tcBorders>
          </w:tcPr>
          <w:p w:rsidR="00051579" w:rsidRPr="00FC6A07" w:rsidRDefault="00051579" w:rsidP="00324B03">
            <w:pPr>
              <w:jc w:val="center"/>
              <w:rPr>
                <w:rFonts w:eastAsia="Calibri" w:cs="Times New Roman"/>
                <w:b/>
                <w:sz w:val="18"/>
                <w:szCs w:val="20"/>
              </w:rPr>
            </w:pPr>
          </w:p>
          <w:p w:rsidR="00324B03" w:rsidRDefault="00324B03" w:rsidP="00324B03">
            <w:pPr>
              <w:jc w:val="center"/>
              <w:rPr>
                <w:rFonts w:eastAsia="Calibri" w:cs="Times New Roman"/>
                <w:b/>
                <w:sz w:val="18"/>
                <w:szCs w:val="20"/>
              </w:rPr>
            </w:pPr>
          </w:p>
          <w:p w:rsidR="00051579" w:rsidRPr="00FC6A07" w:rsidRDefault="00051579" w:rsidP="00324B03">
            <w:pPr>
              <w:jc w:val="center"/>
              <w:rPr>
                <w:rFonts w:eastAsia="Calibri" w:cs="Times New Roman"/>
                <w:b/>
                <w:sz w:val="18"/>
                <w:szCs w:val="20"/>
              </w:rPr>
            </w:pPr>
            <w:r w:rsidRPr="00FC6A07">
              <w:rPr>
                <w:rFonts w:eastAsia="Calibri" w:cs="Times New Roman"/>
                <w:b/>
                <w:sz w:val="18"/>
                <w:szCs w:val="20"/>
              </w:rPr>
              <w:t>5,5 mM</w:t>
            </w:r>
          </w:p>
          <w:p w:rsidR="00051579" w:rsidRPr="00FC6A07" w:rsidRDefault="00051579" w:rsidP="00324B03">
            <w:pPr>
              <w:jc w:val="center"/>
              <w:rPr>
                <w:rFonts w:eastAsia="Calibri" w:cs="Times New Roman"/>
                <w:b/>
                <w:sz w:val="18"/>
                <w:szCs w:val="20"/>
              </w:rPr>
            </w:pPr>
            <w:r w:rsidRPr="00FC6A07">
              <w:rPr>
                <w:rFonts w:eastAsia="Calibri" w:cs="Times New Roman"/>
                <w:b/>
                <w:sz w:val="18"/>
                <w:szCs w:val="20"/>
              </w:rPr>
              <w:t>%canlılık</w:t>
            </w:r>
          </w:p>
        </w:tc>
        <w:tc>
          <w:tcPr>
            <w:tcW w:w="947" w:type="pct"/>
            <w:tcBorders>
              <w:bottom w:val="single" w:sz="4" w:space="0" w:color="auto"/>
            </w:tcBorders>
          </w:tcPr>
          <w:p w:rsidR="00051579" w:rsidRPr="00FC6A07" w:rsidRDefault="00051579" w:rsidP="00324B03">
            <w:pPr>
              <w:jc w:val="center"/>
              <w:rPr>
                <w:rFonts w:eastAsia="Calibri" w:cs="Times New Roman"/>
                <w:b/>
                <w:sz w:val="18"/>
                <w:szCs w:val="20"/>
              </w:rPr>
            </w:pPr>
          </w:p>
          <w:p w:rsidR="00324B03" w:rsidRDefault="00324B03" w:rsidP="00324B03">
            <w:pPr>
              <w:jc w:val="center"/>
              <w:rPr>
                <w:rFonts w:eastAsia="Calibri" w:cs="Times New Roman"/>
                <w:b/>
                <w:sz w:val="18"/>
                <w:szCs w:val="20"/>
              </w:rPr>
            </w:pPr>
          </w:p>
          <w:p w:rsidR="00051579" w:rsidRPr="00FC6A07" w:rsidRDefault="00051579" w:rsidP="00324B03">
            <w:pPr>
              <w:jc w:val="center"/>
              <w:rPr>
                <w:rFonts w:eastAsia="Calibri" w:cs="Times New Roman"/>
                <w:b/>
                <w:sz w:val="18"/>
                <w:szCs w:val="20"/>
              </w:rPr>
            </w:pPr>
            <w:r w:rsidRPr="00FC6A07">
              <w:rPr>
                <w:rFonts w:eastAsia="Calibri" w:cs="Times New Roman"/>
                <w:b/>
                <w:sz w:val="18"/>
                <w:szCs w:val="20"/>
              </w:rPr>
              <w:t>15 mM</w:t>
            </w:r>
          </w:p>
          <w:p w:rsidR="00051579" w:rsidRPr="00FC6A07" w:rsidRDefault="00051579" w:rsidP="00324B03">
            <w:pPr>
              <w:jc w:val="center"/>
              <w:rPr>
                <w:rFonts w:eastAsia="Calibri" w:cs="Times New Roman"/>
                <w:b/>
                <w:sz w:val="18"/>
                <w:szCs w:val="20"/>
              </w:rPr>
            </w:pPr>
            <w:r w:rsidRPr="00FC6A07">
              <w:rPr>
                <w:rFonts w:eastAsia="Calibri" w:cs="Times New Roman"/>
                <w:b/>
                <w:sz w:val="18"/>
                <w:szCs w:val="20"/>
              </w:rPr>
              <w:t>%canlılık</w:t>
            </w:r>
          </w:p>
        </w:tc>
        <w:tc>
          <w:tcPr>
            <w:tcW w:w="954" w:type="pct"/>
            <w:tcBorders>
              <w:bottom w:val="single" w:sz="4" w:space="0" w:color="auto"/>
            </w:tcBorders>
          </w:tcPr>
          <w:p w:rsidR="00051579" w:rsidRPr="00FC6A07" w:rsidRDefault="00051579" w:rsidP="00324B03">
            <w:pPr>
              <w:jc w:val="center"/>
              <w:rPr>
                <w:rFonts w:eastAsia="Calibri" w:cs="Times New Roman"/>
                <w:b/>
                <w:sz w:val="18"/>
                <w:szCs w:val="20"/>
              </w:rPr>
            </w:pPr>
          </w:p>
          <w:p w:rsidR="00324B03" w:rsidRDefault="00324B03" w:rsidP="00324B03">
            <w:pPr>
              <w:jc w:val="center"/>
              <w:rPr>
                <w:rFonts w:eastAsia="Calibri" w:cs="Times New Roman"/>
                <w:b/>
                <w:sz w:val="18"/>
                <w:szCs w:val="20"/>
              </w:rPr>
            </w:pPr>
          </w:p>
          <w:p w:rsidR="00051579" w:rsidRPr="00FC6A07" w:rsidRDefault="00051579" w:rsidP="00324B03">
            <w:pPr>
              <w:jc w:val="center"/>
              <w:rPr>
                <w:rFonts w:eastAsia="Calibri" w:cs="Times New Roman"/>
                <w:b/>
                <w:sz w:val="18"/>
                <w:szCs w:val="20"/>
              </w:rPr>
            </w:pPr>
            <w:r w:rsidRPr="00FC6A07">
              <w:rPr>
                <w:rFonts w:eastAsia="Calibri" w:cs="Times New Roman"/>
                <w:b/>
                <w:sz w:val="18"/>
                <w:szCs w:val="20"/>
              </w:rPr>
              <w:t>55 mM</w:t>
            </w:r>
          </w:p>
          <w:p w:rsidR="00051579" w:rsidRPr="00FC6A07" w:rsidRDefault="00051579" w:rsidP="00324B03">
            <w:pPr>
              <w:jc w:val="center"/>
              <w:rPr>
                <w:rFonts w:eastAsia="Calibri" w:cs="Times New Roman"/>
                <w:b/>
                <w:sz w:val="18"/>
                <w:szCs w:val="20"/>
              </w:rPr>
            </w:pPr>
            <w:r w:rsidRPr="00FC6A07">
              <w:rPr>
                <w:rFonts w:eastAsia="Calibri" w:cs="Times New Roman"/>
                <w:b/>
                <w:sz w:val="18"/>
                <w:szCs w:val="20"/>
              </w:rPr>
              <w:t>%canlılık</w:t>
            </w:r>
          </w:p>
        </w:tc>
      </w:tr>
      <w:tr w:rsidR="002B3673" w:rsidRPr="00B059FF" w:rsidTr="00324B03">
        <w:trPr>
          <w:trHeight w:val="142"/>
        </w:trPr>
        <w:tc>
          <w:tcPr>
            <w:tcW w:w="1175" w:type="pct"/>
            <w:tcBorders>
              <w:top w:val="single" w:sz="4" w:space="0" w:color="auto"/>
            </w:tcBorders>
          </w:tcPr>
          <w:p w:rsidR="002B3673" w:rsidRPr="00FC6A07" w:rsidRDefault="002B3673" w:rsidP="00051579">
            <w:pPr>
              <w:spacing w:line="500" w:lineRule="atLeast"/>
              <w:jc w:val="center"/>
              <w:rPr>
                <w:rFonts w:eastAsia="Calibri" w:cs="Times New Roman"/>
                <w:sz w:val="16"/>
                <w:szCs w:val="16"/>
              </w:rPr>
            </w:pPr>
            <w:r w:rsidRPr="00FC6A07">
              <w:rPr>
                <w:rFonts w:eastAsia="Calibri" w:cs="Times New Roman"/>
                <w:sz w:val="16"/>
                <w:szCs w:val="16"/>
              </w:rPr>
              <w:t>Kontrol</w:t>
            </w:r>
          </w:p>
        </w:tc>
        <w:tc>
          <w:tcPr>
            <w:tcW w:w="929" w:type="pct"/>
            <w:tcBorders>
              <w:top w:val="single" w:sz="4" w:space="0" w:color="auto"/>
            </w:tcBorders>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100±1,79</w:t>
            </w:r>
            <w:r w:rsidRPr="00FC6A07">
              <w:rPr>
                <w:rFonts w:cs="Times New Roman"/>
                <w:color w:val="000000"/>
                <w:sz w:val="16"/>
                <w:szCs w:val="16"/>
                <w:vertAlign w:val="superscript"/>
              </w:rPr>
              <w:t>a</w:t>
            </w:r>
          </w:p>
        </w:tc>
        <w:tc>
          <w:tcPr>
            <w:tcW w:w="995" w:type="pct"/>
            <w:tcBorders>
              <w:top w:val="single" w:sz="4" w:space="0" w:color="auto"/>
            </w:tcBorders>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100±10,39</w:t>
            </w:r>
            <w:r w:rsidRPr="00FC6A07">
              <w:rPr>
                <w:rFonts w:cs="Times New Roman"/>
                <w:color w:val="000000"/>
                <w:sz w:val="16"/>
                <w:szCs w:val="16"/>
                <w:vertAlign w:val="superscript"/>
              </w:rPr>
              <w:t xml:space="preserve"> a</w:t>
            </w:r>
          </w:p>
        </w:tc>
        <w:tc>
          <w:tcPr>
            <w:tcW w:w="947" w:type="pct"/>
            <w:tcBorders>
              <w:top w:val="single" w:sz="4" w:space="0" w:color="auto"/>
            </w:tcBorders>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100±0,66</w:t>
            </w:r>
            <w:r w:rsidRPr="00FC6A07">
              <w:rPr>
                <w:rFonts w:cs="Times New Roman"/>
                <w:color w:val="000000"/>
                <w:sz w:val="16"/>
                <w:szCs w:val="16"/>
                <w:vertAlign w:val="superscript"/>
              </w:rPr>
              <w:t xml:space="preserve"> a</w:t>
            </w:r>
          </w:p>
        </w:tc>
        <w:tc>
          <w:tcPr>
            <w:tcW w:w="954" w:type="pct"/>
            <w:tcBorders>
              <w:top w:val="single" w:sz="4" w:space="0" w:color="auto"/>
            </w:tcBorders>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100±0,89</w:t>
            </w:r>
            <w:r w:rsidRPr="00FC6A07">
              <w:rPr>
                <w:rFonts w:cs="Times New Roman"/>
                <w:color w:val="000000"/>
                <w:sz w:val="16"/>
                <w:szCs w:val="16"/>
                <w:vertAlign w:val="superscript"/>
              </w:rPr>
              <w:t xml:space="preserve"> a</w:t>
            </w:r>
          </w:p>
        </w:tc>
      </w:tr>
      <w:tr w:rsidR="002B3673" w:rsidRPr="00B059FF" w:rsidTr="00B02C28">
        <w:trPr>
          <w:trHeight w:val="142"/>
        </w:trPr>
        <w:tc>
          <w:tcPr>
            <w:tcW w:w="1175" w:type="pct"/>
          </w:tcPr>
          <w:p w:rsidR="002B3673" w:rsidRPr="00FC6A07" w:rsidRDefault="002B3673" w:rsidP="00051579">
            <w:pPr>
              <w:spacing w:line="500" w:lineRule="atLeast"/>
              <w:jc w:val="center"/>
              <w:rPr>
                <w:rFonts w:eastAsia="Calibri" w:cs="Times New Roman"/>
                <w:sz w:val="16"/>
                <w:szCs w:val="16"/>
              </w:rPr>
            </w:pPr>
            <w:r w:rsidRPr="00FC6A07">
              <w:rPr>
                <w:rFonts w:eastAsia="Calibri" w:cs="Times New Roman"/>
                <w:sz w:val="16"/>
                <w:szCs w:val="16"/>
              </w:rPr>
              <w:t>6.saat</w:t>
            </w:r>
          </w:p>
        </w:tc>
        <w:tc>
          <w:tcPr>
            <w:tcW w:w="929"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128±0,95</w:t>
            </w:r>
            <w:r w:rsidRPr="00FC6A07">
              <w:rPr>
                <w:rFonts w:cs="Times New Roman"/>
                <w:color w:val="000000"/>
                <w:sz w:val="16"/>
                <w:szCs w:val="16"/>
                <w:vertAlign w:val="superscript"/>
              </w:rPr>
              <w:t>ab</w:t>
            </w:r>
          </w:p>
        </w:tc>
        <w:tc>
          <w:tcPr>
            <w:tcW w:w="995"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100±1,45</w:t>
            </w:r>
            <w:r w:rsidRPr="00FC6A07">
              <w:rPr>
                <w:rFonts w:cs="Times New Roman"/>
                <w:color w:val="000000"/>
                <w:sz w:val="16"/>
                <w:szCs w:val="16"/>
                <w:vertAlign w:val="superscript"/>
              </w:rPr>
              <w:t xml:space="preserve"> a</w:t>
            </w:r>
          </w:p>
        </w:tc>
        <w:tc>
          <w:tcPr>
            <w:tcW w:w="947"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118±0,81</w:t>
            </w:r>
            <w:r w:rsidRPr="00FC6A07">
              <w:rPr>
                <w:rFonts w:cs="Times New Roman"/>
                <w:color w:val="000000"/>
                <w:sz w:val="16"/>
                <w:szCs w:val="16"/>
                <w:vertAlign w:val="superscript"/>
              </w:rPr>
              <w:t xml:space="preserve"> b</w:t>
            </w:r>
            <w:r w:rsidR="007108FE" w:rsidRPr="00FC6A07">
              <w:rPr>
                <w:rFonts w:cs="Times New Roman"/>
                <w:color w:val="000000"/>
                <w:sz w:val="16"/>
                <w:szCs w:val="16"/>
                <w:vertAlign w:val="superscript"/>
              </w:rPr>
              <w:t>*</w:t>
            </w:r>
          </w:p>
        </w:tc>
        <w:tc>
          <w:tcPr>
            <w:tcW w:w="954"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133±4,61</w:t>
            </w:r>
            <w:r w:rsidRPr="00FC6A07">
              <w:rPr>
                <w:rFonts w:cs="Times New Roman"/>
                <w:color w:val="000000"/>
                <w:sz w:val="16"/>
                <w:szCs w:val="16"/>
                <w:vertAlign w:val="superscript"/>
              </w:rPr>
              <w:t xml:space="preserve"> a</w:t>
            </w:r>
          </w:p>
        </w:tc>
      </w:tr>
      <w:tr w:rsidR="002B3673" w:rsidRPr="00B059FF" w:rsidTr="00B02C28">
        <w:trPr>
          <w:trHeight w:val="611"/>
        </w:trPr>
        <w:tc>
          <w:tcPr>
            <w:tcW w:w="1175" w:type="pct"/>
          </w:tcPr>
          <w:p w:rsidR="002B3673" w:rsidRPr="00FC6A07" w:rsidRDefault="002B3673" w:rsidP="00051579">
            <w:pPr>
              <w:spacing w:line="500" w:lineRule="atLeast"/>
              <w:jc w:val="center"/>
              <w:rPr>
                <w:rFonts w:eastAsia="Calibri" w:cs="Times New Roman"/>
                <w:sz w:val="16"/>
                <w:szCs w:val="16"/>
              </w:rPr>
            </w:pPr>
            <w:r w:rsidRPr="00FC6A07">
              <w:rPr>
                <w:rFonts w:eastAsia="Calibri" w:cs="Times New Roman"/>
                <w:sz w:val="16"/>
                <w:szCs w:val="16"/>
              </w:rPr>
              <w:t>12.saat</w:t>
            </w:r>
          </w:p>
        </w:tc>
        <w:tc>
          <w:tcPr>
            <w:tcW w:w="929"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169±6,45</w:t>
            </w:r>
            <w:r w:rsidRPr="00FC6A07">
              <w:rPr>
                <w:rFonts w:cs="Times New Roman"/>
                <w:color w:val="000000"/>
                <w:sz w:val="16"/>
                <w:szCs w:val="16"/>
                <w:vertAlign w:val="superscript"/>
              </w:rPr>
              <w:t>bc</w:t>
            </w:r>
          </w:p>
        </w:tc>
        <w:tc>
          <w:tcPr>
            <w:tcW w:w="995"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150±1,03</w:t>
            </w:r>
            <w:r w:rsidRPr="00FC6A07">
              <w:rPr>
                <w:rFonts w:cs="Times New Roman"/>
                <w:color w:val="000000"/>
                <w:sz w:val="16"/>
                <w:szCs w:val="16"/>
                <w:vertAlign w:val="superscript"/>
              </w:rPr>
              <w:t xml:space="preserve"> b</w:t>
            </w:r>
          </w:p>
        </w:tc>
        <w:tc>
          <w:tcPr>
            <w:tcW w:w="947"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150±2,9</w:t>
            </w:r>
            <w:r w:rsidRPr="00FC6A07">
              <w:rPr>
                <w:rFonts w:cs="Times New Roman"/>
                <w:color w:val="000000"/>
                <w:sz w:val="16"/>
                <w:szCs w:val="16"/>
                <w:vertAlign w:val="superscript"/>
              </w:rPr>
              <w:t xml:space="preserve"> c</w:t>
            </w:r>
            <w:r w:rsidR="007108FE" w:rsidRPr="00FC6A07">
              <w:rPr>
                <w:rFonts w:cs="Times New Roman"/>
                <w:color w:val="000000"/>
                <w:sz w:val="16"/>
                <w:szCs w:val="16"/>
                <w:vertAlign w:val="superscript"/>
              </w:rPr>
              <w:t>*</w:t>
            </w:r>
          </w:p>
        </w:tc>
        <w:tc>
          <w:tcPr>
            <w:tcW w:w="954"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258±25,2</w:t>
            </w:r>
            <w:r w:rsidRPr="00FC6A07">
              <w:rPr>
                <w:rFonts w:cs="Times New Roman"/>
                <w:color w:val="000000"/>
                <w:sz w:val="16"/>
                <w:szCs w:val="16"/>
                <w:vertAlign w:val="superscript"/>
              </w:rPr>
              <w:t xml:space="preserve"> b</w:t>
            </w:r>
            <w:r w:rsidR="007108FE" w:rsidRPr="00FC6A07">
              <w:rPr>
                <w:rFonts w:cs="Times New Roman"/>
                <w:color w:val="000000"/>
                <w:sz w:val="16"/>
                <w:szCs w:val="16"/>
                <w:vertAlign w:val="superscript"/>
              </w:rPr>
              <w:t>*</w:t>
            </w:r>
          </w:p>
        </w:tc>
      </w:tr>
      <w:tr w:rsidR="002B3673" w:rsidRPr="00B059FF" w:rsidTr="009B055A">
        <w:trPr>
          <w:trHeight w:val="628"/>
        </w:trPr>
        <w:tc>
          <w:tcPr>
            <w:tcW w:w="1175" w:type="pct"/>
          </w:tcPr>
          <w:p w:rsidR="002B3673" w:rsidRPr="00FC6A07" w:rsidRDefault="002B3673" w:rsidP="00051579">
            <w:pPr>
              <w:spacing w:line="500" w:lineRule="atLeast"/>
              <w:jc w:val="center"/>
              <w:rPr>
                <w:rFonts w:eastAsia="Calibri" w:cs="Times New Roman"/>
                <w:sz w:val="16"/>
                <w:szCs w:val="16"/>
              </w:rPr>
            </w:pPr>
            <w:r w:rsidRPr="00FC6A07">
              <w:rPr>
                <w:rFonts w:eastAsia="Calibri" w:cs="Times New Roman"/>
                <w:sz w:val="16"/>
                <w:szCs w:val="16"/>
              </w:rPr>
              <w:t>24.saat</w:t>
            </w:r>
          </w:p>
        </w:tc>
        <w:tc>
          <w:tcPr>
            <w:tcW w:w="929"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192±18,93</w:t>
            </w:r>
            <w:r w:rsidRPr="00FC6A07">
              <w:rPr>
                <w:rFonts w:cs="Times New Roman"/>
                <w:color w:val="000000"/>
                <w:sz w:val="16"/>
                <w:szCs w:val="16"/>
                <w:vertAlign w:val="superscript"/>
              </w:rPr>
              <w:t>c</w:t>
            </w:r>
            <w:r w:rsidR="007108FE" w:rsidRPr="00FC6A07">
              <w:rPr>
                <w:rFonts w:cs="Times New Roman"/>
                <w:color w:val="000000"/>
                <w:sz w:val="16"/>
                <w:szCs w:val="16"/>
                <w:vertAlign w:val="superscript"/>
              </w:rPr>
              <w:t>*</w:t>
            </w:r>
          </w:p>
        </w:tc>
        <w:tc>
          <w:tcPr>
            <w:tcW w:w="995"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179±11,2</w:t>
            </w:r>
            <w:r w:rsidRPr="00FC6A07">
              <w:rPr>
                <w:rFonts w:cs="Times New Roman"/>
                <w:color w:val="000000"/>
                <w:sz w:val="16"/>
                <w:szCs w:val="16"/>
                <w:vertAlign w:val="superscript"/>
              </w:rPr>
              <w:t xml:space="preserve"> b</w:t>
            </w:r>
            <w:r w:rsidR="007108FE" w:rsidRPr="00FC6A07">
              <w:rPr>
                <w:rFonts w:cs="Times New Roman"/>
                <w:color w:val="000000"/>
                <w:sz w:val="16"/>
                <w:szCs w:val="16"/>
                <w:vertAlign w:val="superscript"/>
              </w:rPr>
              <w:t>*</w:t>
            </w:r>
          </w:p>
        </w:tc>
        <w:tc>
          <w:tcPr>
            <w:tcW w:w="947"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178±0,48</w:t>
            </w:r>
            <w:r w:rsidRPr="00FC6A07">
              <w:rPr>
                <w:rFonts w:cs="Times New Roman"/>
                <w:color w:val="000000"/>
                <w:sz w:val="16"/>
                <w:szCs w:val="16"/>
                <w:vertAlign w:val="superscript"/>
              </w:rPr>
              <w:t xml:space="preserve"> d</w:t>
            </w:r>
            <w:r w:rsidR="007108FE" w:rsidRPr="00FC6A07">
              <w:rPr>
                <w:rFonts w:cs="Times New Roman"/>
                <w:color w:val="000000"/>
                <w:sz w:val="16"/>
                <w:szCs w:val="16"/>
                <w:vertAlign w:val="superscript"/>
              </w:rPr>
              <w:t>*</w:t>
            </w:r>
          </w:p>
        </w:tc>
        <w:tc>
          <w:tcPr>
            <w:tcW w:w="954" w:type="pct"/>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296±0,67</w:t>
            </w:r>
            <w:r w:rsidRPr="00FC6A07">
              <w:rPr>
                <w:rFonts w:cs="Times New Roman"/>
                <w:color w:val="000000"/>
                <w:sz w:val="16"/>
                <w:szCs w:val="16"/>
                <w:vertAlign w:val="superscript"/>
              </w:rPr>
              <w:t xml:space="preserve"> bc</w:t>
            </w:r>
            <w:r w:rsidR="007108FE" w:rsidRPr="00FC6A07">
              <w:rPr>
                <w:rFonts w:cs="Times New Roman"/>
                <w:color w:val="000000"/>
                <w:sz w:val="16"/>
                <w:szCs w:val="16"/>
                <w:vertAlign w:val="superscript"/>
              </w:rPr>
              <w:t>*</w:t>
            </w:r>
          </w:p>
        </w:tc>
      </w:tr>
      <w:tr w:rsidR="002B3673" w:rsidRPr="00B059FF" w:rsidTr="009B055A">
        <w:trPr>
          <w:trHeight w:val="142"/>
        </w:trPr>
        <w:tc>
          <w:tcPr>
            <w:tcW w:w="1175" w:type="pct"/>
            <w:tcBorders>
              <w:bottom w:val="single" w:sz="4" w:space="0" w:color="auto"/>
            </w:tcBorders>
          </w:tcPr>
          <w:p w:rsidR="002B3673" w:rsidRPr="00FC6A07" w:rsidRDefault="002B3673" w:rsidP="00051579">
            <w:pPr>
              <w:spacing w:line="500" w:lineRule="atLeast"/>
              <w:jc w:val="center"/>
              <w:rPr>
                <w:rFonts w:eastAsia="Calibri" w:cs="Times New Roman"/>
                <w:sz w:val="16"/>
                <w:szCs w:val="16"/>
              </w:rPr>
            </w:pPr>
            <w:r w:rsidRPr="00FC6A07">
              <w:rPr>
                <w:rFonts w:eastAsia="Calibri" w:cs="Times New Roman"/>
                <w:sz w:val="16"/>
                <w:szCs w:val="16"/>
              </w:rPr>
              <w:t>48.saat</w:t>
            </w:r>
          </w:p>
        </w:tc>
        <w:tc>
          <w:tcPr>
            <w:tcW w:w="929" w:type="pct"/>
            <w:tcBorders>
              <w:bottom w:val="single" w:sz="4" w:space="0" w:color="auto"/>
            </w:tcBorders>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262±6,68</w:t>
            </w:r>
            <w:r w:rsidRPr="00FC6A07">
              <w:rPr>
                <w:rFonts w:cs="Times New Roman"/>
                <w:color w:val="000000"/>
                <w:sz w:val="16"/>
                <w:szCs w:val="16"/>
                <w:vertAlign w:val="superscript"/>
              </w:rPr>
              <w:t xml:space="preserve"> d</w:t>
            </w:r>
            <w:r w:rsidR="007108FE" w:rsidRPr="00FC6A07">
              <w:rPr>
                <w:rFonts w:cs="Times New Roman"/>
                <w:color w:val="000000"/>
                <w:sz w:val="16"/>
                <w:szCs w:val="16"/>
                <w:vertAlign w:val="superscript"/>
              </w:rPr>
              <w:t>*</w:t>
            </w:r>
          </w:p>
        </w:tc>
        <w:tc>
          <w:tcPr>
            <w:tcW w:w="995" w:type="pct"/>
            <w:tcBorders>
              <w:bottom w:val="single" w:sz="4" w:space="0" w:color="auto"/>
            </w:tcBorders>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273±4,56</w:t>
            </w:r>
            <w:r w:rsidRPr="00FC6A07">
              <w:rPr>
                <w:rFonts w:cs="Times New Roman"/>
                <w:color w:val="000000"/>
                <w:sz w:val="16"/>
                <w:szCs w:val="16"/>
                <w:vertAlign w:val="superscript"/>
              </w:rPr>
              <w:t xml:space="preserve"> c</w:t>
            </w:r>
            <w:r w:rsidR="007108FE" w:rsidRPr="00FC6A07">
              <w:rPr>
                <w:rFonts w:cs="Times New Roman"/>
                <w:color w:val="000000"/>
                <w:sz w:val="16"/>
                <w:szCs w:val="16"/>
                <w:vertAlign w:val="superscript"/>
              </w:rPr>
              <w:t>*</w:t>
            </w:r>
          </w:p>
        </w:tc>
        <w:tc>
          <w:tcPr>
            <w:tcW w:w="947" w:type="pct"/>
            <w:tcBorders>
              <w:bottom w:val="single" w:sz="4" w:space="0" w:color="auto"/>
            </w:tcBorders>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269±3,25</w:t>
            </w:r>
            <w:r w:rsidRPr="00FC6A07">
              <w:rPr>
                <w:rFonts w:cs="Times New Roman"/>
                <w:color w:val="000000"/>
                <w:sz w:val="16"/>
                <w:szCs w:val="16"/>
                <w:vertAlign w:val="superscript"/>
              </w:rPr>
              <w:t xml:space="preserve"> e</w:t>
            </w:r>
            <w:r w:rsidR="007108FE" w:rsidRPr="00FC6A07">
              <w:rPr>
                <w:rFonts w:cs="Times New Roman"/>
                <w:color w:val="000000"/>
                <w:sz w:val="16"/>
                <w:szCs w:val="16"/>
                <w:vertAlign w:val="superscript"/>
              </w:rPr>
              <w:t>*</w:t>
            </w:r>
          </w:p>
        </w:tc>
        <w:tc>
          <w:tcPr>
            <w:tcW w:w="954" w:type="pct"/>
            <w:tcBorders>
              <w:bottom w:val="single" w:sz="4" w:space="0" w:color="auto"/>
            </w:tcBorders>
          </w:tcPr>
          <w:p w:rsidR="002B3673" w:rsidRPr="00FC6A07" w:rsidRDefault="002B3673" w:rsidP="00051579">
            <w:pPr>
              <w:spacing w:line="500" w:lineRule="atLeast"/>
              <w:jc w:val="center"/>
              <w:rPr>
                <w:rFonts w:cs="Times New Roman"/>
                <w:color w:val="000000"/>
                <w:sz w:val="16"/>
                <w:szCs w:val="16"/>
              </w:rPr>
            </w:pPr>
            <w:r w:rsidRPr="00FC6A07">
              <w:rPr>
                <w:rFonts w:cs="Times New Roman"/>
                <w:color w:val="000000"/>
                <w:sz w:val="16"/>
                <w:szCs w:val="16"/>
              </w:rPr>
              <w:t>319±8,19</w:t>
            </w:r>
            <w:r w:rsidRPr="00FC6A07">
              <w:rPr>
                <w:rFonts w:cs="Times New Roman"/>
                <w:color w:val="000000"/>
                <w:sz w:val="16"/>
                <w:szCs w:val="16"/>
                <w:vertAlign w:val="superscript"/>
              </w:rPr>
              <w:t xml:space="preserve"> c</w:t>
            </w:r>
            <w:r w:rsidR="007108FE" w:rsidRPr="00FC6A07">
              <w:rPr>
                <w:rFonts w:cs="Times New Roman"/>
                <w:color w:val="000000"/>
                <w:sz w:val="16"/>
                <w:szCs w:val="16"/>
                <w:vertAlign w:val="superscript"/>
              </w:rPr>
              <w:t>*</w:t>
            </w:r>
          </w:p>
        </w:tc>
      </w:tr>
      <w:tr w:rsidR="00B02C28" w:rsidRPr="00B059FF" w:rsidTr="009B055A">
        <w:trPr>
          <w:trHeight w:val="142"/>
        </w:trPr>
        <w:tc>
          <w:tcPr>
            <w:tcW w:w="1175" w:type="pct"/>
            <w:tcBorders>
              <w:top w:val="single" w:sz="4" w:space="0" w:color="auto"/>
            </w:tcBorders>
          </w:tcPr>
          <w:p w:rsidR="00B02C28" w:rsidRPr="00B059FF" w:rsidRDefault="00B02C28" w:rsidP="002679EE">
            <w:pPr>
              <w:spacing w:line="500" w:lineRule="atLeast"/>
              <w:jc w:val="left"/>
              <w:rPr>
                <w:rFonts w:eastAsia="Calibri" w:cs="Times New Roman"/>
                <w:sz w:val="16"/>
              </w:rPr>
            </w:pPr>
          </w:p>
        </w:tc>
        <w:tc>
          <w:tcPr>
            <w:tcW w:w="929" w:type="pct"/>
            <w:tcBorders>
              <w:top w:val="single" w:sz="4" w:space="0" w:color="auto"/>
            </w:tcBorders>
          </w:tcPr>
          <w:p w:rsidR="00B02C28" w:rsidRPr="00B059FF" w:rsidRDefault="00B02C28" w:rsidP="002679EE">
            <w:pPr>
              <w:spacing w:line="500" w:lineRule="atLeast"/>
              <w:jc w:val="left"/>
              <w:rPr>
                <w:rFonts w:cs="Times New Roman"/>
                <w:color w:val="000000"/>
                <w:sz w:val="16"/>
              </w:rPr>
            </w:pPr>
          </w:p>
        </w:tc>
        <w:tc>
          <w:tcPr>
            <w:tcW w:w="995" w:type="pct"/>
            <w:tcBorders>
              <w:top w:val="single" w:sz="4" w:space="0" w:color="auto"/>
            </w:tcBorders>
          </w:tcPr>
          <w:p w:rsidR="00B02C28" w:rsidRPr="00B059FF" w:rsidRDefault="00B02C28" w:rsidP="002679EE">
            <w:pPr>
              <w:spacing w:line="500" w:lineRule="atLeast"/>
              <w:jc w:val="left"/>
              <w:rPr>
                <w:rFonts w:cs="Times New Roman"/>
                <w:color w:val="000000"/>
                <w:sz w:val="16"/>
              </w:rPr>
            </w:pPr>
          </w:p>
        </w:tc>
        <w:tc>
          <w:tcPr>
            <w:tcW w:w="947" w:type="pct"/>
            <w:tcBorders>
              <w:top w:val="single" w:sz="4" w:space="0" w:color="auto"/>
            </w:tcBorders>
          </w:tcPr>
          <w:p w:rsidR="00B02C28" w:rsidRPr="00B059FF" w:rsidRDefault="00B02C28" w:rsidP="002679EE">
            <w:pPr>
              <w:spacing w:line="500" w:lineRule="atLeast"/>
              <w:jc w:val="left"/>
              <w:rPr>
                <w:rFonts w:cs="Times New Roman"/>
                <w:color w:val="000000"/>
                <w:sz w:val="16"/>
              </w:rPr>
            </w:pPr>
          </w:p>
        </w:tc>
        <w:tc>
          <w:tcPr>
            <w:tcW w:w="954" w:type="pct"/>
            <w:tcBorders>
              <w:top w:val="single" w:sz="4" w:space="0" w:color="auto"/>
            </w:tcBorders>
          </w:tcPr>
          <w:p w:rsidR="00B02C28" w:rsidRPr="00B059FF" w:rsidRDefault="00B02C28" w:rsidP="002679EE">
            <w:pPr>
              <w:spacing w:line="500" w:lineRule="atLeast"/>
              <w:jc w:val="left"/>
              <w:rPr>
                <w:rFonts w:cs="Times New Roman"/>
                <w:color w:val="000000"/>
                <w:sz w:val="16"/>
              </w:rPr>
            </w:pPr>
          </w:p>
        </w:tc>
      </w:tr>
    </w:tbl>
    <w:p w:rsidR="002B3673" w:rsidRPr="00051579" w:rsidRDefault="002B3673" w:rsidP="00051579">
      <w:pPr>
        <w:ind w:firstLine="0"/>
        <w:rPr>
          <w:rFonts w:cs="Times New Roman"/>
          <w:sz w:val="18"/>
        </w:rPr>
      </w:pPr>
      <w:r w:rsidRPr="00051579">
        <w:rPr>
          <w:rFonts w:cs="Times New Roman"/>
          <w:sz w:val="18"/>
        </w:rPr>
        <w:t xml:space="preserve">(Yüzde Canlılık = [ABS ortalama (her bir örnek) / ABS ortalama (kontrol)] x 100)  </w:t>
      </w:r>
    </w:p>
    <w:p w:rsidR="002B3673" w:rsidRPr="00051579" w:rsidRDefault="002B3673" w:rsidP="00051579">
      <w:pPr>
        <w:ind w:firstLine="0"/>
        <w:rPr>
          <w:rFonts w:cs="Times New Roman"/>
          <w:sz w:val="18"/>
        </w:rPr>
      </w:pPr>
      <w:r w:rsidRPr="00051579">
        <w:rPr>
          <w:rFonts w:cs="Times New Roman"/>
          <w:sz w:val="18"/>
        </w:rPr>
        <w:t>Aynı sütunda farklı harfleri taşıyan ortalamalar arasındaki fark P&lt;0,05 düzeyinde istatiksel olarak önemlidir.</w:t>
      </w:r>
    </w:p>
    <w:p w:rsidR="007108FE" w:rsidRPr="00051579" w:rsidRDefault="007108FE" w:rsidP="00051579">
      <w:pPr>
        <w:ind w:firstLine="0"/>
        <w:rPr>
          <w:rFonts w:cs="Times New Roman"/>
          <w:sz w:val="18"/>
        </w:rPr>
      </w:pPr>
      <w:r w:rsidRPr="00051579">
        <w:rPr>
          <w:rFonts w:cs="Times New Roman"/>
          <w:sz w:val="18"/>
        </w:rPr>
        <w:t>(</w:t>
      </w:r>
      <w:r w:rsidRPr="00051579">
        <w:rPr>
          <w:rFonts w:cs="Times New Roman"/>
          <w:color w:val="000000"/>
          <w:sz w:val="18"/>
          <w:vertAlign w:val="superscript"/>
        </w:rPr>
        <w:t>*</w:t>
      </w:r>
      <w:r w:rsidRPr="00051579">
        <w:rPr>
          <w:rFonts w:cs="Times New Roman"/>
          <w:color w:val="000000"/>
          <w:sz w:val="18"/>
        </w:rPr>
        <w:t>Kontrole göre p&lt;0,001</w:t>
      </w:r>
      <w:r w:rsidRPr="00051579">
        <w:rPr>
          <w:rFonts w:cs="Times New Roman"/>
          <w:sz w:val="18"/>
        </w:rPr>
        <w:t xml:space="preserve"> düzeyinde anlamlı).</w:t>
      </w:r>
    </w:p>
    <w:p w:rsidR="007108FE" w:rsidRPr="00B059FF" w:rsidRDefault="007108FE" w:rsidP="0047435E">
      <w:pPr>
        <w:ind w:firstLine="0"/>
        <w:rPr>
          <w:rFonts w:cs="Times New Roman"/>
          <w:sz w:val="20"/>
        </w:rPr>
      </w:pPr>
    </w:p>
    <w:p w:rsidR="002B3673" w:rsidRDefault="002B3673" w:rsidP="003D1F37">
      <w:pPr>
        <w:pStyle w:val="AltKonuBal"/>
      </w:pPr>
      <w:r w:rsidRPr="004D1DDC">
        <w:rPr>
          <w:noProof/>
          <w:lang w:eastAsia="tr-TR"/>
        </w:rPr>
        <w:lastRenderedPageBreak/>
        <w:drawing>
          <wp:inline distT="0" distB="0" distL="0" distR="0">
            <wp:extent cx="4564800" cy="2733675"/>
            <wp:effectExtent l="0" t="0" r="0" b="0"/>
            <wp:docPr id="5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B3673" w:rsidRDefault="00D450D5" w:rsidP="002B3673">
      <w:pPr>
        <w:rPr>
          <w:rFonts w:cs="Times New Roman"/>
          <w:color w:val="000000"/>
          <w:szCs w:val="24"/>
        </w:rPr>
      </w:pPr>
      <w:r>
        <w:rPr>
          <w:rFonts w:cs="Times New Roman"/>
          <w:b/>
          <w:color w:val="000000"/>
          <w:szCs w:val="24"/>
        </w:rPr>
        <w:t>Şekil 23</w:t>
      </w:r>
      <w:r w:rsidR="002B3673" w:rsidRPr="005411A3">
        <w:rPr>
          <w:rFonts w:cs="Times New Roman"/>
          <w:b/>
          <w:color w:val="000000"/>
          <w:szCs w:val="24"/>
        </w:rPr>
        <w:t>.</w:t>
      </w:r>
      <w:r w:rsidR="002B3673" w:rsidRPr="00E20D52">
        <w:rPr>
          <w:rFonts w:cs="Times New Roman"/>
          <w:color w:val="000000"/>
          <w:szCs w:val="24"/>
        </w:rPr>
        <w:t xml:space="preserve"> MCF-7 kanser hücreleri</w:t>
      </w:r>
      <w:r w:rsidR="002B3673">
        <w:rPr>
          <w:rFonts w:cs="Times New Roman"/>
          <w:color w:val="000000"/>
          <w:szCs w:val="24"/>
        </w:rPr>
        <w:t xml:space="preserve">nin </w:t>
      </w:r>
      <w:r w:rsidR="002B3673" w:rsidRPr="00EF6984">
        <w:rPr>
          <w:rFonts w:cs="Times New Roman"/>
          <w:color w:val="000000"/>
          <w:szCs w:val="24"/>
        </w:rPr>
        <w:t>(5x10</w:t>
      </w:r>
      <w:r w:rsidR="002B3673" w:rsidRPr="00EF6984">
        <w:rPr>
          <w:rFonts w:cs="Times New Roman"/>
          <w:color w:val="000000"/>
          <w:szCs w:val="24"/>
          <w:vertAlign w:val="superscript"/>
        </w:rPr>
        <w:t>3</w:t>
      </w:r>
      <w:r w:rsidR="002B3673" w:rsidRPr="00EF6984">
        <w:rPr>
          <w:rFonts w:cs="Times New Roman"/>
          <w:color w:val="000000"/>
          <w:szCs w:val="24"/>
        </w:rPr>
        <w:t xml:space="preserve"> hücre/kuyu) </w:t>
      </w:r>
      <w:r w:rsidR="002B3673" w:rsidRPr="00E20D52">
        <w:rPr>
          <w:rFonts w:cs="Times New Roman"/>
          <w:color w:val="000000"/>
          <w:szCs w:val="24"/>
        </w:rPr>
        <w:t xml:space="preserve"> </w:t>
      </w:r>
      <w:r w:rsidR="002B3673">
        <w:rPr>
          <w:rFonts w:cs="Times New Roman"/>
          <w:color w:val="000000"/>
          <w:szCs w:val="24"/>
        </w:rPr>
        <w:t>hipoksi</w:t>
      </w:r>
      <w:r w:rsidR="002B3673" w:rsidRPr="00E20D52">
        <w:rPr>
          <w:rFonts w:cs="Times New Roman"/>
          <w:color w:val="000000"/>
          <w:szCs w:val="24"/>
        </w:rPr>
        <w:t xml:space="preserve"> altında glukozun farklı </w:t>
      </w:r>
      <w:proofErr w:type="gramStart"/>
      <w:r w:rsidR="002B3673" w:rsidRPr="00E20D52">
        <w:rPr>
          <w:rFonts w:cs="Times New Roman"/>
          <w:color w:val="000000"/>
          <w:szCs w:val="24"/>
        </w:rPr>
        <w:t>konsantrasyonlu</w:t>
      </w:r>
      <w:proofErr w:type="gramEnd"/>
      <w:r w:rsidR="002B3673" w:rsidRPr="00E20D52">
        <w:rPr>
          <w:rFonts w:cs="Times New Roman"/>
          <w:color w:val="000000"/>
          <w:szCs w:val="24"/>
        </w:rPr>
        <w:t xml:space="preserve"> uygulama gruplarında </w:t>
      </w:r>
      <w:r w:rsidR="002B3673">
        <w:rPr>
          <w:rFonts w:cs="Times New Roman"/>
          <w:color w:val="000000"/>
          <w:szCs w:val="24"/>
        </w:rPr>
        <w:t xml:space="preserve">3, </w:t>
      </w:r>
      <w:r w:rsidR="002B3673" w:rsidRPr="00E20D52">
        <w:rPr>
          <w:rFonts w:cs="Times New Roman"/>
          <w:color w:val="000000"/>
          <w:szCs w:val="24"/>
        </w:rPr>
        <w:t>6, 12</w:t>
      </w:r>
      <w:r w:rsidR="002B3673">
        <w:rPr>
          <w:rFonts w:cs="Times New Roman"/>
          <w:color w:val="000000"/>
          <w:szCs w:val="24"/>
        </w:rPr>
        <w:t>,</w:t>
      </w:r>
      <w:r w:rsidR="002B3673" w:rsidRPr="00E20D52">
        <w:rPr>
          <w:rFonts w:cs="Times New Roman"/>
          <w:color w:val="000000"/>
          <w:szCs w:val="24"/>
        </w:rPr>
        <w:t xml:space="preserve"> 24 ve </w:t>
      </w:r>
      <w:r w:rsidR="002B3673">
        <w:rPr>
          <w:rFonts w:cs="Times New Roman"/>
          <w:color w:val="000000"/>
          <w:szCs w:val="24"/>
        </w:rPr>
        <w:t xml:space="preserve">48 </w:t>
      </w:r>
      <w:r w:rsidR="002B3673" w:rsidRPr="00E20D52">
        <w:rPr>
          <w:rFonts w:cs="Times New Roman"/>
          <w:color w:val="000000"/>
          <w:szCs w:val="24"/>
        </w:rPr>
        <w:t>saat inkübasyonu sonucu elde edilen % canlılık oranları</w:t>
      </w:r>
      <w:r w:rsidR="002B3673">
        <w:rPr>
          <w:rFonts w:cs="Times New Roman"/>
          <w:color w:val="000000"/>
          <w:szCs w:val="24"/>
        </w:rPr>
        <w:t>.</w:t>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Pr>
          <w:rFonts w:cs="Times New Roman"/>
          <w:color w:val="000000"/>
          <w:szCs w:val="24"/>
        </w:rPr>
        <w:t>WST-1 analizi sonuc</w:t>
      </w:r>
      <w:r w:rsidR="00D450D5">
        <w:rPr>
          <w:rFonts w:cs="Times New Roman"/>
          <w:color w:val="000000"/>
          <w:szCs w:val="24"/>
        </w:rPr>
        <w:t>unda normoksik ortamda Tablo 6’da</w:t>
      </w:r>
      <w:r>
        <w:rPr>
          <w:rFonts w:cs="Times New Roman"/>
          <w:color w:val="000000"/>
          <w:szCs w:val="24"/>
        </w:rPr>
        <w:t xml:space="preserve"> de görüldüğü gibi 3, 6 ve 48 saatlik inkübasyon süresinde % canlılık değeri </w:t>
      </w:r>
      <w:proofErr w:type="gramStart"/>
      <w:r>
        <w:rPr>
          <w:rFonts w:cs="Times New Roman"/>
          <w:color w:val="000000"/>
          <w:szCs w:val="24"/>
        </w:rPr>
        <w:t>5.5</w:t>
      </w:r>
      <w:proofErr w:type="gramEnd"/>
      <w:r>
        <w:rPr>
          <w:rFonts w:cs="Times New Roman"/>
          <w:color w:val="000000"/>
          <w:szCs w:val="24"/>
        </w:rPr>
        <w:t xml:space="preserve"> mM glukoz konsantrasyonunda kontrol grubuna göre (0 mM) anlamlı bir artış göstermiş (</w:t>
      </w:r>
      <w:r w:rsidR="007108FE">
        <w:rPr>
          <w:rFonts w:cs="Times New Roman"/>
          <w:color w:val="000000"/>
          <w:szCs w:val="24"/>
        </w:rPr>
        <w:t>p&lt;0,05</w:t>
      </w:r>
      <w:r>
        <w:rPr>
          <w:rFonts w:cs="Times New Roman"/>
          <w:color w:val="000000"/>
          <w:szCs w:val="24"/>
        </w:rPr>
        <w:t xml:space="preserve">), 12. ve 24. saatlerdeki canlılık artışı ise anlamlı bulunamamıştır (p&gt;0.05). 15 mM glukoz </w:t>
      </w:r>
      <w:proofErr w:type="gramStart"/>
      <w:r>
        <w:rPr>
          <w:rFonts w:cs="Times New Roman"/>
          <w:color w:val="000000"/>
          <w:szCs w:val="24"/>
        </w:rPr>
        <w:t>konsantrasyonunda</w:t>
      </w:r>
      <w:proofErr w:type="gramEnd"/>
      <w:r>
        <w:rPr>
          <w:rFonts w:cs="Times New Roman"/>
          <w:color w:val="000000"/>
          <w:szCs w:val="24"/>
        </w:rPr>
        <w:t xml:space="preserve"> tüm inkübasyon süreleri için kontrole göre anlamlı bir artış söz konusudur (p&lt;0.001). 55</w:t>
      </w:r>
      <w:r w:rsidRPr="008132FE">
        <w:rPr>
          <w:rFonts w:cs="Times New Roman"/>
          <w:color w:val="000000"/>
          <w:szCs w:val="24"/>
        </w:rPr>
        <w:t xml:space="preserve"> </w:t>
      </w:r>
      <w:r>
        <w:rPr>
          <w:rFonts w:cs="Times New Roman"/>
          <w:color w:val="000000"/>
          <w:szCs w:val="24"/>
        </w:rPr>
        <w:t>mM konsantrasyonunda 3.saatte kontrole göre anlamlı bir fark belirlenmemiş olup (</w:t>
      </w:r>
      <w:r w:rsidRPr="008132FE">
        <w:rPr>
          <w:rFonts w:cs="Times New Roman"/>
          <w:color w:val="000000"/>
          <w:szCs w:val="24"/>
        </w:rPr>
        <w:t>p&gt;0.05</w:t>
      </w:r>
      <w:r>
        <w:rPr>
          <w:rFonts w:cs="Times New Roman"/>
          <w:color w:val="000000"/>
          <w:szCs w:val="24"/>
        </w:rPr>
        <w:t xml:space="preserve">), 6.saatte canlılık yüzdesi artmış, ancak </w:t>
      </w:r>
      <w:proofErr w:type="gramStart"/>
      <w:r>
        <w:rPr>
          <w:rFonts w:cs="Times New Roman"/>
          <w:color w:val="000000"/>
          <w:szCs w:val="24"/>
        </w:rPr>
        <w:t>5.5</w:t>
      </w:r>
      <w:proofErr w:type="gramEnd"/>
      <w:r>
        <w:rPr>
          <w:rFonts w:cs="Times New Roman"/>
          <w:color w:val="000000"/>
          <w:szCs w:val="24"/>
        </w:rPr>
        <w:t xml:space="preserve"> ve 15 mM’a kıyasla azalma gerçekleşmiştir (</w:t>
      </w:r>
      <w:r w:rsidR="007108FE">
        <w:rPr>
          <w:rFonts w:cs="Times New Roman"/>
          <w:color w:val="000000"/>
          <w:szCs w:val="24"/>
        </w:rPr>
        <w:t>p&lt;0,05</w:t>
      </w:r>
      <w:r>
        <w:rPr>
          <w:rFonts w:cs="Times New Roman"/>
          <w:color w:val="000000"/>
          <w:szCs w:val="24"/>
        </w:rPr>
        <w:t>). 12</w:t>
      </w:r>
      <w:proofErr w:type="gramStart"/>
      <w:r>
        <w:rPr>
          <w:rFonts w:cs="Times New Roman"/>
          <w:color w:val="000000"/>
          <w:szCs w:val="24"/>
        </w:rPr>
        <w:t>.,</w:t>
      </w:r>
      <w:proofErr w:type="gramEnd"/>
      <w:r>
        <w:rPr>
          <w:rFonts w:cs="Times New Roman"/>
          <w:color w:val="000000"/>
          <w:szCs w:val="24"/>
        </w:rPr>
        <w:t xml:space="preserve"> 24. ve 48. saatler de ise kontrole göre yüksek konsantrasyonlu (15 mM ve 55 mM) ortamlarda canlılığın önemli ölçüde arttığı belirlenmiştir (</w:t>
      </w:r>
      <w:r w:rsidRPr="008132FE">
        <w:rPr>
          <w:rFonts w:cs="Times New Roman"/>
          <w:color w:val="000000"/>
          <w:szCs w:val="24"/>
        </w:rPr>
        <w:t>p&lt;0,001</w:t>
      </w:r>
      <w:r>
        <w:rPr>
          <w:rFonts w:cs="Times New Roman"/>
          <w:color w:val="000000"/>
          <w:szCs w:val="24"/>
        </w:rPr>
        <w:t xml:space="preserve">). </w:t>
      </w:r>
    </w:p>
    <w:p w:rsidR="00461795" w:rsidRDefault="002B3673" w:rsidP="002B3673">
      <w:pPr>
        <w:rPr>
          <w:rFonts w:cs="Times New Roman"/>
          <w:color w:val="000000"/>
          <w:szCs w:val="24"/>
        </w:rPr>
      </w:pPr>
      <w:r>
        <w:rPr>
          <w:rFonts w:cs="Times New Roman"/>
          <w:color w:val="000000"/>
          <w:szCs w:val="24"/>
        </w:rPr>
        <w:tab/>
        <w:t xml:space="preserve">Hipoksik ortamda tüm inkübasyon </w:t>
      </w:r>
      <w:proofErr w:type="gramStart"/>
      <w:r>
        <w:rPr>
          <w:rFonts w:cs="Times New Roman"/>
          <w:color w:val="000000"/>
          <w:szCs w:val="24"/>
        </w:rPr>
        <w:t>sürelerinde  konsantrasyon</w:t>
      </w:r>
      <w:proofErr w:type="gramEnd"/>
      <w:r>
        <w:rPr>
          <w:rFonts w:cs="Times New Roman"/>
          <w:color w:val="000000"/>
          <w:szCs w:val="24"/>
        </w:rPr>
        <w:t xml:space="preserve"> değişimine bağlı olarak hücre canlılığında artış olmuştur. 5.5 mM glukoz </w:t>
      </w:r>
      <w:proofErr w:type="gramStart"/>
      <w:r>
        <w:rPr>
          <w:rFonts w:cs="Times New Roman"/>
          <w:color w:val="000000"/>
          <w:szCs w:val="24"/>
        </w:rPr>
        <w:t>konsantrasyonunda</w:t>
      </w:r>
      <w:proofErr w:type="gramEnd"/>
      <w:r>
        <w:rPr>
          <w:rFonts w:cs="Times New Roman"/>
          <w:color w:val="000000"/>
          <w:szCs w:val="24"/>
        </w:rPr>
        <w:t xml:space="preserve"> 3. ve 48. saatlerde istatiksel olarak anlamlı artışlar (%34 ve %41) şekillenmiştir (p&lt;0,05). 15 mM’da kontrole göre en yüksek canlılık yüzdesi artışı yine 3. ve 48. saatlerde görülürken (%50 ve %55), 6</w:t>
      </w:r>
      <w:proofErr w:type="gramStart"/>
      <w:r>
        <w:rPr>
          <w:rFonts w:cs="Times New Roman"/>
          <w:color w:val="000000"/>
          <w:szCs w:val="24"/>
        </w:rPr>
        <w:t>.,</w:t>
      </w:r>
      <w:proofErr w:type="gramEnd"/>
      <w:r>
        <w:rPr>
          <w:rFonts w:cs="Times New Roman"/>
          <w:color w:val="000000"/>
          <w:szCs w:val="24"/>
        </w:rPr>
        <w:t xml:space="preserve"> 12. ve 24. saatlerde canlılık yüzdelerinin aynı oranda arttığı belirlenmiştir. 15 mM ve 55 mM glukoz ortamlarında önceki </w:t>
      </w:r>
      <w:proofErr w:type="gramStart"/>
      <w:r>
        <w:rPr>
          <w:rFonts w:cs="Times New Roman"/>
          <w:color w:val="000000"/>
          <w:szCs w:val="24"/>
        </w:rPr>
        <w:t>konsantrasyonlara</w:t>
      </w:r>
      <w:proofErr w:type="gramEnd"/>
      <w:r>
        <w:rPr>
          <w:rFonts w:cs="Times New Roman"/>
          <w:color w:val="000000"/>
          <w:szCs w:val="24"/>
        </w:rPr>
        <w:t xml:space="preserve"> kıyasla tüm inkübasyon sürelerinde canlılık artışları kaydedilirken, normoksik ortama kıyasla hipokside 55 mM’da canlılık yüzdesi artışının daha yüksek olduğu görülmüştür. Özellikle 12</w:t>
      </w:r>
      <w:proofErr w:type="gramStart"/>
      <w:r>
        <w:rPr>
          <w:rFonts w:cs="Times New Roman"/>
          <w:color w:val="000000"/>
          <w:szCs w:val="24"/>
        </w:rPr>
        <w:t>.,</w:t>
      </w:r>
      <w:proofErr w:type="gramEnd"/>
      <w:r w:rsidR="000427C0">
        <w:rPr>
          <w:rFonts w:cs="Times New Roman"/>
          <w:color w:val="000000"/>
          <w:szCs w:val="24"/>
        </w:rPr>
        <w:t xml:space="preserve"> </w:t>
      </w:r>
      <w:r>
        <w:rPr>
          <w:rFonts w:cs="Times New Roman"/>
          <w:color w:val="000000"/>
          <w:szCs w:val="24"/>
        </w:rPr>
        <w:t>24. ve 48. saatlerde 55 mM konsantrasyonunda kontrole göre istatiksel olarak en yüksek düzeyde canlılık artışları (%126, %128 ve %91) kaydedilmiştir (</w:t>
      </w:r>
      <w:r w:rsidRPr="008132FE">
        <w:rPr>
          <w:rFonts w:cs="Times New Roman"/>
          <w:color w:val="000000"/>
          <w:szCs w:val="24"/>
        </w:rPr>
        <w:t>p&lt;0,001</w:t>
      </w:r>
      <w:r w:rsidR="00897312">
        <w:rPr>
          <w:rFonts w:cs="Times New Roman"/>
          <w:color w:val="000000"/>
          <w:szCs w:val="24"/>
        </w:rPr>
        <w:t>)</w:t>
      </w:r>
      <w:r w:rsidR="00D450D5">
        <w:rPr>
          <w:rFonts w:cs="Times New Roman"/>
          <w:color w:val="000000"/>
          <w:szCs w:val="24"/>
        </w:rPr>
        <w:t xml:space="preserve"> (Tablo 7</w:t>
      </w:r>
      <w:r>
        <w:rPr>
          <w:rFonts w:cs="Times New Roman"/>
          <w:color w:val="000000"/>
          <w:szCs w:val="24"/>
        </w:rPr>
        <w:t>).</w:t>
      </w:r>
    </w:p>
    <w:p w:rsidR="002B3673" w:rsidRDefault="00D450D5" w:rsidP="00461795">
      <w:pPr>
        <w:ind w:firstLine="0"/>
        <w:rPr>
          <w:rFonts w:cs="Times New Roman"/>
          <w:color w:val="000000"/>
          <w:szCs w:val="24"/>
        </w:rPr>
      </w:pPr>
      <w:r>
        <w:rPr>
          <w:rFonts w:cs="Times New Roman"/>
          <w:b/>
          <w:color w:val="000000"/>
          <w:szCs w:val="24"/>
        </w:rPr>
        <w:lastRenderedPageBreak/>
        <w:t>Tablo 6</w:t>
      </w:r>
      <w:r w:rsidR="002B3673" w:rsidRPr="005411A3">
        <w:rPr>
          <w:rFonts w:cs="Times New Roman"/>
          <w:b/>
          <w:color w:val="000000"/>
          <w:szCs w:val="24"/>
        </w:rPr>
        <w:t>.</w:t>
      </w:r>
      <w:r w:rsidR="002B3673">
        <w:rPr>
          <w:rFonts w:cs="Times New Roman"/>
          <w:color w:val="000000"/>
          <w:szCs w:val="24"/>
        </w:rPr>
        <w:t xml:space="preserve"> Normoksik ortamda farklı inkübasyon sürelerindeki (3,6 ve 12, 24 ve 48.saat) glukoz uygulamasının O </w:t>
      </w:r>
      <w:proofErr w:type="gramStart"/>
      <w:r w:rsidR="002B3673">
        <w:rPr>
          <w:rFonts w:cs="Times New Roman"/>
          <w:color w:val="000000"/>
          <w:szCs w:val="24"/>
        </w:rPr>
        <w:t>mM  kontrol</w:t>
      </w:r>
      <w:proofErr w:type="gramEnd"/>
      <w:r w:rsidR="002B3673">
        <w:rPr>
          <w:rFonts w:cs="Times New Roman"/>
          <w:color w:val="000000"/>
          <w:szCs w:val="24"/>
        </w:rPr>
        <w:t xml:space="preserve"> grubuna göre </w:t>
      </w:r>
      <w:r w:rsidR="002B3673" w:rsidRPr="00E20D52">
        <w:rPr>
          <w:rFonts w:cs="Times New Roman"/>
          <w:color w:val="000000"/>
          <w:szCs w:val="24"/>
        </w:rPr>
        <w:t>% canlılık oranları</w:t>
      </w:r>
      <w:r w:rsidR="002B3673">
        <w:rPr>
          <w:rFonts w:cs="Times New Roman"/>
          <w:color w:val="000000"/>
          <w:szCs w:val="24"/>
        </w:rPr>
        <w:t xml:space="preserve"> ve istatiksel değerleri.</w:t>
      </w:r>
    </w:p>
    <w:tbl>
      <w:tblPr>
        <w:tblStyle w:val="TabloKlavuzu1"/>
        <w:tblW w:w="83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1362"/>
        <w:gridCol w:w="1273"/>
        <w:gridCol w:w="1211"/>
        <w:gridCol w:w="1211"/>
        <w:gridCol w:w="1211"/>
      </w:tblGrid>
      <w:tr w:rsidR="00994ED2" w:rsidRPr="00994ED2" w:rsidTr="00087A63">
        <w:trPr>
          <w:trHeight w:val="113"/>
        </w:trPr>
        <w:tc>
          <w:tcPr>
            <w:tcW w:w="2048" w:type="dxa"/>
            <w:tcBorders>
              <w:bottom w:val="single" w:sz="4" w:space="0" w:color="auto"/>
            </w:tcBorders>
          </w:tcPr>
          <w:p w:rsidR="00994ED2" w:rsidRPr="00FC6A07" w:rsidRDefault="00994ED2" w:rsidP="00051579">
            <w:pPr>
              <w:spacing w:line="500" w:lineRule="atLeast"/>
              <w:ind w:firstLine="0"/>
              <w:jc w:val="center"/>
              <w:rPr>
                <w:b/>
                <w:sz w:val="18"/>
                <w:szCs w:val="18"/>
              </w:rPr>
            </w:pPr>
            <w:r w:rsidRPr="00FC6A07">
              <w:rPr>
                <w:b/>
                <w:sz w:val="18"/>
                <w:szCs w:val="18"/>
              </w:rPr>
              <w:t>Normoksi</w:t>
            </w:r>
          </w:p>
          <w:p w:rsidR="00994ED2" w:rsidRDefault="00994ED2" w:rsidP="00051579">
            <w:pPr>
              <w:spacing w:line="500" w:lineRule="atLeast"/>
              <w:ind w:firstLine="0"/>
              <w:jc w:val="center"/>
              <w:rPr>
                <w:b/>
                <w:sz w:val="18"/>
                <w:szCs w:val="18"/>
              </w:rPr>
            </w:pPr>
            <w:r w:rsidRPr="00FC6A07">
              <w:rPr>
                <w:b/>
                <w:sz w:val="18"/>
                <w:szCs w:val="18"/>
              </w:rPr>
              <w:t>Konsantrasyonu</w:t>
            </w:r>
          </w:p>
          <w:p w:rsidR="00B7592D" w:rsidRPr="00FC6A07" w:rsidRDefault="00B7592D" w:rsidP="00051579">
            <w:pPr>
              <w:spacing w:line="500" w:lineRule="atLeast"/>
              <w:ind w:firstLine="0"/>
              <w:jc w:val="center"/>
              <w:rPr>
                <w:sz w:val="18"/>
                <w:szCs w:val="18"/>
              </w:rPr>
            </w:pPr>
            <w:r w:rsidRPr="00087A63">
              <w:rPr>
                <w:b/>
                <w:sz w:val="18"/>
              </w:rPr>
              <w:t>(mM)</w:t>
            </w:r>
          </w:p>
        </w:tc>
        <w:tc>
          <w:tcPr>
            <w:tcW w:w="1362" w:type="dxa"/>
            <w:tcBorders>
              <w:bottom w:val="single" w:sz="4" w:space="0" w:color="auto"/>
            </w:tcBorders>
          </w:tcPr>
          <w:p w:rsidR="00994ED2" w:rsidRPr="00FC6A07" w:rsidRDefault="00994ED2" w:rsidP="00051579">
            <w:pPr>
              <w:spacing w:line="500" w:lineRule="atLeast"/>
              <w:ind w:firstLine="0"/>
              <w:jc w:val="center"/>
              <w:rPr>
                <w:b/>
                <w:sz w:val="18"/>
                <w:szCs w:val="18"/>
              </w:rPr>
            </w:pPr>
          </w:p>
          <w:p w:rsidR="00994ED2" w:rsidRPr="00FC6A07" w:rsidRDefault="00994ED2" w:rsidP="00051579">
            <w:pPr>
              <w:spacing w:line="500" w:lineRule="atLeast"/>
              <w:ind w:firstLine="0"/>
              <w:jc w:val="center"/>
              <w:rPr>
                <w:b/>
                <w:sz w:val="18"/>
                <w:szCs w:val="18"/>
              </w:rPr>
            </w:pPr>
            <w:r w:rsidRPr="00FC6A07">
              <w:rPr>
                <w:b/>
                <w:sz w:val="18"/>
                <w:szCs w:val="18"/>
              </w:rPr>
              <w:t>3.saat</w:t>
            </w:r>
          </w:p>
          <w:p w:rsidR="00994ED2" w:rsidRPr="00FC6A07" w:rsidRDefault="00994ED2" w:rsidP="00051579">
            <w:pPr>
              <w:spacing w:line="500" w:lineRule="atLeast"/>
              <w:ind w:firstLine="0"/>
              <w:jc w:val="center"/>
              <w:rPr>
                <w:b/>
                <w:sz w:val="18"/>
                <w:szCs w:val="18"/>
              </w:rPr>
            </w:pPr>
            <w:r w:rsidRPr="00FC6A07">
              <w:rPr>
                <w:b/>
                <w:sz w:val="18"/>
                <w:szCs w:val="18"/>
              </w:rPr>
              <w:t>%canlılık</w:t>
            </w:r>
          </w:p>
        </w:tc>
        <w:tc>
          <w:tcPr>
            <w:tcW w:w="1273" w:type="dxa"/>
            <w:tcBorders>
              <w:bottom w:val="single" w:sz="4" w:space="0" w:color="auto"/>
            </w:tcBorders>
          </w:tcPr>
          <w:p w:rsidR="00994ED2" w:rsidRPr="00FC6A07" w:rsidRDefault="00994ED2" w:rsidP="00051579">
            <w:pPr>
              <w:spacing w:line="500" w:lineRule="atLeast"/>
              <w:ind w:firstLine="0"/>
              <w:jc w:val="center"/>
              <w:rPr>
                <w:b/>
                <w:sz w:val="18"/>
                <w:szCs w:val="18"/>
              </w:rPr>
            </w:pPr>
          </w:p>
          <w:p w:rsidR="00994ED2" w:rsidRPr="00FC6A07" w:rsidRDefault="00994ED2" w:rsidP="00051579">
            <w:pPr>
              <w:spacing w:line="500" w:lineRule="atLeast"/>
              <w:ind w:firstLine="0"/>
              <w:jc w:val="center"/>
              <w:rPr>
                <w:b/>
                <w:sz w:val="18"/>
                <w:szCs w:val="18"/>
              </w:rPr>
            </w:pPr>
            <w:r w:rsidRPr="00FC6A07">
              <w:rPr>
                <w:b/>
                <w:sz w:val="18"/>
                <w:szCs w:val="18"/>
              </w:rPr>
              <w:t>6.saat</w:t>
            </w:r>
          </w:p>
          <w:p w:rsidR="00994ED2" w:rsidRPr="00FC6A07" w:rsidRDefault="00994ED2" w:rsidP="00051579">
            <w:pPr>
              <w:spacing w:line="500" w:lineRule="atLeast"/>
              <w:ind w:firstLine="0"/>
              <w:jc w:val="center"/>
              <w:rPr>
                <w:b/>
                <w:sz w:val="18"/>
                <w:szCs w:val="18"/>
              </w:rPr>
            </w:pPr>
            <w:r w:rsidRPr="00FC6A07">
              <w:rPr>
                <w:b/>
                <w:sz w:val="18"/>
                <w:szCs w:val="18"/>
              </w:rPr>
              <w:t>%canlılık</w:t>
            </w:r>
          </w:p>
        </w:tc>
        <w:tc>
          <w:tcPr>
            <w:tcW w:w="1211" w:type="dxa"/>
            <w:tcBorders>
              <w:bottom w:val="single" w:sz="4" w:space="0" w:color="auto"/>
            </w:tcBorders>
          </w:tcPr>
          <w:p w:rsidR="00994ED2" w:rsidRPr="00FC6A07" w:rsidRDefault="00994ED2" w:rsidP="00051579">
            <w:pPr>
              <w:spacing w:line="500" w:lineRule="atLeast"/>
              <w:ind w:firstLine="0"/>
              <w:jc w:val="center"/>
              <w:rPr>
                <w:b/>
                <w:sz w:val="18"/>
                <w:szCs w:val="18"/>
              </w:rPr>
            </w:pPr>
          </w:p>
          <w:p w:rsidR="00994ED2" w:rsidRPr="00FC6A07" w:rsidRDefault="00994ED2" w:rsidP="00051579">
            <w:pPr>
              <w:spacing w:line="500" w:lineRule="atLeast"/>
              <w:ind w:firstLine="0"/>
              <w:jc w:val="center"/>
              <w:rPr>
                <w:b/>
                <w:sz w:val="18"/>
                <w:szCs w:val="18"/>
              </w:rPr>
            </w:pPr>
            <w:r w:rsidRPr="00FC6A07">
              <w:rPr>
                <w:b/>
                <w:sz w:val="18"/>
                <w:szCs w:val="18"/>
              </w:rPr>
              <w:t>12.saat</w:t>
            </w:r>
          </w:p>
          <w:p w:rsidR="00994ED2" w:rsidRPr="00FC6A07" w:rsidRDefault="00994ED2" w:rsidP="00051579">
            <w:pPr>
              <w:spacing w:line="500" w:lineRule="atLeast"/>
              <w:ind w:firstLine="0"/>
              <w:jc w:val="center"/>
              <w:rPr>
                <w:b/>
                <w:sz w:val="18"/>
                <w:szCs w:val="18"/>
              </w:rPr>
            </w:pPr>
            <w:r w:rsidRPr="00FC6A07">
              <w:rPr>
                <w:b/>
                <w:sz w:val="18"/>
                <w:szCs w:val="18"/>
              </w:rPr>
              <w:t>%canlılık</w:t>
            </w:r>
          </w:p>
        </w:tc>
        <w:tc>
          <w:tcPr>
            <w:tcW w:w="1211" w:type="dxa"/>
            <w:tcBorders>
              <w:bottom w:val="single" w:sz="4" w:space="0" w:color="auto"/>
            </w:tcBorders>
          </w:tcPr>
          <w:p w:rsidR="00994ED2" w:rsidRPr="00FC6A07" w:rsidRDefault="00994ED2" w:rsidP="00051579">
            <w:pPr>
              <w:spacing w:line="500" w:lineRule="atLeast"/>
              <w:ind w:firstLine="0"/>
              <w:jc w:val="center"/>
              <w:rPr>
                <w:b/>
                <w:sz w:val="18"/>
                <w:szCs w:val="18"/>
              </w:rPr>
            </w:pPr>
          </w:p>
          <w:p w:rsidR="00994ED2" w:rsidRPr="00FC6A07" w:rsidRDefault="00994ED2" w:rsidP="00051579">
            <w:pPr>
              <w:spacing w:line="500" w:lineRule="atLeast"/>
              <w:ind w:firstLine="0"/>
              <w:jc w:val="center"/>
              <w:rPr>
                <w:b/>
                <w:sz w:val="18"/>
                <w:szCs w:val="18"/>
              </w:rPr>
            </w:pPr>
            <w:r w:rsidRPr="00FC6A07">
              <w:rPr>
                <w:b/>
                <w:sz w:val="18"/>
                <w:szCs w:val="18"/>
              </w:rPr>
              <w:t>24.saat</w:t>
            </w:r>
          </w:p>
          <w:p w:rsidR="00994ED2" w:rsidRPr="00FC6A07" w:rsidRDefault="00994ED2" w:rsidP="00051579">
            <w:pPr>
              <w:spacing w:line="500" w:lineRule="atLeast"/>
              <w:ind w:firstLine="0"/>
              <w:jc w:val="center"/>
              <w:rPr>
                <w:b/>
                <w:sz w:val="18"/>
                <w:szCs w:val="18"/>
              </w:rPr>
            </w:pPr>
            <w:r w:rsidRPr="00FC6A07">
              <w:rPr>
                <w:b/>
                <w:sz w:val="18"/>
                <w:szCs w:val="18"/>
              </w:rPr>
              <w:t>%canlılık</w:t>
            </w:r>
          </w:p>
        </w:tc>
        <w:tc>
          <w:tcPr>
            <w:tcW w:w="1211" w:type="dxa"/>
            <w:tcBorders>
              <w:bottom w:val="single" w:sz="4" w:space="0" w:color="auto"/>
            </w:tcBorders>
          </w:tcPr>
          <w:p w:rsidR="00994ED2" w:rsidRPr="00FC6A07" w:rsidRDefault="00994ED2" w:rsidP="00051579">
            <w:pPr>
              <w:spacing w:line="500" w:lineRule="atLeast"/>
              <w:ind w:firstLine="0"/>
              <w:jc w:val="center"/>
              <w:rPr>
                <w:b/>
                <w:sz w:val="18"/>
                <w:szCs w:val="18"/>
              </w:rPr>
            </w:pPr>
          </w:p>
          <w:p w:rsidR="00994ED2" w:rsidRPr="00FC6A07" w:rsidRDefault="00994ED2" w:rsidP="00051579">
            <w:pPr>
              <w:spacing w:line="500" w:lineRule="atLeast"/>
              <w:ind w:firstLine="0"/>
              <w:jc w:val="center"/>
              <w:rPr>
                <w:b/>
                <w:sz w:val="18"/>
                <w:szCs w:val="18"/>
              </w:rPr>
            </w:pPr>
            <w:r w:rsidRPr="00FC6A07">
              <w:rPr>
                <w:b/>
                <w:sz w:val="18"/>
                <w:szCs w:val="18"/>
              </w:rPr>
              <w:t>48.saat</w:t>
            </w:r>
          </w:p>
          <w:p w:rsidR="00994ED2" w:rsidRPr="00FC6A07" w:rsidRDefault="00994ED2" w:rsidP="00051579">
            <w:pPr>
              <w:spacing w:line="500" w:lineRule="atLeast"/>
              <w:ind w:firstLine="0"/>
              <w:jc w:val="center"/>
              <w:rPr>
                <w:b/>
                <w:color w:val="000000"/>
                <w:sz w:val="18"/>
                <w:szCs w:val="18"/>
              </w:rPr>
            </w:pPr>
            <w:r w:rsidRPr="00FC6A07">
              <w:rPr>
                <w:b/>
                <w:sz w:val="18"/>
                <w:szCs w:val="18"/>
              </w:rPr>
              <w:t>%canlılık</w:t>
            </w:r>
          </w:p>
        </w:tc>
      </w:tr>
      <w:tr w:rsidR="00994ED2" w:rsidRPr="00994ED2" w:rsidTr="00087A63">
        <w:trPr>
          <w:trHeight w:val="113"/>
        </w:trPr>
        <w:tc>
          <w:tcPr>
            <w:tcW w:w="2048" w:type="dxa"/>
            <w:tcBorders>
              <w:top w:val="single" w:sz="4" w:space="0" w:color="auto"/>
            </w:tcBorders>
            <w:hideMark/>
          </w:tcPr>
          <w:p w:rsidR="00994ED2" w:rsidRPr="00B7592D" w:rsidRDefault="00994ED2" w:rsidP="00051579">
            <w:pPr>
              <w:spacing w:line="500" w:lineRule="atLeast"/>
              <w:ind w:firstLine="0"/>
              <w:jc w:val="center"/>
              <w:rPr>
                <w:sz w:val="16"/>
                <w:szCs w:val="16"/>
              </w:rPr>
            </w:pPr>
            <w:r w:rsidRPr="00B7592D">
              <w:rPr>
                <w:sz w:val="16"/>
                <w:szCs w:val="16"/>
              </w:rPr>
              <w:t>Kontrol</w:t>
            </w:r>
          </w:p>
        </w:tc>
        <w:tc>
          <w:tcPr>
            <w:tcW w:w="1362" w:type="dxa"/>
            <w:tcBorders>
              <w:top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100±0,306</w:t>
            </w:r>
            <w:r w:rsidRPr="00B7592D">
              <w:rPr>
                <w:color w:val="000000"/>
                <w:sz w:val="16"/>
                <w:szCs w:val="16"/>
                <w:vertAlign w:val="superscript"/>
              </w:rPr>
              <w:t>a</w:t>
            </w:r>
          </w:p>
        </w:tc>
        <w:tc>
          <w:tcPr>
            <w:tcW w:w="1273" w:type="dxa"/>
            <w:tcBorders>
              <w:top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100±5,10</w:t>
            </w:r>
            <w:r w:rsidRPr="00B7592D">
              <w:rPr>
                <w:color w:val="000000"/>
                <w:sz w:val="16"/>
                <w:szCs w:val="16"/>
                <w:vertAlign w:val="superscript"/>
              </w:rPr>
              <w:t xml:space="preserve"> a</w:t>
            </w:r>
          </w:p>
        </w:tc>
        <w:tc>
          <w:tcPr>
            <w:tcW w:w="1211" w:type="dxa"/>
            <w:tcBorders>
              <w:top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100±2,1</w:t>
            </w:r>
            <w:r w:rsidRPr="00B7592D">
              <w:rPr>
                <w:color w:val="000000"/>
                <w:sz w:val="16"/>
                <w:szCs w:val="16"/>
                <w:vertAlign w:val="superscript"/>
              </w:rPr>
              <w:t xml:space="preserve"> a</w:t>
            </w:r>
          </w:p>
        </w:tc>
        <w:tc>
          <w:tcPr>
            <w:tcW w:w="1211" w:type="dxa"/>
            <w:tcBorders>
              <w:top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100±5,75</w:t>
            </w:r>
            <w:r w:rsidRPr="00B7592D">
              <w:rPr>
                <w:color w:val="000000"/>
                <w:sz w:val="16"/>
                <w:szCs w:val="16"/>
                <w:vertAlign w:val="superscript"/>
              </w:rPr>
              <w:t xml:space="preserve"> a</w:t>
            </w:r>
          </w:p>
        </w:tc>
        <w:tc>
          <w:tcPr>
            <w:tcW w:w="1211" w:type="dxa"/>
            <w:tcBorders>
              <w:top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100±1,36</w:t>
            </w:r>
            <w:r w:rsidRPr="00B7592D">
              <w:rPr>
                <w:color w:val="000000"/>
                <w:sz w:val="16"/>
                <w:szCs w:val="16"/>
                <w:vertAlign w:val="superscript"/>
              </w:rPr>
              <w:t xml:space="preserve"> a</w:t>
            </w:r>
          </w:p>
        </w:tc>
      </w:tr>
      <w:tr w:rsidR="00994ED2" w:rsidRPr="00994ED2" w:rsidTr="00087A63">
        <w:trPr>
          <w:trHeight w:val="113"/>
        </w:trPr>
        <w:tc>
          <w:tcPr>
            <w:tcW w:w="2048" w:type="dxa"/>
            <w:hideMark/>
          </w:tcPr>
          <w:p w:rsidR="00994ED2" w:rsidRPr="00B7592D" w:rsidRDefault="00994ED2" w:rsidP="00051579">
            <w:pPr>
              <w:spacing w:line="500" w:lineRule="atLeast"/>
              <w:ind w:firstLine="0"/>
              <w:jc w:val="center"/>
              <w:rPr>
                <w:sz w:val="16"/>
                <w:szCs w:val="16"/>
              </w:rPr>
            </w:pPr>
            <w:r w:rsidRPr="00B7592D">
              <w:rPr>
                <w:sz w:val="16"/>
                <w:szCs w:val="16"/>
              </w:rPr>
              <w:t>5,5 mM</w:t>
            </w:r>
          </w:p>
        </w:tc>
        <w:tc>
          <w:tcPr>
            <w:tcW w:w="1362"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148,93±11,37</w:t>
            </w:r>
            <w:r w:rsidRPr="00B7592D">
              <w:rPr>
                <w:color w:val="000000"/>
                <w:sz w:val="16"/>
                <w:szCs w:val="16"/>
                <w:vertAlign w:val="superscript"/>
              </w:rPr>
              <w:t>bc</w:t>
            </w:r>
          </w:p>
        </w:tc>
        <w:tc>
          <w:tcPr>
            <w:tcW w:w="1273"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141,12±4,64</w:t>
            </w:r>
            <w:r w:rsidRPr="00B7592D">
              <w:rPr>
                <w:color w:val="000000"/>
                <w:sz w:val="16"/>
                <w:szCs w:val="16"/>
                <w:vertAlign w:val="superscript"/>
              </w:rPr>
              <w:t>bc</w:t>
            </w:r>
          </w:p>
        </w:tc>
        <w:tc>
          <w:tcPr>
            <w:tcW w:w="1211"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105,03±7,07</w:t>
            </w:r>
            <w:r w:rsidRPr="00B7592D">
              <w:rPr>
                <w:color w:val="000000"/>
                <w:sz w:val="16"/>
                <w:szCs w:val="16"/>
                <w:vertAlign w:val="superscript"/>
              </w:rPr>
              <w:t>a</w:t>
            </w:r>
          </w:p>
        </w:tc>
        <w:tc>
          <w:tcPr>
            <w:tcW w:w="1211"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107,81±6,23</w:t>
            </w:r>
            <w:r w:rsidRPr="00B7592D">
              <w:rPr>
                <w:color w:val="000000"/>
                <w:sz w:val="16"/>
                <w:szCs w:val="16"/>
                <w:vertAlign w:val="superscript"/>
              </w:rPr>
              <w:t xml:space="preserve"> a</w:t>
            </w:r>
          </w:p>
        </w:tc>
        <w:tc>
          <w:tcPr>
            <w:tcW w:w="1211"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146,31±5,96</w:t>
            </w:r>
            <w:r w:rsidRPr="00B7592D">
              <w:rPr>
                <w:color w:val="000000"/>
                <w:sz w:val="16"/>
                <w:szCs w:val="16"/>
                <w:vertAlign w:val="superscript"/>
              </w:rPr>
              <w:t xml:space="preserve"> b</w:t>
            </w:r>
            <w:r w:rsidR="007108FE" w:rsidRPr="00B7592D">
              <w:rPr>
                <w:color w:val="000000"/>
                <w:sz w:val="16"/>
                <w:szCs w:val="16"/>
                <w:vertAlign w:val="superscript"/>
              </w:rPr>
              <w:t>*</w:t>
            </w:r>
          </w:p>
        </w:tc>
      </w:tr>
      <w:tr w:rsidR="00994ED2" w:rsidRPr="00994ED2" w:rsidTr="009B055A">
        <w:trPr>
          <w:trHeight w:val="113"/>
        </w:trPr>
        <w:tc>
          <w:tcPr>
            <w:tcW w:w="2048" w:type="dxa"/>
            <w:hideMark/>
          </w:tcPr>
          <w:p w:rsidR="00994ED2" w:rsidRPr="00B7592D" w:rsidRDefault="00994ED2" w:rsidP="00051579">
            <w:pPr>
              <w:spacing w:line="500" w:lineRule="atLeast"/>
              <w:ind w:firstLine="0"/>
              <w:jc w:val="center"/>
              <w:rPr>
                <w:sz w:val="16"/>
                <w:szCs w:val="16"/>
              </w:rPr>
            </w:pPr>
            <w:r w:rsidRPr="00B7592D">
              <w:rPr>
                <w:sz w:val="16"/>
                <w:szCs w:val="16"/>
              </w:rPr>
              <w:t>15 mM</w:t>
            </w:r>
          </w:p>
        </w:tc>
        <w:tc>
          <w:tcPr>
            <w:tcW w:w="1362"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169,26±6,72</w:t>
            </w:r>
            <w:r w:rsidRPr="00B7592D">
              <w:rPr>
                <w:color w:val="000000"/>
                <w:sz w:val="16"/>
                <w:szCs w:val="16"/>
                <w:vertAlign w:val="superscript"/>
              </w:rPr>
              <w:t xml:space="preserve"> c</w:t>
            </w:r>
            <w:r w:rsidR="007108FE" w:rsidRPr="00B7592D">
              <w:rPr>
                <w:color w:val="000000"/>
                <w:sz w:val="16"/>
                <w:szCs w:val="16"/>
                <w:vertAlign w:val="superscript"/>
              </w:rPr>
              <w:t>*</w:t>
            </w:r>
          </w:p>
        </w:tc>
        <w:tc>
          <w:tcPr>
            <w:tcW w:w="1273"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164,31±7,36</w:t>
            </w:r>
            <w:r w:rsidRPr="00B7592D">
              <w:rPr>
                <w:color w:val="000000"/>
                <w:sz w:val="16"/>
                <w:szCs w:val="16"/>
                <w:vertAlign w:val="superscript"/>
              </w:rPr>
              <w:t xml:space="preserve"> c</w:t>
            </w:r>
            <w:r w:rsidR="007108FE" w:rsidRPr="00B7592D">
              <w:rPr>
                <w:color w:val="000000"/>
                <w:sz w:val="16"/>
                <w:szCs w:val="16"/>
                <w:vertAlign w:val="superscript"/>
              </w:rPr>
              <w:t>*</w:t>
            </w:r>
          </w:p>
        </w:tc>
        <w:tc>
          <w:tcPr>
            <w:tcW w:w="1211"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153,22±6,77</w:t>
            </w:r>
            <w:r w:rsidRPr="00B7592D">
              <w:rPr>
                <w:color w:val="000000"/>
                <w:sz w:val="16"/>
                <w:szCs w:val="16"/>
                <w:vertAlign w:val="superscript"/>
              </w:rPr>
              <w:t>b</w:t>
            </w:r>
            <w:r w:rsidR="007108FE" w:rsidRPr="00B7592D">
              <w:rPr>
                <w:color w:val="000000"/>
                <w:sz w:val="16"/>
                <w:szCs w:val="16"/>
                <w:vertAlign w:val="superscript"/>
              </w:rPr>
              <w:t>*</w:t>
            </w:r>
          </w:p>
        </w:tc>
        <w:tc>
          <w:tcPr>
            <w:tcW w:w="1211"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154,44±2,25</w:t>
            </w:r>
            <w:r w:rsidRPr="00B7592D">
              <w:rPr>
                <w:color w:val="000000"/>
                <w:sz w:val="16"/>
                <w:szCs w:val="16"/>
                <w:vertAlign w:val="superscript"/>
              </w:rPr>
              <w:t xml:space="preserve"> b</w:t>
            </w:r>
            <w:r w:rsidR="005402F1" w:rsidRPr="00B7592D">
              <w:rPr>
                <w:color w:val="000000"/>
                <w:sz w:val="16"/>
                <w:szCs w:val="16"/>
                <w:vertAlign w:val="superscript"/>
              </w:rPr>
              <w:t>*</w:t>
            </w:r>
          </w:p>
        </w:tc>
        <w:tc>
          <w:tcPr>
            <w:tcW w:w="1211" w:type="dxa"/>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157,23±3,97</w:t>
            </w:r>
            <w:r w:rsidRPr="00B7592D">
              <w:rPr>
                <w:color w:val="000000"/>
                <w:sz w:val="16"/>
                <w:szCs w:val="16"/>
                <w:vertAlign w:val="superscript"/>
              </w:rPr>
              <w:t xml:space="preserve"> b</w:t>
            </w:r>
            <w:r w:rsidR="007108FE" w:rsidRPr="00B7592D">
              <w:rPr>
                <w:color w:val="000000"/>
                <w:sz w:val="16"/>
                <w:szCs w:val="16"/>
                <w:vertAlign w:val="superscript"/>
              </w:rPr>
              <w:t>*</w:t>
            </w:r>
          </w:p>
        </w:tc>
      </w:tr>
      <w:tr w:rsidR="00994ED2" w:rsidRPr="00994ED2" w:rsidTr="009B055A">
        <w:trPr>
          <w:trHeight w:val="113"/>
        </w:trPr>
        <w:tc>
          <w:tcPr>
            <w:tcW w:w="2048" w:type="dxa"/>
            <w:tcBorders>
              <w:bottom w:val="single" w:sz="4" w:space="0" w:color="auto"/>
            </w:tcBorders>
            <w:hideMark/>
          </w:tcPr>
          <w:p w:rsidR="00994ED2" w:rsidRPr="00B7592D" w:rsidRDefault="00994ED2" w:rsidP="00051579">
            <w:pPr>
              <w:spacing w:line="500" w:lineRule="atLeast"/>
              <w:ind w:firstLine="0"/>
              <w:jc w:val="center"/>
              <w:rPr>
                <w:sz w:val="16"/>
                <w:szCs w:val="16"/>
              </w:rPr>
            </w:pPr>
            <w:r w:rsidRPr="00B7592D">
              <w:rPr>
                <w:sz w:val="16"/>
                <w:szCs w:val="16"/>
              </w:rPr>
              <w:t>55 mM</w:t>
            </w:r>
          </w:p>
        </w:tc>
        <w:tc>
          <w:tcPr>
            <w:tcW w:w="1362" w:type="dxa"/>
            <w:tcBorders>
              <w:bottom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126,31±6,23</w:t>
            </w:r>
            <w:r w:rsidRPr="00B7592D">
              <w:rPr>
                <w:color w:val="000000"/>
                <w:sz w:val="16"/>
                <w:szCs w:val="16"/>
                <w:vertAlign w:val="superscript"/>
              </w:rPr>
              <w:t xml:space="preserve"> ab</w:t>
            </w:r>
          </w:p>
        </w:tc>
        <w:tc>
          <w:tcPr>
            <w:tcW w:w="1273" w:type="dxa"/>
            <w:tcBorders>
              <w:bottom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134,54±6,52</w:t>
            </w:r>
            <w:r w:rsidRPr="00B7592D">
              <w:rPr>
                <w:color w:val="000000"/>
                <w:sz w:val="16"/>
                <w:szCs w:val="16"/>
                <w:vertAlign w:val="superscript"/>
              </w:rPr>
              <w:t xml:space="preserve"> b</w:t>
            </w:r>
          </w:p>
        </w:tc>
        <w:tc>
          <w:tcPr>
            <w:tcW w:w="1211" w:type="dxa"/>
            <w:tcBorders>
              <w:bottom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160,28±8,28</w:t>
            </w:r>
            <w:r w:rsidRPr="00B7592D">
              <w:rPr>
                <w:color w:val="000000"/>
                <w:sz w:val="16"/>
                <w:szCs w:val="16"/>
                <w:vertAlign w:val="superscript"/>
              </w:rPr>
              <w:t>b</w:t>
            </w:r>
            <w:r w:rsidR="007108FE" w:rsidRPr="00B7592D">
              <w:rPr>
                <w:color w:val="000000"/>
                <w:sz w:val="16"/>
                <w:szCs w:val="16"/>
                <w:vertAlign w:val="superscript"/>
              </w:rPr>
              <w:t>*</w:t>
            </w:r>
          </w:p>
        </w:tc>
        <w:tc>
          <w:tcPr>
            <w:tcW w:w="1211" w:type="dxa"/>
            <w:tcBorders>
              <w:bottom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177,96±15,8</w:t>
            </w:r>
            <w:r w:rsidRPr="00B7592D">
              <w:rPr>
                <w:color w:val="000000"/>
                <w:sz w:val="16"/>
                <w:szCs w:val="16"/>
                <w:vertAlign w:val="superscript"/>
              </w:rPr>
              <w:t xml:space="preserve"> b</w:t>
            </w:r>
            <w:r w:rsidR="007108FE" w:rsidRPr="00B7592D">
              <w:rPr>
                <w:color w:val="000000"/>
                <w:sz w:val="16"/>
                <w:szCs w:val="16"/>
                <w:vertAlign w:val="superscript"/>
              </w:rPr>
              <w:t>*</w:t>
            </w:r>
          </w:p>
        </w:tc>
        <w:tc>
          <w:tcPr>
            <w:tcW w:w="1211" w:type="dxa"/>
            <w:tcBorders>
              <w:bottom w:val="single" w:sz="4" w:space="0" w:color="auto"/>
            </w:tcBorders>
            <w:hideMark/>
          </w:tcPr>
          <w:p w:rsidR="00994ED2" w:rsidRPr="00B7592D" w:rsidRDefault="00994ED2" w:rsidP="00051579">
            <w:pPr>
              <w:spacing w:line="500" w:lineRule="atLeast"/>
              <w:ind w:firstLine="0"/>
              <w:jc w:val="center"/>
              <w:rPr>
                <w:color w:val="000000"/>
                <w:sz w:val="16"/>
                <w:szCs w:val="16"/>
              </w:rPr>
            </w:pPr>
            <w:r w:rsidRPr="00B7592D">
              <w:rPr>
                <w:color w:val="000000"/>
                <w:sz w:val="16"/>
                <w:szCs w:val="16"/>
              </w:rPr>
              <w:t>209,84±7,12</w:t>
            </w:r>
            <w:r w:rsidRPr="00B7592D">
              <w:rPr>
                <w:color w:val="000000"/>
                <w:sz w:val="16"/>
                <w:szCs w:val="16"/>
                <w:vertAlign w:val="superscript"/>
              </w:rPr>
              <w:t xml:space="preserve"> c</w:t>
            </w:r>
            <w:r w:rsidR="007108FE" w:rsidRPr="00B7592D">
              <w:rPr>
                <w:color w:val="000000"/>
                <w:sz w:val="16"/>
                <w:szCs w:val="16"/>
                <w:vertAlign w:val="superscript"/>
              </w:rPr>
              <w:t>*</w:t>
            </w:r>
          </w:p>
        </w:tc>
      </w:tr>
      <w:tr w:rsidR="00087A63" w:rsidRPr="00994ED2" w:rsidTr="009B055A">
        <w:trPr>
          <w:trHeight w:val="113"/>
        </w:trPr>
        <w:tc>
          <w:tcPr>
            <w:tcW w:w="2048" w:type="dxa"/>
            <w:tcBorders>
              <w:top w:val="single" w:sz="4" w:space="0" w:color="auto"/>
            </w:tcBorders>
          </w:tcPr>
          <w:p w:rsidR="00087A63" w:rsidRPr="00994ED2" w:rsidRDefault="00087A63" w:rsidP="00051579">
            <w:pPr>
              <w:spacing w:line="500" w:lineRule="atLeast"/>
              <w:ind w:firstLine="0"/>
              <w:jc w:val="center"/>
              <w:rPr>
                <w:sz w:val="16"/>
              </w:rPr>
            </w:pPr>
          </w:p>
        </w:tc>
        <w:tc>
          <w:tcPr>
            <w:tcW w:w="1362" w:type="dxa"/>
            <w:tcBorders>
              <w:top w:val="single" w:sz="4" w:space="0" w:color="auto"/>
            </w:tcBorders>
          </w:tcPr>
          <w:p w:rsidR="00087A63" w:rsidRPr="00994ED2" w:rsidRDefault="00087A63" w:rsidP="00051579">
            <w:pPr>
              <w:spacing w:line="500" w:lineRule="atLeast"/>
              <w:ind w:firstLine="0"/>
              <w:jc w:val="center"/>
              <w:rPr>
                <w:b/>
                <w:color w:val="000000"/>
                <w:sz w:val="16"/>
              </w:rPr>
            </w:pPr>
          </w:p>
        </w:tc>
        <w:tc>
          <w:tcPr>
            <w:tcW w:w="1273" w:type="dxa"/>
            <w:tcBorders>
              <w:top w:val="single" w:sz="4" w:space="0" w:color="auto"/>
            </w:tcBorders>
          </w:tcPr>
          <w:p w:rsidR="00087A63" w:rsidRPr="00994ED2" w:rsidRDefault="00087A63" w:rsidP="00051579">
            <w:pPr>
              <w:spacing w:line="500" w:lineRule="atLeast"/>
              <w:ind w:firstLine="0"/>
              <w:jc w:val="center"/>
              <w:rPr>
                <w:b/>
                <w:color w:val="000000"/>
                <w:sz w:val="16"/>
              </w:rPr>
            </w:pPr>
          </w:p>
        </w:tc>
        <w:tc>
          <w:tcPr>
            <w:tcW w:w="1211" w:type="dxa"/>
            <w:tcBorders>
              <w:top w:val="single" w:sz="4" w:space="0" w:color="auto"/>
            </w:tcBorders>
          </w:tcPr>
          <w:p w:rsidR="00087A63" w:rsidRPr="00994ED2" w:rsidRDefault="00087A63" w:rsidP="00051579">
            <w:pPr>
              <w:spacing w:line="500" w:lineRule="atLeast"/>
              <w:ind w:firstLine="0"/>
              <w:jc w:val="center"/>
              <w:rPr>
                <w:b/>
                <w:color w:val="000000"/>
                <w:sz w:val="16"/>
              </w:rPr>
            </w:pPr>
          </w:p>
        </w:tc>
        <w:tc>
          <w:tcPr>
            <w:tcW w:w="1211" w:type="dxa"/>
            <w:tcBorders>
              <w:top w:val="single" w:sz="4" w:space="0" w:color="auto"/>
            </w:tcBorders>
          </w:tcPr>
          <w:p w:rsidR="00087A63" w:rsidRPr="00994ED2" w:rsidRDefault="00087A63" w:rsidP="00051579">
            <w:pPr>
              <w:spacing w:line="500" w:lineRule="atLeast"/>
              <w:ind w:firstLine="0"/>
              <w:jc w:val="center"/>
              <w:rPr>
                <w:b/>
                <w:color w:val="000000"/>
                <w:sz w:val="16"/>
              </w:rPr>
            </w:pPr>
          </w:p>
        </w:tc>
        <w:tc>
          <w:tcPr>
            <w:tcW w:w="1211" w:type="dxa"/>
            <w:tcBorders>
              <w:top w:val="single" w:sz="4" w:space="0" w:color="auto"/>
            </w:tcBorders>
          </w:tcPr>
          <w:p w:rsidR="00087A63" w:rsidRPr="00994ED2" w:rsidRDefault="00087A63" w:rsidP="00051579">
            <w:pPr>
              <w:spacing w:line="500" w:lineRule="atLeast"/>
              <w:ind w:firstLine="0"/>
              <w:jc w:val="center"/>
              <w:rPr>
                <w:b/>
                <w:color w:val="000000"/>
                <w:sz w:val="16"/>
              </w:rPr>
            </w:pPr>
          </w:p>
        </w:tc>
      </w:tr>
    </w:tbl>
    <w:p w:rsidR="002B3673" w:rsidRPr="00051579" w:rsidRDefault="002B3673" w:rsidP="00051579">
      <w:pPr>
        <w:ind w:firstLine="0"/>
        <w:rPr>
          <w:rFonts w:cs="Times New Roman"/>
          <w:sz w:val="18"/>
        </w:rPr>
      </w:pPr>
      <w:r w:rsidRPr="00051579">
        <w:rPr>
          <w:rFonts w:cs="Times New Roman"/>
          <w:sz w:val="18"/>
        </w:rPr>
        <w:t xml:space="preserve">(Yüzde Canlılık = [ABS ortalama (her bir örnek) / ABS ortalama (kontrol)] x 100)  </w:t>
      </w:r>
    </w:p>
    <w:p w:rsidR="002B3673" w:rsidRPr="00051579" w:rsidRDefault="002B3673" w:rsidP="00051579">
      <w:pPr>
        <w:ind w:firstLine="0"/>
        <w:rPr>
          <w:rFonts w:cs="Times New Roman"/>
          <w:sz w:val="18"/>
        </w:rPr>
      </w:pPr>
      <w:r w:rsidRPr="00051579">
        <w:rPr>
          <w:rFonts w:cs="Times New Roman"/>
          <w:sz w:val="18"/>
        </w:rPr>
        <w:t>Aynı sütunda farklı harfleri taşıyan ortalamalar arasındaki fark P&lt;0,05 düzeyinde istatiksel olarak önemlidir.</w:t>
      </w:r>
    </w:p>
    <w:p w:rsidR="002B3673" w:rsidRPr="00051579" w:rsidRDefault="007108FE" w:rsidP="00051579">
      <w:pPr>
        <w:ind w:firstLine="0"/>
        <w:rPr>
          <w:rFonts w:cs="Times New Roman"/>
          <w:sz w:val="18"/>
        </w:rPr>
      </w:pPr>
      <w:r w:rsidRPr="00051579">
        <w:rPr>
          <w:rFonts w:cs="Times New Roman"/>
          <w:sz w:val="18"/>
        </w:rPr>
        <w:t>(</w:t>
      </w:r>
      <w:r w:rsidRPr="00051579">
        <w:rPr>
          <w:rFonts w:cs="Times New Roman"/>
          <w:color w:val="000000"/>
          <w:sz w:val="18"/>
          <w:vertAlign w:val="superscript"/>
        </w:rPr>
        <w:t>*</w:t>
      </w:r>
      <w:r w:rsidRPr="00051579">
        <w:rPr>
          <w:rFonts w:cs="Times New Roman"/>
          <w:color w:val="000000"/>
          <w:sz w:val="18"/>
        </w:rPr>
        <w:t>Kontrole göre p&lt;0,001</w:t>
      </w:r>
      <w:r w:rsidRPr="00051579">
        <w:rPr>
          <w:rFonts w:cs="Times New Roman"/>
          <w:sz w:val="18"/>
        </w:rPr>
        <w:t xml:space="preserve"> düzeyinde anlamlı).</w:t>
      </w:r>
    </w:p>
    <w:p w:rsidR="009E3BDC" w:rsidRDefault="009E3BDC" w:rsidP="002B3673">
      <w:pPr>
        <w:rPr>
          <w:b/>
        </w:rPr>
      </w:pPr>
    </w:p>
    <w:p w:rsidR="00972ABE" w:rsidRDefault="00972ABE" w:rsidP="002B3673">
      <w:pPr>
        <w:rPr>
          <w:b/>
        </w:rPr>
      </w:pPr>
    </w:p>
    <w:p w:rsidR="002B3673" w:rsidRDefault="002B3673" w:rsidP="00B80794">
      <w:pPr>
        <w:pStyle w:val="AltKonuBal"/>
      </w:pPr>
      <w:r w:rsidRPr="00F84E6F">
        <w:rPr>
          <w:noProof/>
          <w:lang w:eastAsia="tr-TR"/>
        </w:rPr>
        <w:drawing>
          <wp:inline distT="0" distB="0" distL="0" distR="0">
            <wp:extent cx="4572000" cy="2733675"/>
            <wp:effectExtent l="0" t="0" r="0" b="0"/>
            <wp:docPr id="5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B3673" w:rsidRDefault="002B3673" w:rsidP="002B3673">
      <w:pPr>
        <w:rPr>
          <w:b/>
        </w:rPr>
      </w:pPr>
    </w:p>
    <w:p w:rsidR="002B3673" w:rsidRDefault="00D450D5" w:rsidP="002B3673">
      <w:pPr>
        <w:rPr>
          <w:rFonts w:cs="Times New Roman"/>
          <w:color w:val="000000"/>
          <w:szCs w:val="24"/>
        </w:rPr>
      </w:pPr>
      <w:r>
        <w:rPr>
          <w:rFonts w:cs="Times New Roman"/>
          <w:b/>
          <w:color w:val="000000"/>
          <w:szCs w:val="24"/>
        </w:rPr>
        <w:t>Şekil 24</w:t>
      </w:r>
      <w:r w:rsidR="002B3673">
        <w:rPr>
          <w:rFonts w:cs="Times New Roman"/>
          <w:b/>
          <w:color w:val="000000"/>
          <w:szCs w:val="24"/>
        </w:rPr>
        <w:t>.</w:t>
      </w:r>
      <w:r w:rsidR="002B3673" w:rsidRPr="00EF6984">
        <w:rPr>
          <w:rFonts w:cs="Times New Roman"/>
          <w:color w:val="000000"/>
          <w:szCs w:val="24"/>
        </w:rPr>
        <w:t xml:space="preserve"> MCF-7 kanser hücrelerinin (5x10</w:t>
      </w:r>
      <w:r w:rsidR="002B3673" w:rsidRPr="00EF6984">
        <w:rPr>
          <w:rFonts w:cs="Times New Roman"/>
          <w:color w:val="000000"/>
          <w:szCs w:val="24"/>
          <w:vertAlign w:val="superscript"/>
        </w:rPr>
        <w:t>3</w:t>
      </w:r>
      <w:r w:rsidR="002B3673" w:rsidRPr="00EF6984">
        <w:rPr>
          <w:rFonts w:cs="Times New Roman"/>
          <w:color w:val="000000"/>
          <w:szCs w:val="24"/>
        </w:rPr>
        <w:t xml:space="preserve"> hücre/kuyu) normoksi altında glukozun farklı </w:t>
      </w:r>
      <w:proofErr w:type="gramStart"/>
      <w:r w:rsidR="002B3673" w:rsidRPr="00EF6984">
        <w:rPr>
          <w:rFonts w:cs="Times New Roman"/>
          <w:color w:val="000000"/>
          <w:szCs w:val="24"/>
        </w:rPr>
        <w:t>konsantrasyonlu</w:t>
      </w:r>
      <w:proofErr w:type="gramEnd"/>
      <w:r w:rsidR="002B3673" w:rsidRPr="00EF6984">
        <w:rPr>
          <w:rFonts w:cs="Times New Roman"/>
          <w:color w:val="000000"/>
          <w:szCs w:val="24"/>
        </w:rPr>
        <w:t xml:space="preserve"> </w:t>
      </w:r>
      <w:r w:rsidR="002B3673">
        <w:rPr>
          <w:rFonts w:cs="Times New Roman"/>
          <w:color w:val="000000"/>
          <w:szCs w:val="24"/>
        </w:rPr>
        <w:t>uygulama gruplarında 3, 6, 12,</w:t>
      </w:r>
      <w:r w:rsidR="002B3673" w:rsidRPr="00EF6984">
        <w:rPr>
          <w:rFonts w:cs="Times New Roman"/>
          <w:color w:val="000000"/>
          <w:szCs w:val="24"/>
        </w:rPr>
        <w:t xml:space="preserve"> 24</w:t>
      </w:r>
      <w:r w:rsidR="002B3673">
        <w:rPr>
          <w:rFonts w:cs="Times New Roman"/>
          <w:color w:val="000000"/>
          <w:szCs w:val="24"/>
        </w:rPr>
        <w:t xml:space="preserve"> ve 48</w:t>
      </w:r>
      <w:r w:rsidR="002B3673" w:rsidRPr="00EF6984">
        <w:rPr>
          <w:rFonts w:cs="Times New Roman"/>
          <w:color w:val="000000"/>
          <w:szCs w:val="24"/>
        </w:rPr>
        <w:t xml:space="preserve"> saat inkübasyonu sonucu elde edilen </w:t>
      </w:r>
      <w:r w:rsidR="002B3673">
        <w:rPr>
          <w:rFonts w:cs="Times New Roman"/>
          <w:color w:val="000000"/>
          <w:szCs w:val="24"/>
        </w:rPr>
        <w:t>%</w:t>
      </w:r>
      <w:r w:rsidR="002B3673" w:rsidRPr="00EF6984">
        <w:rPr>
          <w:rFonts w:cs="Times New Roman"/>
          <w:color w:val="000000"/>
          <w:szCs w:val="24"/>
        </w:rPr>
        <w:t xml:space="preserve"> canlılık oranları. </w:t>
      </w:r>
    </w:p>
    <w:p w:rsidR="00F9643B" w:rsidRDefault="00F9643B" w:rsidP="002B3673">
      <w:pPr>
        <w:rPr>
          <w:rFonts w:cs="Times New Roman"/>
          <w:b/>
          <w:szCs w:val="24"/>
        </w:rPr>
      </w:pPr>
    </w:p>
    <w:p w:rsidR="00084DC7" w:rsidRDefault="00084DC7" w:rsidP="002B3673">
      <w:pPr>
        <w:rPr>
          <w:rFonts w:cs="Times New Roman"/>
          <w:b/>
          <w:szCs w:val="24"/>
        </w:rPr>
      </w:pPr>
    </w:p>
    <w:p w:rsidR="009E3BDC" w:rsidRPr="00EF6984" w:rsidRDefault="009E3BDC" w:rsidP="002B3673">
      <w:pPr>
        <w:rPr>
          <w:rFonts w:cs="Times New Roman"/>
          <w:b/>
          <w:szCs w:val="24"/>
        </w:rPr>
      </w:pPr>
    </w:p>
    <w:p w:rsidR="002B3673" w:rsidRDefault="00D450D5" w:rsidP="00994ED2">
      <w:pPr>
        <w:ind w:firstLine="0"/>
        <w:rPr>
          <w:rFonts w:cs="Times New Roman"/>
          <w:color w:val="000000"/>
          <w:szCs w:val="24"/>
        </w:rPr>
      </w:pPr>
      <w:r>
        <w:rPr>
          <w:rFonts w:cs="Times New Roman"/>
          <w:b/>
          <w:color w:val="000000"/>
          <w:szCs w:val="24"/>
        </w:rPr>
        <w:lastRenderedPageBreak/>
        <w:t>Tablo 7</w:t>
      </w:r>
      <w:r w:rsidR="002B3673">
        <w:rPr>
          <w:rFonts w:cs="Times New Roman"/>
          <w:b/>
          <w:color w:val="000000"/>
          <w:szCs w:val="24"/>
        </w:rPr>
        <w:t>.</w:t>
      </w:r>
      <w:r w:rsidR="002B3673">
        <w:rPr>
          <w:rFonts w:cs="Times New Roman"/>
          <w:color w:val="000000"/>
          <w:szCs w:val="24"/>
        </w:rPr>
        <w:t xml:space="preserve"> Hipoksik ortamda farklı inkübasyon sürelerindeki (3, 6, 12, 24 ve 48 saat) glukoz uygulamasının O mM kontrol grubuna göre </w:t>
      </w:r>
      <w:r w:rsidR="002B3673" w:rsidRPr="00E20D52">
        <w:rPr>
          <w:rFonts w:cs="Times New Roman"/>
          <w:color w:val="000000"/>
          <w:szCs w:val="24"/>
        </w:rPr>
        <w:t>% canlılık oranları</w:t>
      </w:r>
      <w:r w:rsidR="002B3673">
        <w:rPr>
          <w:rFonts w:cs="Times New Roman"/>
          <w:color w:val="000000"/>
          <w:szCs w:val="24"/>
        </w:rPr>
        <w:t xml:space="preserve"> ve istatiksel değerleri.</w:t>
      </w:r>
    </w:p>
    <w:tbl>
      <w:tblPr>
        <w:tblStyle w:val="TabloKlavuzu2"/>
        <w:tblW w:w="47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402"/>
        <w:gridCol w:w="1402"/>
        <w:gridCol w:w="1402"/>
        <w:gridCol w:w="1402"/>
        <w:gridCol w:w="1400"/>
      </w:tblGrid>
      <w:tr w:rsidR="00994ED2" w:rsidRPr="00994ED2" w:rsidTr="00B7592D">
        <w:trPr>
          <w:trHeight w:val="57"/>
        </w:trPr>
        <w:tc>
          <w:tcPr>
            <w:tcW w:w="1061" w:type="pct"/>
            <w:tcBorders>
              <w:bottom w:val="single" w:sz="4" w:space="0" w:color="auto"/>
            </w:tcBorders>
            <w:shd w:val="clear" w:color="auto" w:fill="auto"/>
          </w:tcPr>
          <w:p w:rsidR="00994ED2" w:rsidRPr="00051579" w:rsidRDefault="00994ED2" w:rsidP="00051579">
            <w:pPr>
              <w:spacing w:line="500" w:lineRule="atLeast"/>
              <w:ind w:firstLine="0"/>
              <w:rPr>
                <w:b/>
                <w:sz w:val="18"/>
                <w:szCs w:val="18"/>
              </w:rPr>
            </w:pPr>
          </w:p>
          <w:p w:rsidR="00051579" w:rsidRDefault="00994ED2" w:rsidP="00051579">
            <w:pPr>
              <w:spacing w:line="500" w:lineRule="atLeast"/>
              <w:ind w:firstLine="0"/>
              <w:jc w:val="center"/>
              <w:rPr>
                <w:b/>
                <w:sz w:val="18"/>
                <w:szCs w:val="18"/>
              </w:rPr>
            </w:pPr>
            <w:r w:rsidRPr="00051579">
              <w:rPr>
                <w:b/>
                <w:sz w:val="18"/>
                <w:szCs w:val="18"/>
              </w:rPr>
              <w:t>H</w:t>
            </w:r>
            <w:r w:rsidR="00051579" w:rsidRPr="00051579">
              <w:rPr>
                <w:b/>
                <w:sz w:val="18"/>
                <w:szCs w:val="18"/>
              </w:rPr>
              <w:t>ipoksi</w:t>
            </w:r>
          </w:p>
          <w:p w:rsidR="00994ED2" w:rsidRPr="00051579" w:rsidRDefault="00994ED2" w:rsidP="00051579">
            <w:pPr>
              <w:spacing w:line="500" w:lineRule="atLeast"/>
              <w:ind w:firstLine="0"/>
              <w:jc w:val="center"/>
              <w:rPr>
                <w:b/>
                <w:sz w:val="18"/>
                <w:szCs w:val="18"/>
              </w:rPr>
            </w:pPr>
            <w:r w:rsidRPr="00051579">
              <w:rPr>
                <w:b/>
                <w:sz w:val="18"/>
                <w:szCs w:val="18"/>
              </w:rPr>
              <w:t>Konsantrasyonu (mM)</w:t>
            </w:r>
          </w:p>
        </w:tc>
        <w:tc>
          <w:tcPr>
            <w:tcW w:w="788" w:type="pct"/>
            <w:tcBorders>
              <w:bottom w:val="single" w:sz="4" w:space="0" w:color="auto"/>
            </w:tcBorders>
            <w:shd w:val="clear" w:color="auto" w:fill="auto"/>
          </w:tcPr>
          <w:p w:rsidR="00994ED2" w:rsidRPr="00051579" w:rsidRDefault="00994ED2" w:rsidP="00051579">
            <w:pPr>
              <w:spacing w:line="500" w:lineRule="atLeast"/>
              <w:ind w:firstLine="0"/>
              <w:jc w:val="center"/>
              <w:rPr>
                <w:b/>
                <w:sz w:val="18"/>
                <w:szCs w:val="18"/>
              </w:rPr>
            </w:pPr>
          </w:p>
          <w:p w:rsidR="00051579" w:rsidRDefault="00051579" w:rsidP="00051579">
            <w:pPr>
              <w:spacing w:line="500" w:lineRule="atLeast"/>
              <w:ind w:firstLine="0"/>
              <w:jc w:val="center"/>
              <w:rPr>
                <w:b/>
                <w:sz w:val="18"/>
                <w:szCs w:val="18"/>
              </w:rPr>
            </w:pPr>
          </w:p>
          <w:p w:rsidR="00994ED2" w:rsidRPr="00051579" w:rsidRDefault="00994ED2" w:rsidP="00051579">
            <w:pPr>
              <w:spacing w:line="500" w:lineRule="atLeast"/>
              <w:ind w:firstLine="0"/>
              <w:jc w:val="center"/>
              <w:rPr>
                <w:b/>
                <w:sz w:val="18"/>
                <w:szCs w:val="18"/>
              </w:rPr>
            </w:pPr>
            <w:r w:rsidRPr="00051579">
              <w:rPr>
                <w:b/>
                <w:sz w:val="18"/>
                <w:szCs w:val="18"/>
              </w:rPr>
              <w:t>3.saat</w:t>
            </w:r>
          </w:p>
          <w:p w:rsidR="00994ED2" w:rsidRPr="00051579" w:rsidRDefault="00994ED2" w:rsidP="00051579">
            <w:pPr>
              <w:spacing w:line="500" w:lineRule="atLeast"/>
              <w:ind w:firstLine="0"/>
              <w:jc w:val="center"/>
              <w:rPr>
                <w:b/>
                <w:sz w:val="18"/>
                <w:szCs w:val="18"/>
              </w:rPr>
            </w:pPr>
            <w:r w:rsidRPr="00051579">
              <w:rPr>
                <w:b/>
                <w:sz w:val="18"/>
                <w:szCs w:val="18"/>
              </w:rPr>
              <w:t>%canlılık</w:t>
            </w:r>
          </w:p>
        </w:tc>
        <w:tc>
          <w:tcPr>
            <w:tcW w:w="788" w:type="pct"/>
            <w:tcBorders>
              <w:bottom w:val="single" w:sz="4" w:space="0" w:color="auto"/>
            </w:tcBorders>
            <w:shd w:val="clear" w:color="auto" w:fill="auto"/>
          </w:tcPr>
          <w:p w:rsidR="00994ED2" w:rsidRPr="00051579" w:rsidRDefault="00994ED2" w:rsidP="00051579">
            <w:pPr>
              <w:spacing w:line="500" w:lineRule="atLeast"/>
              <w:ind w:firstLine="0"/>
              <w:jc w:val="center"/>
              <w:rPr>
                <w:b/>
                <w:sz w:val="18"/>
                <w:szCs w:val="18"/>
              </w:rPr>
            </w:pPr>
          </w:p>
          <w:p w:rsidR="00051579" w:rsidRDefault="00051579" w:rsidP="00051579">
            <w:pPr>
              <w:spacing w:line="500" w:lineRule="atLeast"/>
              <w:ind w:firstLine="0"/>
              <w:jc w:val="center"/>
              <w:rPr>
                <w:b/>
                <w:sz w:val="18"/>
                <w:szCs w:val="18"/>
              </w:rPr>
            </w:pPr>
          </w:p>
          <w:p w:rsidR="00994ED2" w:rsidRPr="00051579" w:rsidRDefault="00994ED2" w:rsidP="00051579">
            <w:pPr>
              <w:spacing w:line="500" w:lineRule="atLeast"/>
              <w:ind w:firstLine="0"/>
              <w:jc w:val="center"/>
              <w:rPr>
                <w:b/>
                <w:sz w:val="18"/>
                <w:szCs w:val="18"/>
              </w:rPr>
            </w:pPr>
            <w:r w:rsidRPr="00051579">
              <w:rPr>
                <w:b/>
                <w:sz w:val="18"/>
                <w:szCs w:val="18"/>
              </w:rPr>
              <w:t>6.saat</w:t>
            </w:r>
          </w:p>
          <w:p w:rsidR="00994ED2" w:rsidRPr="00051579" w:rsidRDefault="00994ED2" w:rsidP="00051579">
            <w:pPr>
              <w:spacing w:line="500" w:lineRule="atLeast"/>
              <w:ind w:firstLine="0"/>
              <w:jc w:val="center"/>
              <w:rPr>
                <w:b/>
                <w:sz w:val="18"/>
                <w:szCs w:val="18"/>
              </w:rPr>
            </w:pPr>
            <w:r w:rsidRPr="00051579">
              <w:rPr>
                <w:b/>
                <w:sz w:val="18"/>
                <w:szCs w:val="18"/>
              </w:rPr>
              <w:t>%canlılık</w:t>
            </w:r>
          </w:p>
        </w:tc>
        <w:tc>
          <w:tcPr>
            <w:tcW w:w="788" w:type="pct"/>
            <w:tcBorders>
              <w:bottom w:val="single" w:sz="4" w:space="0" w:color="auto"/>
            </w:tcBorders>
            <w:shd w:val="clear" w:color="auto" w:fill="auto"/>
          </w:tcPr>
          <w:p w:rsidR="00994ED2" w:rsidRPr="00051579" w:rsidRDefault="00994ED2" w:rsidP="00051579">
            <w:pPr>
              <w:spacing w:line="500" w:lineRule="atLeast"/>
              <w:ind w:firstLine="0"/>
              <w:jc w:val="center"/>
              <w:rPr>
                <w:b/>
                <w:sz w:val="18"/>
                <w:szCs w:val="18"/>
              </w:rPr>
            </w:pPr>
          </w:p>
          <w:p w:rsidR="00051579" w:rsidRDefault="00051579" w:rsidP="00051579">
            <w:pPr>
              <w:spacing w:line="500" w:lineRule="atLeast"/>
              <w:ind w:firstLine="0"/>
              <w:jc w:val="center"/>
              <w:rPr>
                <w:b/>
                <w:sz w:val="18"/>
                <w:szCs w:val="18"/>
              </w:rPr>
            </w:pPr>
          </w:p>
          <w:p w:rsidR="00994ED2" w:rsidRPr="00051579" w:rsidRDefault="00994ED2" w:rsidP="00051579">
            <w:pPr>
              <w:spacing w:line="500" w:lineRule="atLeast"/>
              <w:ind w:firstLine="0"/>
              <w:jc w:val="center"/>
              <w:rPr>
                <w:b/>
                <w:sz w:val="18"/>
                <w:szCs w:val="18"/>
              </w:rPr>
            </w:pPr>
            <w:r w:rsidRPr="00051579">
              <w:rPr>
                <w:b/>
                <w:sz w:val="18"/>
                <w:szCs w:val="18"/>
              </w:rPr>
              <w:t>12.saat</w:t>
            </w:r>
          </w:p>
          <w:p w:rsidR="00994ED2" w:rsidRPr="00051579" w:rsidRDefault="00994ED2" w:rsidP="00051579">
            <w:pPr>
              <w:spacing w:line="500" w:lineRule="atLeast"/>
              <w:ind w:firstLine="0"/>
              <w:jc w:val="center"/>
              <w:rPr>
                <w:b/>
                <w:sz w:val="18"/>
                <w:szCs w:val="18"/>
              </w:rPr>
            </w:pPr>
            <w:r w:rsidRPr="00051579">
              <w:rPr>
                <w:b/>
                <w:sz w:val="18"/>
                <w:szCs w:val="18"/>
              </w:rPr>
              <w:t>%canlılık</w:t>
            </w:r>
          </w:p>
        </w:tc>
        <w:tc>
          <w:tcPr>
            <w:tcW w:w="788" w:type="pct"/>
            <w:tcBorders>
              <w:bottom w:val="single" w:sz="4" w:space="0" w:color="auto"/>
            </w:tcBorders>
            <w:shd w:val="clear" w:color="auto" w:fill="auto"/>
          </w:tcPr>
          <w:p w:rsidR="00994ED2" w:rsidRPr="00051579" w:rsidRDefault="00994ED2" w:rsidP="00051579">
            <w:pPr>
              <w:spacing w:line="500" w:lineRule="atLeast"/>
              <w:ind w:firstLine="0"/>
              <w:jc w:val="center"/>
              <w:rPr>
                <w:b/>
                <w:sz w:val="18"/>
                <w:szCs w:val="18"/>
              </w:rPr>
            </w:pPr>
          </w:p>
          <w:p w:rsidR="00051579" w:rsidRDefault="00051579" w:rsidP="00051579">
            <w:pPr>
              <w:spacing w:line="500" w:lineRule="atLeast"/>
              <w:ind w:firstLine="0"/>
              <w:jc w:val="center"/>
              <w:rPr>
                <w:b/>
                <w:sz w:val="18"/>
                <w:szCs w:val="18"/>
              </w:rPr>
            </w:pPr>
          </w:p>
          <w:p w:rsidR="00994ED2" w:rsidRPr="00051579" w:rsidRDefault="00994ED2" w:rsidP="00051579">
            <w:pPr>
              <w:spacing w:line="500" w:lineRule="atLeast"/>
              <w:ind w:firstLine="0"/>
              <w:jc w:val="center"/>
              <w:rPr>
                <w:b/>
                <w:sz w:val="18"/>
                <w:szCs w:val="18"/>
              </w:rPr>
            </w:pPr>
            <w:r w:rsidRPr="00051579">
              <w:rPr>
                <w:b/>
                <w:sz w:val="18"/>
                <w:szCs w:val="18"/>
              </w:rPr>
              <w:t>24.saat</w:t>
            </w:r>
          </w:p>
          <w:p w:rsidR="00994ED2" w:rsidRPr="00051579" w:rsidRDefault="00994ED2" w:rsidP="00051579">
            <w:pPr>
              <w:spacing w:line="500" w:lineRule="atLeast"/>
              <w:ind w:firstLine="0"/>
              <w:jc w:val="center"/>
              <w:rPr>
                <w:b/>
                <w:sz w:val="18"/>
                <w:szCs w:val="18"/>
              </w:rPr>
            </w:pPr>
            <w:r w:rsidRPr="00051579">
              <w:rPr>
                <w:b/>
                <w:sz w:val="18"/>
                <w:szCs w:val="18"/>
              </w:rPr>
              <w:t>%canlılık</w:t>
            </w:r>
          </w:p>
        </w:tc>
        <w:tc>
          <w:tcPr>
            <w:tcW w:w="787" w:type="pct"/>
            <w:tcBorders>
              <w:bottom w:val="single" w:sz="4" w:space="0" w:color="auto"/>
            </w:tcBorders>
            <w:shd w:val="clear" w:color="auto" w:fill="auto"/>
          </w:tcPr>
          <w:p w:rsidR="00994ED2" w:rsidRPr="00051579" w:rsidRDefault="00994ED2" w:rsidP="00051579">
            <w:pPr>
              <w:spacing w:line="500" w:lineRule="atLeast"/>
              <w:ind w:firstLine="0"/>
              <w:jc w:val="center"/>
              <w:rPr>
                <w:b/>
                <w:sz w:val="18"/>
                <w:szCs w:val="18"/>
              </w:rPr>
            </w:pPr>
          </w:p>
          <w:p w:rsidR="00051579" w:rsidRDefault="00051579" w:rsidP="00051579">
            <w:pPr>
              <w:spacing w:line="500" w:lineRule="atLeast"/>
              <w:ind w:firstLine="0"/>
              <w:jc w:val="center"/>
              <w:rPr>
                <w:b/>
                <w:sz w:val="18"/>
                <w:szCs w:val="18"/>
              </w:rPr>
            </w:pPr>
          </w:p>
          <w:p w:rsidR="00994ED2" w:rsidRPr="00051579" w:rsidRDefault="00994ED2" w:rsidP="00051579">
            <w:pPr>
              <w:spacing w:line="500" w:lineRule="atLeast"/>
              <w:ind w:firstLine="0"/>
              <w:jc w:val="center"/>
              <w:rPr>
                <w:b/>
                <w:sz w:val="18"/>
                <w:szCs w:val="18"/>
              </w:rPr>
            </w:pPr>
            <w:r w:rsidRPr="00051579">
              <w:rPr>
                <w:b/>
                <w:sz w:val="18"/>
                <w:szCs w:val="18"/>
              </w:rPr>
              <w:t>48.saat</w:t>
            </w:r>
          </w:p>
          <w:p w:rsidR="00994ED2" w:rsidRPr="00051579" w:rsidRDefault="00994ED2" w:rsidP="00051579">
            <w:pPr>
              <w:spacing w:line="500" w:lineRule="atLeast"/>
              <w:ind w:firstLine="0"/>
              <w:jc w:val="center"/>
              <w:rPr>
                <w:b/>
                <w:sz w:val="18"/>
                <w:szCs w:val="18"/>
              </w:rPr>
            </w:pPr>
            <w:r w:rsidRPr="00051579">
              <w:rPr>
                <w:b/>
                <w:sz w:val="18"/>
                <w:szCs w:val="18"/>
              </w:rPr>
              <w:t>%canlılık</w:t>
            </w:r>
          </w:p>
        </w:tc>
      </w:tr>
      <w:tr w:rsidR="00994ED2" w:rsidRPr="00994ED2" w:rsidTr="00B7592D">
        <w:trPr>
          <w:trHeight w:val="160"/>
        </w:trPr>
        <w:tc>
          <w:tcPr>
            <w:tcW w:w="1061" w:type="pct"/>
            <w:tcBorders>
              <w:top w:val="single" w:sz="4" w:space="0" w:color="auto"/>
            </w:tcBorders>
            <w:shd w:val="clear" w:color="auto" w:fill="auto"/>
            <w:hideMark/>
          </w:tcPr>
          <w:p w:rsidR="00994ED2" w:rsidRPr="00051579" w:rsidRDefault="00994ED2" w:rsidP="00051579">
            <w:pPr>
              <w:spacing w:line="500" w:lineRule="atLeast"/>
              <w:ind w:firstLine="0"/>
              <w:jc w:val="center"/>
              <w:rPr>
                <w:sz w:val="16"/>
              </w:rPr>
            </w:pPr>
            <w:r w:rsidRPr="00051579">
              <w:rPr>
                <w:sz w:val="16"/>
              </w:rPr>
              <w:t>Kontrol</w:t>
            </w:r>
          </w:p>
        </w:tc>
        <w:tc>
          <w:tcPr>
            <w:tcW w:w="788" w:type="pct"/>
            <w:tcBorders>
              <w:top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100±1,79</w:t>
            </w:r>
            <w:r w:rsidRPr="00051579">
              <w:rPr>
                <w:color w:val="000000"/>
                <w:sz w:val="20"/>
                <w:vertAlign w:val="superscript"/>
              </w:rPr>
              <w:t xml:space="preserve"> a</w:t>
            </w:r>
          </w:p>
        </w:tc>
        <w:tc>
          <w:tcPr>
            <w:tcW w:w="788" w:type="pct"/>
            <w:tcBorders>
              <w:top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100±0,74</w:t>
            </w:r>
            <w:r w:rsidRPr="00051579">
              <w:rPr>
                <w:color w:val="000000"/>
                <w:sz w:val="20"/>
                <w:vertAlign w:val="superscript"/>
              </w:rPr>
              <w:t xml:space="preserve"> a</w:t>
            </w:r>
          </w:p>
        </w:tc>
        <w:tc>
          <w:tcPr>
            <w:tcW w:w="788" w:type="pct"/>
            <w:tcBorders>
              <w:top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100±3,82</w:t>
            </w:r>
            <w:r w:rsidRPr="00051579">
              <w:rPr>
                <w:color w:val="000000"/>
                <w:sz w:val="20"/>
                <w:vertAlign w:val="superscript"/>
              </w:rPr>
              <w:t xml:space="preserve"> a</w:t>
            </w:r>
          </w:p>
        </w:tc>
        <w:tc>
          <w:tcPr>
            <w:tcW w:w="788" w:type="pct"/>
            <w:tcBorders>
              <w:top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100±9,9</w:t>
            </w:r>
            <w:r w:rsidRPr="00051579">
              <w:rPr>
                <w:color w:val="000000"/>
                <w:sz w:val="20"/>
                <w:vertAlign w:val="superscript"/>
              </w:rPr>
              <w:t xml:space="preserve"> a</w:t>
            </w:r>
          </w:p>
        </w:tc>
        <w:tc>
          <w:tcPr>
            <w:tcW w:w="787" w:type="pct"/>
            <w:tcBorders>
              <w:top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100±2,55</w:t>
            </w:r>
            <w:r w:rsidRPr="00051579">
              <w:rPr>
                <w:color w:val="000000"/>
                <w:sz w:val="20"/>
                <w:vertAlign w:val="superscript"/>
              </w:rPr>
              <w:t xml:space="preserve"> a</w:t>
            </w:r>
          </w:p>
        </w:tc>
      </w:tr>
      <w:tr w:rsidR="00994ED2" w:rsidRPr="00994ED2" w:rsidTr="00B7592D">
        <w:trPr>
          <w:trHeight w:val="160"/>
        </w:trPr>
        <w:tc>
          <w:tcPr>
            <w:tcW w:w="1061" w:type="pct"/>
            <w:shd w:val="clear" w:color="auto" w:fill="auto"/>
            <w:hideMark/>
          </w:tcPr>
          <w:p w:rsidR="00994ED2" w:rsidRPr="00051579" w:rsidRDefault="00994ED2" w:rsidP="00051579">
            <w:pPr>
              <w:spacing w:line="500" w:lineRule="atLeast"/>
              <w:ind w:firstLine="0"/>
              <w:jc w:val="center"/>
              <w:rPr>
                <w:sz w:val="16"/>
              </w:rPr>
            </w:pPr>
            <w:r w:rsidRPr="00051579">
              <w:rPr>
                <w:sz w:val="16"/>
              </w:rPr>
              <w:t>5,5 mM</w:t>
            </w:r>
          </w:p>
        </w:tc>
        <w:tc>
          <w:tcPr>
            <w:tcW w:w="788"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134,56±1,31</w:t>
            </w:r>
            <w:r w:rsidRPr="00051579">
              <w:rPr>
                <w:color w:val="000000"/>
                <w:sz w:val="20"/>
                <w:vertAlign w:val="superscript"/>
              </w:rPr>
              <w:t xml:space="preserve"> b</w:t>
            </w:r>
          </w:p>
        </w:tc>
        <w:tc>
          <w:tcPr>
            <w:tcW w:w="788"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106,07±1,54</w:t>
            </w:r>
            <w:r w:rsidRPr="00051579">
              <w:rPr>
                <w:color w:val="000000"/>
                <w:sz w:val="20"/>
                <w:vertAlign w:val="superscript"/>
              </w:rPr>
              <w:t xml:space="preserve"> a</w:t>
            </w:r>
          </w:p>
        </w:tc>
        <w:tc>
          <w:tcPr>
            <w:tcW w:w="788"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120,1±0,83</w:t>
            </w:r>
            <w:r w:rsidRPr="00051579">
              <w:rPr>
                <w:color w:val="000000"/>
                <w:sz w:val="20"/>
                <w:vertAlign w:val="superscript"/>
              </w:rPr>
              <w:t xml:space="preserve"> a</w:t>
            </w:r>
          </w:p>
        </w:tc>
        <w:tc>
          <w:tcPr>
            <w:tcW w:w="788"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125,85±7,88</w:t>
            </w:r>
            <w:r w:rsidRPr="00051579">
              <w:rPr>
                <w:color w:val="000000"/>
                <w:sz w:val="20"/>
                <w:vertAlign w:val="superscript"/>
              </w:rPr>
              <w:t xml:space="preserve"> ab</w:t>
            </w:r>
          </w:p>
        </w:tc>
        <w:tc>
          <w:tcPr>
            <w:tcW w:w="787"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141,17±2,36</w:t>
            </w:r>
            <w:r w:rsidRPr="00051579">
              <w:rPr>
                <w:color w:val="000000"/>
                <w:sz w:val="20"/>
                <w:vertAlign w:val="superscript"/>
              </w:rPr>
              <w:t xml:space="preserve"> b</w:t>
            </w:r>
            <w:r w:rsidR="001D29BE" w:rsidRPr="00051579">
              <w:rPr>
                <w:color w:val="000000"/>
                <w:sz w:val="20"/>
                <w:vertAlign w:val="superscript"/>
              </w:rPr>
              <w:t>*</w:t>
            </w:r>
          </w:p>
        </w:tc>
      </w:tr>
      <w:tr w:rsidR="00994ED2" w:rsidRPr="00994ED2" w:rsidTr="009B055A">
        <w:trPr>
          <w:trHeight w:val="160"/>
        </w:trPr>
        <w:tc>
          <w:tcPr>
            <w:tcW w:w="1061" w:type="pct"/>
            <w:shd w:val="clear" w:color="auto" w:fill="auto"/>
            <w:hideMark/>
          </w:tcPr>
          <w:p w:rsidR="00994ED2" w:rsidRPr="00051579" w:rsidRDefault="00994ED2" w:rsidP="00051579">
            <w:pPr>
              <w:spacing w:line="500" w:lineRule="atLeast"/>
              <w:ind w:firstLine="0"/>
              <w:jc w:val="center"/>
              <w:rPr>
                <w:sz w:val="16"/>
              </w:rPr>
            </w:pPr>
            <w:r w:rsidRPr="00051579">
              <w:rPr>
                <w:sz w:val="16"/>
              </w:rPr>
              <w:t>15 mM</w:t>
            </w:r>
          </w:p>
        </w:tc>
        <w:tc>
          <w:tcPr>
            <w:tcW w:w="788"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150,22±0,1</w:t>
            </w:r>
            <w:r w:rsidRPr="00051579">
              <w:rPr>
                <w:color w:val="000000"/>
                <w:sz w:val="20"/>
                <w:vertAlign w:val="superscript"/>
              </w:rPr>
              <w:t xml:space="preserve"> b</w:t>
            </w:r>
          </w:p>
        </w:tc>
        <w:tc>
          <w:tcPr>
            <w:tcW w:w="788"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138,48±0,95</w:t>
            </w:r>
            <w:r w:rsidRPr="00051579">
              <w:rPr>
                <w:color w:val="000000"/>
                <w:sz w:val="20"/>
                <w:vertAlign w:val="superscript"/>
              </w:rPr>
              <w:t xml:space="preserve"> b</w:t>
            </w:r>
            <w:r w:rsidR="001D29BE" w:rsidRPr="00051579">
              <w:rPr>
                <w:color w:val="000000"/>
                <w:sz w:val="20"/>
                <w:vertAlign w:val="superscript"/>
              </w:rPr>
              <w:t>*</w:t>
            </w:r>
          </w:p>
        </w:tc>
        <w:tc>
          <w:tcPr>
            <w:tcW w:w="788"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136,2±2,65</w:t>
            </w:r>
            <w:r w:rsidRPr="00051579">
              <w:rPr>
                <w:color w:val="000000"/>
                <w:sz w:val="20"/>
                <w:vertAlign w:val="superscript"/>
              </w:rPr>
              <w:t xml:space="preserve"> a</w:t>
            </w:r>
          </w:p>
        </w:tc>
        <w:tc>
          <w:tcPr>
            <w:tcW w:w="788"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139,83±0,32</w:t>
            </w:r>
            <w:r w:rsidRPr="00051579">
              <w:rPr>
                <w:color w:val="000000"/>
                <w:sz w:val="20"/>
                <w:vertAlign w:val="superscript"/>
              </w:rPr>
              <w:t xml:space="preserve"> b</w:t>
            </w:r>
          </w:p>
        </w:tc>
        <w:tc>
          <w:tcPr>
            <w:tcW w:w="787" w:type="pct"/>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155,23±1,87</w:t>
            </w:r>
            <w:r w:rsidRPr="00051579">
              <w:rPr>
                <w:color w:val="000000"/>
                <w:sz w:val="20"/>
                <w:vertAlign w:val="superscript"/>
              </w:rPr>
              <w:t xml:space="preserve"> c</w:t>
            </w:r>
            <w:r w:rsidR="001D29BE" w:rsidRPr="00051579">
              <w:rPr>
                <w:color w:val="000000"/>
                <w:sz w:val="20"/>
                <w:vertAlign w:val="superscript"/>
              </w:rPr>
              <w:t>*</w:t>
            </w:r>
          </w:p>
        </w:tc>
      </w:tr>
      <w:tr w:rsidR="00994ED2" w:rsidRPr="00994ED2" w:rsidTr="009B055A">
        <w:trPr>
          <w:trHeight w:val="160"/>
        </w:trPr>
        <w:tc>
          <w:tcPr>
            <w:tcW w:w="1061" w:type="pct"/>
            <w:tcBorders>
              <w:bottom w:val="single" w:sz="4" w:space="0" w:color="auto"/>
            </w:tcBorders>
            <w:shd w:val="clear" w:color="auto" w:fill="auto"/>
            <w:hideMark/>
          </w:tcPr>
          <w:p w:rsidR="00994ED2" w:rsidRPr="00051579" w:rsidRDefault="00994ED2" w:rsidP="00051579">
            <w:pPr>
              <w:spacing w:line="500" w:lineRule="atLeast"/>
              <w:ind w:firstLine="0"/>
              <w:jc w:val="center"/>
              <w:rPr>
                <w:sz w:val="16"/>
              </w:rPr>
            </w:pPr>
            <w:r w:rsidRPr="00051579">
              <w:rPr>
                <w:sz w:val="16"/>
              </w:rPr>
              <w:t>55 mM</w:t>
            </w:r>
          </w:p>
        </w:tc>
        <w:tc>
          <w:tcPr>
            <w:tcW w:w="788" w:type="pct"/>
            <w:tcBorders>
              <w:bottom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148,45±1,33</w:t>
            </w:r>
            <w:r w:rsidRPr="00051579">
              <w:rPr>
                <w:color w:val="000000"/>
                <w:sz w:val="20"/>
                <w:vertAlign w:val="superscript"/>
              </w:rPr>
              <w:t xml:space="preserve"> b</w:t>
            </w:r>
          </w:p>
        </w:tc>
        <w:tc>
          <w:tcPr>
            <w:tcW w:w="788" w:type="pct"/>
            <w:tcBorders>
              <w:bottom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154,33±5,35</w:t>
            </w:r>
            <w:r w:rsidRPr="00051579">
              <w:rPr>
                <w:color w:val="000000"/>
                <w:sz w:val="20"/>
                <w:vertAlign w:val="superscript"/>
              </w:rPr>
              <w:t xml:space="preserve"> c</w:t>
            </w:r>
            <w:r w:rsidR="001D29BE" w:rsidRPr="00051579">
              <w:rPr>
                <w:color w:val="000000"/>
                <w:sz w:val="20"/>
                <w:vertAlign w:val="superscript"/>
              </w:rPr>
              <w:t>*</w:t>
            </w:r>
          </w:p>
        </w:tc>
        <w:tc>
          <w:tcPr>
            <w:tcW w:w="788" w:type="pct"/>
            <w:tcBorders>
              <w:bottom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226,39±22,1</w:t>
            </w:r>
            <w:r w:rsidRPr="00051579">
              <w:rPr>
                <w:color w:val="000000"/>
                <w:sz w:val="20"/>
                <w:vertAlign w:val="superscript"/>
              </w:rPr>
              <w:t xml:space="preserve"> b</w:t>
            </w:r>
            <w:r w:rsidR="001D29BE" w:rsidRPr="00051579">
              <w:rPr>
                <w:color w:val="000000"/>
                <w:sz w:val="20"/>
                <w:vertAlign w:val="superscript"/>
              </w:rPr>
              <w:t>*</w:t>
            </w:r>
          </w:p>
        </w:tc>
        <w:tc>
          <w:tcPr>
            <w:tcW w:w="788" w:type="pct"/>
            <w:tcBorders>
              <w:bottom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228,07±0,52</w:t>
            </w:r>
            <w:r w:rsidRPr="00051579">
              <w:rPr>
                <w:color w:val="000000"/>
                <w:sz w:val="20"/>
                <w:vertAlign w:val="superscript"/>
              </w:rPr>
              <w:t xml:space="preserve"> c</w:t>
            </w:r>
            <w:r w:rsidR="001D29BE" w:rsidRPr="00051579">
              <w:rPr>
                <w:color w:val="000000"/>
                <w:sz w:val="20"/>
                <w:vertAlign w:val="superscript"/>
              </w:rPr>
              <w:t>*</w:t>
            </w:r>
          </w:p>
        </w:tc>
        <w:tc>
          <w:tcPr>
            <w:tcW w:w="787" w:type="pct"/>
            <w:tcBorders>
              <w:bottom w:val="single" w:sz="4" w:space="0" w:color="auto"/>
            </w:tcBorders>
            <w:shd w:val="clear" w:color="auto" w:fill="auto"/>
            <w:hideMark/>
          </w:tcPr>
          <w:p w:rsidR="00994ED2" w:rsidRPr="00051579" w:rsidRDefault="00994ED2" w:rsidP="00051579">
            <w:pPr>
              <w:spacing w:line="500" w:lineRule="atLeast"/>
              <w:ind w:firstLine="0"/>
              <w:jc w:val="center"/>
              <w:rPr>
                <w:color w:val="000000"/>
                <w:sz w:val="16"/>
              </w:rPr>
            </w:pPr>
            <w:r w:rsidRPr="00051579">
              <w:rPr>
                <w:color w:val="000000"/>
                <w:sz w:val="16"/>
              </w:rPr>
              <w:t>191,54±4,92</w:t>
            </w:r>
            <w:r w:rsidRPr="00051579">
              <w:rPr>
                <w:color w:val="000000"/>
                <w:sz w:val="20"/>
                <w:vertAlign w:val="superscript"/>
              </w:rPr>
              <w:t xml:space="preserve"> d</w:t>
            </w:r>
            <w:r w:rsidR="001D29BE" w:rsidRPr="00051579">
              <w:rPr>
                <w:color w:val="000000"/>
                <w:sz w:val="20"/>
                <w:vertAlign w:val="superscript"/>
              </w:rPr>
              <w:t>*</w:t>
            </w:r>
          </w:p>
        </w:tc>
      </w:tr>
      <w:tr w:rsidR="00051579" w:rsidRPr="00994ED2" w:rsidTr="009B055A">
        <w:trPr>
          <w:trHeight w:val="160"/>
        </w:trPr>
        <w:tc>
          <w:tcPr>
            <w:tcW w:w="1061" w:type="pct"/>
            <w:tcBorders>
              <w:top w:val="single" w:sz="4" w:space="0" w:color="auto"/>
            </w:tcBorders>
            <w:shd w:val="clear" w:color="auto" w:fill="auto"/>
          </w:tcPr>
          <w:p w:rsidR="00051579" w:rsidRPr="00051579" w:rsidRDefault="00051579" w:rsidP="00051579">
            <w:pPr>
              <w:spacing w:line="500" w:lineRule="atLeast"/>
              <w:ind w:firstLine="0"/>
              <w:jc w:val="center"/>
              <w:rPr>
                <w:sz w:val="16"/>
              </w:rPr>
            </w:pPr>
          </w:p>
        </w:tc>
        <w:tc>
          <w:tcPr>
            <w:tcW w:w="788" w:type="pct"/>
            <w:tcBorders>
              <w:top w:val="single" w:sz="4" w:space="0" w:color="auto"/>
            </w:tcBorders>
            <w:shd w:val="clear" w:color="auto" w:fill="auto"/>
          </w:tcPr>
          <w:p w:rsidR="00051579" w:rsidRPr="00051579" w:rsidRDefault="00051579" w:rsidP="00051579">
            <w:pPr>
              <w:spacing w:line="500" w:lineRule="atLeast"/>
              <w:ind w:firstLine="0"/>
              <w:jc w:val="center"/>
              <w:rPr>
                <w:color w:val="000000"/>
                <w:sz w:val="16"/>
              </w:rPr>
            </w:pPr>
          </w:p>
        </w:tc>
        <w:tc>
          <w:tcPr>
            <w:tcW w:w="788" w:type="pct"/>
            <w:tcBorders>
              <w:top w:val="single" w:sz="4" w:space="0" w:color="auto"/>
            </w:tcBorders>
            <w:shd w:val="clear" w:color="auto" w:fill="auto"/>
          </w:tcPr>
          <w:p w:rsidR="00051579" w:rsidRPr="00051579" w:rsidRDefault="00051579" w:rsidP="00051579">
            <w:pPr>
              <w:spacing w:line="500" w:lineRule="atLeast"/>
              <w:ind w:firstLine="0"/>
              <w:jc w:val="center"/>
              <w:rPr>
                <w:color w:val="000000"/>
                <w:sz w:val="16"/>
              </w:rPr>
            </w:pPr>
          </w:p>
        </w:tc>
        <w:tc>
          <w:tcPr>
            <w:tcW w:w="788" w:type="pct"/>
            <w:tcBorders>
              <w:top w:val="single" w:sz="4" w:space="0" w:color="auto"/>
            </w:tcBorders>
            <w:shd w:val="clear" w:color="auto" w:fill="auto"/>
          </w:tcPr>
          <w:p w:rsidR="00051579" w:rsidRPr="00051579" w:rsidRDefault="00051579" w:rsidP="00051579">
            <w:pPr>
              <w:spacing w:line="500" w:lineRule="atLeast"/>
              <w:ind w:firstLine="0"/>
              <w:jc w:val="center"/>
              <w:rPr>
                <w:color w:val="000000"/>
                <w:sz w:val="16"/>
              </w:rPr>
            </w:pPr>
          </w:p>
        </w:tc>
        <w:tc>
          <w:tcPr>
            <w:tcW w:w="788" w:type="pct"/>
            <w:tcBorders>
              <w:top w:val="single" w:sz="4" w:space="0" w:color="auto"/>
            </w:tcBorders>
            <w:shd w:val="clear" w:color="auto" w:fill="auto"/>
          </w:tcPr>
          <w:p w:rsidR="00051579" w:rsidRPr="00051579" w:rsidRDefault="00051579" w:rsidP="00051579">
            <w:pPr>
              <w:spacing w:line="500" w:lineRule="atLeast"/>
              <w:ind w:firstLine="0"/>
              <w:jc w:val="center"/>
              <w:rPr>
                <w:color w:val="000000"/>
                <w:sz w:val="16"/>
              </w:rPr>
            </w:pPr>
          </w:p>
        </w:tc>
        <w:tc>
          <w:tcPr>
            <w:tcW w:w="787" w:type="pct"/>
            <w:tcBorders>
              <w:top w:val="single" w:sz="4" w:space="0" w:color="auto"/>
            </w:tcBorders>
            <w:shd w:val="clear" w:color="auto" w:fill="auto"/>
          </w:tcPr>
          <w:p w:rsidR="00051579" w:rsidRPr="00051579" w:rsidRDefault="00051579" w:rsidP="00051579">
            <w:pPr>
              <w:spacing w:line="500" w:lineRule="atLeast"/>
              <w:ind w:firstLine="0"/>
              <w:jc w:val="center"/>
              <w:rPr>
                <w:color w:val="000000"/>
                <w:sz w:val="16"/>
              </w:rPr>
            </w:pPr>
          </w:p>
        </w:tc>
      </w:tr>
    </w:tbl>
    <w:p w:rsidR="002B3673" w:rsidRPr="00051579" w:rsidRDefault="002B3673" w:rsidP="00051579">
      <w:pPr>
        <w:ind w:firstLine="0"/>
        <w:rPr>
          <w:rFonts w:cs="Times New Roman"/>
          <w:sz w:val="18"/>
        </w:rPr>
      </w:pPr>
      <w:r w:rsidRPr="00051579">
        <w:rPr>
          <w:rFonts w:cs="Times New Roman"/>
          <w:sz w:val="18"/>
        </w:rPr>
        <w:t xml:space="preserve">(Yüzde Canlılık = [ABS ortalama (her bir örnek) / ABS ortalama (kontrol)] x 100)  </w:t>
      </w:r>
    </w:p>
    <w:p w:rsidR="002B3673" w:rsidRPr="00051579" w:rsidRDefault="002B3673" w:rsidP="00051579">
      <w:pPr>
        <w:ind w:firstLine="0"/>
        <w:rPr>
          <w:rFonts w:cs="Times New Roman"/>
          <w:sz w:val="18"/>
        </w:rPr>
      </w:pPr>
      <w:r w:rsidRPr="00051579">
        <w:rPr>
          <w:rFonts w:cs="Times New Roman"/>
          <w:sz w:val="18"/>
        </w:rPr>
        <w:t>Aynı sütunda farklı harfleri taşıyan ortalamalar arasındaki fark P&lt;0,05 düzeyinde istatiksel olarak önemlidir.</w:t>
      </w:r>
    </w:p>
    <w:p w:rsidR="002B3673" w:rsidRPr="00051579" w:rsidRDefault="007108FE" w:rsidP="00051579">
      <w:pPr>
        <w:ind w:firstLine="0"/>
        <w:rPr>
          <w:rFonts w:cs="Times New Roman"/>
          <w:sz w:val="18"/>
        </w:rPr>
      </w:pPr>
      <w:r w:rsidRPr="00051579">
        <w:rPr>
          <w:rFonts w:cs="Times New Roman"/>
          <w:sz w:val="18"/>
        </w:rPr>
        <w:t>(</w:t>
      </w:r>
      <w:r w:rsidRPr="00051579">
        <w:rPr>
          <w:rFonts w:cs="Times New Roman"/>
          <w:color w:val="000000"/>
          <w:sz w:val="18"/>
          <w:vertAlign w:val="superscript"/>
        </w:rPr>
        <w:t>*</w:t>
      </w:r>
      <w:r w:rsidRPr="00051579">
        <w:rPr>
          <w:rFonts w:cs="Times New Roman"/>
          <w:color w:val="000000"/>
          <w:sz w:val="18"/>
        </w:rPr>
        <w:t>Kontrole göre p&lt;0,001</w:t>
      </w:r>
      <w:r w:rsidRPr="00051579">
        <w:rPr>
          <w:rFonts w:cs="Times New Roman"/>
          <w:sz w:val="18"/>
        </w:rPr>
        <w:t xml:space="preserve"> düzeyinde anlamlı).</w:t>
      </w:r>
    </w:p>
    <w:p w:rsidR="00972ABE" w:rsidRPr="007108FE" w:rsidRDefault="00972ABE" w:rsidP="007108FE">
      <w:pPr>
        <w:ind w:firstLine="0"/>
        <w:jc w:val="left"/>
        <w:rPr>
          <w:rFonts w:cs="Times New Roman"/>
          <w:sz w:val="20"/>
        </w:rPr>
      </w:pPr>
    </w:p>
    <w:p w:rsidR="002B3673" w:rsidRDefault="002B3673" w:rsidP="002B3673">
      <w:pPr>
        <w:rPr>
          <w:sz w:val="20"/>
        </w:rPr>
      </w:pPr>
    </w:p>
    <w:p w:rsidR="002B3673" w:rsidRDefault="002B3673" w:rsidP="00B80794">
      <w:pPr>
        <w:pStyle w:val="AltKonuBal"/>
      </w:pPr>
      <w:r w:rsidRPr="00FB7E53">
        <w:rPr>
          <w:noProof/>
          <w:lang w:eastAsia="tr-TR"/>
        </w:rPr>
        <w:drawing>
          <wp:inline distT="0" distB="0" distL="0" distR="0">
            <wp:extent cx="4536000" cy="2736000"/>
            <wp:effectExtent l="0" t="0" r="0" b="0"/>
            <wp:docPr id="5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B3673" w:rsidRDefault="00D450D5" w:rsidP="002B3673">
      <w:pPr>
        <w:rPr>
          <w:rFonts w:cs="Times New Roman"/>
          <w:color w:val="000000"/>
          <w:szCs w:val="24"/>
        </w:rPr>
      </w:pPr>
      <w:r>
        <w:rPr>
          <w:rFonts w:cs="Times New Roman"/>
          <w:b/>
          <w:color w:val="000000"/>
          <w:szCs w:val="24"/>
        </w:rPr>
        <w:t>Şekil 25</w:t>
      </w:r>
      <w:r w:rsidR="002B3673" w:rsidRPr="00A10993">
        <w:rPr>
          <w:rFonts w:cs="Times New Roman"/>
          <w:b/>
          <w:color w:val="000000"/>
          <w:szCs w:val="24"/>
        </w:rPr>
        <w:t>.</w:t>
      </w:r>
      <w:r w:rsidR="002B3673" w:rsidRPr="00EF6984">
        <w:rPr>
          <w:rFonts w:cs="Times New Roman"/>
          <w:color w:val="000000"/>
          <w:szCs w:val="24"/>
        </w:rPr>
        <w:t xml:space="preserve"> MCF-7 kanser hücrelerinin (5x10</w:t>
      </w:r>
      <w:r w:rsidR="002B3673" w:rsidRPr="00EF6984">
        <w:rPr>
          <w:rFonts w:cs="Times New Roman"/>
          <w:color w:val="000000"/>
          <w:szCs w:val="24"/>
          <w:vertAlign w:val="superscript"/>
        </w:rPr>
        <w:t>3</w:t>
      </w:r>
      <w:r w:rsidR="002B3673" w:rsidRPr="00EF6984">
        <w:rPr>
          <w:rFonts w:cs="Times New Roman"/>
          <w:color w:val="000000"/>
          <w:szCs w:val="24"/>
        </w:rPr>
        <w:t xml:space="preserve"> hücre/kuyu) </w:t>
      </w:r>
      <w:r w:rsidR="002B3673">
        <w:rPr>
          <w:rFonts w:cs="Times New Roman"/>
          <w:color w:val="000000"/>
          <w:szCs w:val="24"/>
        </w:rPr>
        <w:t>hipoksi</w:t>
      </w:r>
      <w:r w:rsidR="002B3673" w:rsidRPr="00EF6984">
        <w:rPr>
          <w:rFonts w:cs="Times New Roman"/>
          <w:color w:val="000000"/>
          <w:szCs w:val="24"/>
        </w:rPr>
        <w:t xml:space="preserve"> altında glukozun farklı </w:t>
      </w:r>
      <w:proofErr w:type="gramStart"/>
      <w:r w:rsidR="002B3673" w:rsidRPr="00EF6984">
        <w:rPr>
          <w:rFonts w:cs="Times New Roman"/>
          <w:color w:val="000000"/>
          <w:szCs w:val="24"/>
        </w:rPr>
        <w:t>konsantrasyonlu</w:t>
      </w:r>
      <w:proofErr w:type="gramEnd"/>
      <w:r w:rsidR="002B3673" w:rsidRPr="00EF6984">
        <w:rPr>
          <w:rFonts w:cs="Times New Roman"/>
          <w:color w:val="000000"/>
          <w:szCs w:val="24"/>
        </w:rPr>
        <w:t xml:space="preserve"> </w:t>
      </w:r>
      <w:r w:rsidR="002B3673">
        <w:rPr>
          <w:rFonts w:cs="Times New Roman"/>
          <w:color w:val="000000"/>
          <w:szCs w:val="24"/>
        </w:rPr>
        <w:t>uygulama gruplarında 3, 6, 12,</w:t>
      </w:r>
      <w:r w:rsidR="002B3673" w:rsidRPr="00EF6984">
        <w:rPr>
          <w:rFonts w:cs="Times New Roman"/>
          <w:color w:val="000000"/>
          <w:szCs w:val="24"/>
        </w:rPr>
        <w:t xml:space="preserve"> 24</w:t>
      </w:r>
      <w:r w:rsidR="002B3673">
        <w:rPr>
          <w:rFonts w:cs="Times New Roman"/>
          <w:color w:val="000000"/>
          <w:szCs w:val="24"/>
        </w:rPr>
        <w:t xml:space="preserve"> ve 48</w:t>
      </w:r>
      <w:r w:rsidR="002B3673" w:rsidRPr="00EF6984">
        <w:rPr>
          <w:rFonts w:cs="Times New Roman"/>
          <w:color w:val="000000"/>
          <w:szCs w:val="24"/>
        </w:rPr>
        <w:t xml:space="preserve"> saat inkübasyonu sonucu elde edilen </w:t>
      </w:r>
      <w:r w:rsidR="002B3673">
        <w:rPr>
          <w:rFonts w:cs="Times New Roman"/>
          <w:color w:val="000000"/>
          <w:szCs w:val="24"/>
        </w:rPr>
        <w:t>%</w:t>
      </w:r>
      <w:r w:rsidR="002B3673" w:rsidRPr="00EF6984">
        <w:rPr>
          <w:rFonts w:cs="Times New Roman"/>
          <w:color w:val="000000"/>
          <w:szCs w:val="24"/>
        </w:rPr>
        <w:t xml:space="preserve"> canlılık oranları.</w:t>
      </w:r>
    </w:p>
    <w:p w:rsidR="00DA7323" w:rsidRDefault="00DA7323" w:rsidP="002B3673">
      <w:pPr>
        <w:rPr>
          <w:rFonts w:cs="Times New Roman"/>
          <w:color w:val="000000"/>
          <w:szCs w:val="24"/>
        </w:rPr>
      </w:pPr>
    </w:p>
    <w:p w:rsidR="009E3BDC" w:rsidRDefault="009E3BDC" w:rsidP="002B3673">
      <w:pPr>
        <w:rPr>
          <w:rFonts w:cs="Times New Roman"/>
          <w:color w:val="000000"/>
          <w:szCs w:val="24"/>
        </w:rPr>
      </w:pPr>
    </w:p>
    <w:p w:rsidR="002B3673" w:rsidRDefault="002B3673" w:rsidP="002B3673">
      <w:pPr>
        <w:rPr>
          <w:rFonts w:cs="Times New Roman"/>
          <w:b/>
          <w:szCs w:val="24"/>
        </w:rPr>
      </w:pPr>
    </w:p>
    <w:p w:rsidR="002B3673" w:rsidRDefault="002B3673" w:rsidP="00F9643B">
      <w:pPr>
        <w:pStyle w:val="Balk2"/>
      </w:pPr>
      <w:r w:rsidRPr="00EE6E59">
        <w:lastRenderedPageBreak/>
        <w:t>4.</w:t>
      </w:r>
      <w:r w:rsidR="00A93050">
        <w:t>3</w:t>
      </w:r>
      <w:r w:rsidR="00861AA3">
        <w:t>.</w:t>
      </w:r>
      <w:r w:rsidRPr="00EE6E59">
        <w:t xml:space="preserve"> </w:t>
      </w:r>
      <w:r>
        <w:t>Enzim Miktarlarının</w:t>
      </w:r>
      <w:r w:rsidRPr="00EE6E59">
        <w:t xml:space="preserve"> Değerlendirilmesi</w:t>
      </w:r>
    </w:p>
    <w:p w:rsidR="002B3673" w:rsidRPr="00EE6E59" w:rsidRDefault="002B3673" w:rsidP="002B3673">
      <w:pPr>
        <w:rPr>
          <w:rFonts w:cs="Times New Roman"/>
          <w:b/>
          <w:szCs w:val="24"/>
        </w:rPr>
      </w:pPr>
    </w:p>
    <w:p w:rsidR="002B3673" w:rsidRPr="00EE6E59" w:rsidRDefault="002B3673" w:rsidP="002B3673">
      <w:pPr>
        <w:rPr>
          <w:rFonts w:eastAsia="Times New Roman" w:cs="Times New Roman"/>
          <w:szCs w:val="24"/>
          <w:lang w:eastAsia="tr-TR"/>
        </w:rPr>
      </w:pPr>
      <w:r w:rsidRPr="00EE6E59">
        <w:rPr>
          <w:rFonts w:cs="Times New Roman"/>
        </w:rPr>
        <w:t>Farklı gl</w:t>
      </w:r>
      <w:r>
        <w:rPr>
          <w:rFonts w:cs="Times New Roman"/>
        </w:rPr>
        <w:t>u</w:t>
      </w:r>
      <w:r w:rsidRPr="00EE6E59">
        <w:rPr>
          <w:rFonts w:cs="Times New Roman"/>
        </w:rPr>
        <w:t>koz konsantrasyonları ile muamele edilen normoksik ve hipoksik ortamdaki MCF-7 hücrelerinin belli inkübasyon süreleri sonunda kültür ortamına salgılamış olduğu glikolitik enzimlerin</w:t>
      </w:r>
      <w:r>
        <w:rPr>
          <w:rFonts w:cs="Times New Roman"/>
        </w:rPr>
        <w:t xml:space="preserve"> (HK2, PFK</w:t>
      </w:r>
      <w:r w:rsidR="00E36F38">
        <w:rPr>
          <w:rFonts w:cs="Times New Roman"/>
        </w:rPr>
        <w:t>P</w:t>
      </w:r>
      <w:r w:rsidRPr="00EE6E59">
        <w:rPr>
          <w:rFonts w:cs="Times New Roman"/>
        </w:rPr>
        <w:t xml:space="preserve">, LDHA, G6PD ve PKM2) varlığı ve </w:t>
      </w:r>
      <w:proofErr w:type="gramStart"/>
      <w:r w:rsidRPr="00EE6E59">
        <w:rPr>
          <w:rFonts w:cs="Times New Roman"/>
        </w:rPr>
        <w:t xml:space="preserve">miktarı  </w:t>
      </w:r>
      <w:r w:rsidRPr="00EE6E59">
        <w:rPr>
          <w:rFonts w:eastAsia="Times New Roman" w:cs="Times New Roman"/>
          <w:szCs w:val="24"/>
          <w:lang w:eastAsia="tr-TR"/>
        </w:rPr>
        <w:t>ELISA</w:t>
      </w:r>
      <w:proofErr w:type="gramEnd"/>
      <w:r w:rsidRPr="00EE6E59">
        <w:rPr>
          <w:rFonts w:eastAsia="Times New Roman" w:cs="Times New Roman"/>
          <w:szCs w:val="24"/>
          <w:lang w:eastAsia="tr-TR"/>
        </w:rPr>
        <w:t xml:space="preserve"> (Enzyme-linked immunosorbent assay) yöntemi ile tayin edildi. </w:t>
      </w:r>
    </w:p>
    <w:p w:rsidR="002B3673" w:rsidRPr="00F9643B" w:rsidRDefault="002B3673" w:rsidP="002B3673">
      <w:pPr>
        <w:pStyle w:val="NormalWeb"/>
        <w:spacing w:line="360" w:lineRule="auto"/>
        <w:jc w:val="both"/>
        <w:rPr>
          <w:rFonts w:eastAsiaTheme="minorHAnsi"/>
          <w:sz w:val="24"/>
          <w:szCs w:val="24"/>
          <w:lang w:eastAsia="en-US"/>
        </w:rPr>
      </w:pPr>
      <w:r w:rsidRPr="00F9643B">
        <w:rPr>
          <w:rFonts w:eastAsiaTheme="minorHAnsi"/>
          <w:sz w:val="24"/>
          <w:szCs w:val="24"/>
          <w:lang w:eastAsia="en-US"/>
        </w:rPr>
        <w:t>Uygulama gruplarında elde edilen verilerin istatistiki olarak karşılaştırılması 2 farklı aşamada değerlendirildi:</w:t>
      </w:r>
    </w:p>
    <w:p w:rsidR="002B3673" w:rsidRPr="00F9643B" w:rsidRDefault="002B3673" w:rsidP="002B3673">
      <w:pPr>
        <w:pStyle w:val="NormalWeb"/>
        <w:spacing w:line="360" w:lineRule="auto"/>
        <w:jc w:val="both"/>
        <w:rPr>
          <w:rFonts w:eastAsiaTheme="minorHAnsi"/>
          <w:sz w:val="24"/>
          <w:szCs w:val="24"/>
          <w:lang w:eastAsia="en-US"/>
        </w:rPr>
      </w:pPr>
      <w:r w:rsidRPr="00F9643B">
        <w:rPr>
          <w:rFonts w:eastAsiaTheme="minorHAnsi"/>
          <w:sz w:val="24"/>
          <w:szCs w:val="24"/>
          <w:lang w:eastAsia="en-US"/>
        </w:rPr>
        <w:t>1.</w:t>
      </w:r>
      <w:proofErr w:type="gramStart"/>
      <w:r w:rsidRPr="00F9643B">
        <w:rPr>
          <w:rFonts w:eastAsiaTheme="minorHAnsi"/>
          <w:sz w:val="24"/>
          <w:szCs w:val="24"/>
          <w:lang w:eastAsia="en-US"/>
        </w:rPr>
        <w:t>Enzim  miktarlarının</w:t>
      </w:r>
      <w:proofErr w:type="gramEnd"/>
      <w:r w:rsidRPr="00F9643B">
        <w:rPr>
          <w:rFonts w:eastAsiaTheme="minorHAnsi"/>
          <w:sz w:val="24"/>
          <w:szCs w:val="24"/>
          <w:lang w:eastAsia="en-US"/>
        </w:rPr>
        <w:t xml:space="preserve"> zamana ve glukoz konsantrasyonuna bağlı olarak değişiminin karşılaştırılması</w:t>
      </w:r>
    </w:p>
    <w:p w:rsidR="002B3673" w:rsidRDefault="002B3673" w:rsidP="002B3673">
      <w:pPr>
        <w:pStyle w:val="NormalWeb"/>
        <w:spacing w:line="360" w:lineRule="auto"/>
        <w:jc w:val="both"/>
        <w:rPr>
          <w:rFonts w:eastAsiaTheme="minorHAnsi"/>
          <w:sz w:val="24"/>
          <w:szCs w:val="24"/>
          <w:lang w:eastAsia="en-US"/>
        </w:rPr>
      </w:pPr>
      <w:r w:rsidRPr="00F9643B">
        <w:rPr>
          <w:rFonts w:eastAsiaTheme="minorHAnsi"/>
          <w:sz w:val="24"/>
          <w:szCs w:val="24"/>
          <w:lang w:eastAsia="en-US"/>
        </w:rPr>
        <w:t xml:space="preserve">2.Normoksi ve </w:t>
      </w:r>
      <w:r w:rsidR="00051579">
        <w:rPr>
          <w:rFonts w:eastAsiaTheme="minorHAnsi"/>
          <w:sz w:val="24"/>
          <w:szCs w:val="24"/>
          <w:lang w:eastAsia="en-US"/>
        </w:rPr>
        <w:t>h</w:t>
      </w:r>
      <w:r w:rsidRPr="00F9643B">
        <w:rPr>
          <w:rFonts w:eastAsiaTheme="minorHAnsi"/>
          <w:sz w:val="24"/>
          <w:szCs w:val="24"/>
          <w:lang w:eastAsia="en-US"/>
        </w:rPr>
        <w:t>ipoksi sonuçlarının karşılaştırılması</w:t>
      </w:r>
    </w:p>
    <w:p w:rsidR="00F9643B" w:rsidRPr="00F9643B" w:rsidRDefault="00F9643B" w:rsidP="002B3673">
      <w:pPr>
        <w:pStyle w:val="NormalWeb"/>
        <w:spacing w:line="360" w:lineRule="auto"/>
        <w:jc w:val="both"/>
        <w:rPr>
          <w:rFonts w:eastAsiaTheme="minorHAnsi"/>
          <w:sz w:val="24"/>
          <w:szCs w:val="24"/>
          <w:lang w:eastAsia="en-US"/>
        </w:rPr>
      </w:pPr>
    </w:p>
    <w:p w:rsidR="002B3673" w:rsidRDefault="002B3673" w:rsidP="002B3673">
      <w:pPr>
        <w:pStyle w:val="NormalWeb"/>
        <w:spacing w:line="360" w:lineRule="auto"/>
        <w:jc w:val="both"/>
        <w:rPr>
          <w:rFonts w:eastAsiaTheme="minorHAnsi"/>
          <w:szCs w:val="22"/>
          <w:lang w:eastAsia="en-US"/>
        </w:rPr>
      </w:pPr>
    </w:p>
    <w:p w:rsidR="002B3673" w:rsidRDefault="002B3673" w:rsidP="00F9643B">
      <w:pPr>
        <w:pStyle w:val="Balk2"/>
        <w:rPr>
          <w:rFonts w:eastAsia="Times New Roman"/>
          <w:lang w:eastAsia="tr-TR"/>
        </w:rPr>
      </w:pPr>
      <w:r w:rsidRPr="00410148">
        <w:rPr>
          <w:rFonts w:eastAsia="Times New Roman"/>
          <w:lang w:eastAsia="tr-TR"/>
        </w:rPr>
        <w:t>4.</w:t>
      </w:r>
      <w:r w:rsidR="00A93050">
        <w:rPr>
          <w:rFonts w:eastAsia="Times New Roman"/>
          <w:lang w:eastAsia="tr-TR"/>
        </w:rPr>
        <w:t>3</w:t>
      </w:r>
      <w:r w:rsidRPr="00410148">
        <w:rPr>
          <w:rFonts w:eastAsia="Times New Roman"/>
          <w:lang w:eastAsia="tr-TR"/>
        </w:rPr>
        <w:t>.1</w:t>
      </w:r>
      <w:r w:rsidR="00861AA3">
        <w:rPr>
          <w:rFonts w:eastAsia="Times New Roman"/>
          <w:lang w:eastAsia="tr-TR"/>
        </w:rPr>
        <w:t>.</w:t>
      </w:r>
      <w:r w:rsidRPr="00410148">
        <w:rPr>
          <w:rFonts w:eastAsia="Times New Roman"/>
          <w:lang w:eastAsia="tr-TR"/>
        </w:rPr>
        <w:t xml:space="preserve"> ELISA Yönteminden Elde Edilen PKM2 </w:t>
      </w:r>
      <w:r w:rsidRPr="00F9643B">
        <w:rPr>
          <w:szCs w:val="24"/>
        </w:rPr>
        <w:t>Sonuçları</w:t>
      </w:r>
    </w:p>
    <w:p w:rsidR="002B3673" w:rsidRDefault="002B3673" w:rsidP="002B3673">
      <w:pPr>
        <w:rPr>
          <w:rFonts w:eastAsia="Times New Roman"/>
          <w:b/>
          <w:szCs w:val="24"/>
          <w:lang w:eastAsia="tr-TR"/>
        </w:rPr>
      </w:pPr>
    </w:p>
    <w:p w:rsidR="002B3673" w:rsidRDefault="002B3673" w:rsidP="00F9643B">
      <w:pPr>
        <w:pStyle w:val="Balk2"/>
        <w:rPr>
          <w:rFonts w:eastAsia="Times New Roman"/>
          <w:lang w:eastAsia="tr-TR"/>
        </w:rPr>
      </w:pPr>
      <w:r>
        <w:rPr>
          <w:rFonts w:eastAsia="Times New Roman"/>
          <w:lang w:eastAsia="tr-TR"/>
        </w:rPr>
        <w:t>4.</w:t>
      </w:r>
      <w:r w:rsidR="00A93050">
        <w:rPr>
          <w:rFonts w:eastAsia="Times New Roman"/>
          <w:lang w:eastAsia="tr-TR"/>
        </w:rPr>
        <w:t>3</w:t>
      </w:r>
      <w:r>
        <w:rPr>
          <w:rFonts w:eastAsia="Times New Roman"/>
          <w:lang w:eastAsia="tr-TR"/>
        </w:rPr>
        <w:t>.1.1</w:t>
      </w:r>
      <w:r w:rsidR="00861AA3">
        <w:rPr>
          <w:rFonts w:eastAsia="Times New Roman"/>
          <w:lang w:eastAsia="tr-TR"/>
        </w:rPr>
        <w:t>.</w:t>
      </w:r>
      <w:r>
        <w:rPr>
          <w:rFonts w:eastAsia="Times New Roman"/>
          <w:lang w:eastAsia="tr-TR"/>
        </w:rPr>
        <w:t xml:space="preserve"> PKM2 </w:t>
      </w:r>
      <w:r w:rsidR="006B7302">
        <w:rPr>
          <w:rFonts w:eastAsia="Times New Roman"/>
          <w:lang w:eastAsia="tr-TR"/>
        </w:rPr>
        <w:t>enzim m</w:t>
      </w:r>
      <w:r>
        <w:rPr>
          <w:rFonts w:eastAsia="Times New Roman"/>
          <w:lang w:eastAsia="tr-TR"/>
        </w:rPr>
        <w:t xml:space="preserve">iktarının </w:t>
      </w:r>
      <w:r w:rsidR="006B7302">
        <w:rPr>
          <w:rFonts w:eastAsia="Times New Roman"/>
          <w:lang w:eastAsia="tr-TR"/>
        </w:rPr>
        <w:t>z</w:t>
      </w:r>
      <w:r w:rsidRPr="00F9643B">
        <w:rPr>
          <w:szCs w:val="24"/>
        </w:rPr>
        <w:t>amana</w:t>
      </w:r>
      <w:r>
        <w:rPr>
          <w:rFonts w:eastAsia="Times New Roman"/>
          <w:lang w:eastAsia="tr-TR"/>
        </w:rPr>
        <w:t xml:space="preserve"> ve </w:t>
      </w:r>
      <w:proofErr w:type="gramStart"/>
      <w:r w:rsidR="006B7302">
        <w:rPr>
          <w:rFonts w:eastAsia="Times New Roman"/>
          <w:lang w:eastAsia="tr-TR"/>
        </w:rPr>
        <w:t>k</w:t>
      </w:r>
      <w:r>
        <w:rPr>
          <w:rFonts w:eastAsia="Times New Roman"/>
          <w:lang w:eastAsia="tr-TR"/>
        </w:rPr>
        <w:t>onsantrasyona</w:t>
      </w:r>
      <w:proofErr w:type="gramEnd"/>
      <w:r>
        <w:rPr>
          <w:rFonts w:eastAsia="Times New Roman"/>
          <w:lang w:eastAsia="tr-TR"/>
        </w:rPr>
        <w:t xml:space="preserve"> </w:t>
      </w:r>
      <w:r w:rsidR="006B7302">
        <w:rPr>
          <w:rFonts w:eastAsia="Times New Roman"/>
          <w:lang w:eastAsia="tr-TR"/>
        </w:rPr>
        <w:t>b</w:t>
      </w:r>
      <w:r>
        <w:rPr>
          <w:rFonts w:eastAsia="Times New Roman"/>
          <w:lang w:eastAsia="tr-TR"/>
        </w:rPr>
        <w:t xml:space="preserve">ağlı </w:t>
      </w:r>
      <w:r w:rsidR="006B7302">
        <w:rPr>
          <w:rFonts w:eastAsia="Times New Roman"/>
          <w:lang w:eastAsia="tr-TR"/>
        </w:rPr>
        <w:t>d</w:t>
      </w:r>
      <w:r>
        <w:rPr>
          <w:rFonts w:eastAsia="Times New Roman"/>
          <w:lang w:eastAsia="tr-TR"/>
        </w:rPr>
        <w:t>eğişimi</w:t>
      </w:r>
    </w:p>
    <w:p w:rsidR="002B3673" w:rsidRDefault="002B3673" w:rsidP="002B3673">
      <w:pPr>
        <w:rPr>
          <w:rFonts w:eastAsia="Times New Roman"/>
          <w:b/>
          <w:szCs w:val="24"/>
          <w:lang w:eastAsia="tr-TR"/>
        </w:rPr>
      </w:pPr>
    </w:p>
    <w:p w:rsidR="002B3673" w:rsidRDefault="002B3673" w:rsidP="002B3673">
      <w:pPr>
        <w:rPr>
          <w:rFonts w:cs="Times New Roman"/>
        </w:rPr>
      </w:pPr>
      <w:r w:rsidRPr="00BA37BB">
        <w:rPr>
          <w:rFonts w:cs="Times New Roman"/>
        </w:rPr>
        <w:t>Normoksik ve hipoksik koşullarda glukozun farklı dozlarına maruz bırakılan MCF-7 meme kanser hücre hattı gruplar</w:t>
      </w:r>
      <w:r>
        <w:rPr>
          <w:rFonts w:cs="Times New Roman"/>
        </w:rPr>
        <w:t xml:space="preserve">ında uygulama saatlerine ve glukoz </w:t>
      </w:r>
      <w:proofErr w:type="gramStart"/>
      <w:r>
        <w:rPr>
          <w:rFonts w:cs="Times New Roman"/>
        </w:rPr>
        <w:t>konsantrasyonuna</w:t>
      </w:r>
      <w:proofErr w:type="gramEnd"/>
      <w:r>
        <w:rPr>
          <w:rFonts w:cs="Times New Roman"/>
        </w:rPr>
        <w:t xml:space="preserve"> bağlı olarak PKM2 </w:t>
      </w:r>
      <w:r w:rsidRPr="00BA37BB">
        <w:rPr>
          <w:rFonts w:cs="Times New Roman"/>
        </w:rPr>
        <w:t>düzeyle</w:t>
      </w:r>
      <w:r>
        <w:rPr>
          <w:rFonts w:cs="Times New Roman"/>
        </w:rPr>
        <w:t xml:space="preserve">rinin </w:t>
      </w:r>
      <w:r w:rsidR="009E7ACA">
        <w:rPr>
          <w:rFonts w:cs="Times New Roman"/>
        </w:rPr>
        <w:t xml:space="preserve">(ng/mL) </w:t>
      </w:r>
      <w:r>
        <w:rPr>
          <w:rFonts w:cs="Times New Roman"/>
        </w:rPr>
        <w:t>nası</w:t>
      </w:r>
      <w:r w:rsidR="00D450D5">
        <w:rPr>
          <w:rFonts w:cs="Times New Roman"/>
        </w:rPr>
        <w:t>l değiştiği incelendi (Tablo 8</w:t>
      </w:r>
      <w:r>
        <w:rPr>
          <w:rFonts w:cs="Times New Roman"/>
        </w:rPr>
        <w:t>)</w:t>
      </w:r>
      <w:r w:rsidR="00897312">
        <w:rPr>
          <w:rFonts w:cs="Times New Roman"/>
        </w:rPr>
        <w:t>.</w:t>
      </w:r>
    </w:p>
    <w:p w:rsidR="002B3673" w:rsidRDefault="002B3673" w:rsidP="002B3673">
      <w:pPr>
        <w:rPr>
          <w:rFonts w:cs="Times New Roman"/>
        </w:rPr>
      </w:pPr>
    </w:p>
    <w:p w:rsidR="002B3673" w:rsidRDefault="00D450D5" w:rsidP="00F9643B">
      <w:pPr>
        <w:ind w:firstLine="0"/>
        <w:rPr>
          <w:rFonts w:cs="Times New Roman"/>
          <w:color w:val="000000"/>
          <w:szCs w:val="24"/>
        </w:rPr>
      </w:pPr>
      <w:r>
        <w:rPr>
          <w:rFonts w:cs="Times New Roman"/>
          <w:b/>
        </w:rPr>
        <w:t>Tablo 8</w:t>
      </w:r>
      <w:r w:rsidR="002B3673" w:rsidRPr="00A10993">
        <w:rPr>
          <w:rFonts w:cs="Times New Roman"/>
          <w:b/>
        </w:rPr>
        <w:t>.</w:t>
      </w:r>
      <w:r w:rsidR="002B3673">
        <w:rPr>
          <w:rFonts w:cs="Times New Roman"/>
        </w:rPr>
        <w:t xml:space="preserve"> Normoksik ve </w:t>
      </w:r>
      <w:r w:rsidR="002B3673">
        <w:rPr>
          <w:rFonts w:cs="Times New Roman"/>
          <w:color w:val="000000"/>
          <w:szCs w:val="24"/>
        </w:rPr>
        <w:t xml:space="preserve">hipoksik ortamda glukozun farklı konsantrasyonlu uygulama </w:t>
      </w:r>
      <w:proofErr w:type="gramStart"/>
      <w:r w:rsidR="002B3673">
        <w:rPr>
          <w:rFonts w:cs="Times New Roman"/>
          <w:color w:val="000000"/>
          <w:szCs w:val="24"/>
        </w:rPr>
        <w:t>gruplarında  6</w:t>
      </w:r>
      <w:proofErr w:type="gramEnd"/>
      <w:r w:rsidR="002B3673">
        <w:rPr>
          <w:rFonts w:cs="Times New Roman"/>
          <w:color w:val="000000"/>
          <w:szCs w:val="24"/>
        </w:rPr>
        <w:t>, 12, 24 ve 48 saat inkübasyonu sonucu elde edilen PKM2 enzim miktarları ve standart hata değerleri.</w:t>
      </w:r>
    </w:p>
    <w:tbl>
      <w:tblPr>
        <w:tblStyle w:val="TabloKlavuzu2"/>
        <w:tblW w:w="8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749"/>
        <w:gridCol w:w="1878"/>
        <w:gridCol w:w="1559"/>
        <w:gridCol w:w="1470"/>
      </w:tblGrid>
      <w:tr w:rsidR="00994ED2" w:rsidRPr="00994ED2" w:rsidTr="00324B03">
        <w:trPr>
          <w:trHeight w:val="290"/>
        </w:trPr>
        <w:tc>
          <w:tcPr>
            <w:tcW w:w="2201" w:type="dxa"/>
            <w:tcBorders>
              <w:top w:val="single" w:sz="4" w:space="0" w:color="auto"/>
              <w:bottom w:val="single" w:sz="4" w:space="0" w:color="auto"/>
            </w:tcBorders>
            <w:noWrap/>
            <w:hideMark/>
          </w:tcPr>
          <w:p w:rsidR="00994ED2" w:rsidRPr="00085ACF" w:rsidRDefault="00994ED2" w:rsidP="00994ED2">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N</w:t>
            </w:r>
            <w:r w:rsidR="002B50FC" w:rsidRPr="00085ACF">
              <w:rPr>
                <w:rFonts w:eastAsia="Times New Roman"/>
                <w:b/>
                <w:iCs/>
                <w:color w:val="000000"/>
                <w:sz w:val="20"/>
                <w:lang w:eastAsia="tr-TR"/>
              </w:rPr>
              <w:t>ormoksi</w:t>
            </w:r>
          </w:p>
        </w:tc>
        <w:tc>
          <w:tcPr>
            <w:tcW w:w="1749" w:type="dxa"/>
            <w:tcBorders>
              <w:top w:val="single" w:sz="4" w:space="0" w:color="auto"/>
              <w:bottom w:val="single" w:sz="4" w:space="0" w:color="auto"/>
            </w:tcBorders>
            <w:noWrap/>
            <w:hideMark/>
          </w:tcPr>
          <w:p w:rsidR="00994ED2" w:rsidRPr="00085ACF" w:rsidRDefault="00994ED2" w:rsidP="009943B4">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6.S</w:t>
            </w:r>
            <w:r w:rsidR="002B50FC" w:rsidRPr="00085ACF">
              <w:rPr>
                <w:rFonts w:eastAsia="Times New Roman"/>
                <w:b/>
                <w:iCs/>
                <w:color w:val="000000"/>
                <w:sz w:val="20"/>
                <w:lang w:eastAsia="tr-TR"/>
              </w:rPr>
              <w:t>aat</w:t>
            </w:r>
          </w:p>
        </w:tc>
        <w:tc>
          <w:tcPr>
            <w:tcW w:w="1878" w:type="dxa"/>
            <w:tcBorders>
              <w:top w:val="single" w:sz="4" w:space="0" w:color="auto"/>
              <w:bottom w:val="single" w:sz="4" w:space="0" w:color="auto"/>
            </w:tcBorders>
            <w:noWrap/>
            <w:hideMark/>
          </w:tcPr>
          <w:p w:rsidR="00994ED2" w:rsidRPr="00085ACF" w:rsidRDefault="00994ED2" w:rsidP="009943B4">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12.S</w:t>
            </w:r>
            <w:r w:rsidR="002B50FC" w:rsidRPr="00085ACF">
              <w:rPr>
                <w:rFonts w:eastAsia="Times New Roman"/>
                <w:b/>
                <w:iCs/>
                <w:color w:val="000000"/>
                <w:sz w:val="20"/>
                <w:lang w:eastAsia="tr-TR"/>
              </w:rPr>
              <w:t>aat</w:t>
            </w:r>
          </w:p>
        </w:tc>
        <w:tc>
          <w:tcPr>
            <w:tcW w:w="1559" w:type="dxa"/>
            <w:tcBorders>
              <w:top w:val="single" w:sz="4" w:space="0" w:color="auto"/>
              <w:bottom w:val="single" w:sz="4" w:space="0" w:color="auto"/>
            </w:tcBorders>
            <w:noWrap/>
            <w:hideMark/>
          </w:tcPr>
          <w:p w:rsidR="00994ED2" w:rsidRPr="00085ACF" w:rsidRDefault="00994ED2" w:rsidP="009943B4">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24.S</w:t>
            </w:r>
            <w:r w:rsidR="002B50FC" w:rsidRPr="00085ACF">
              <w:rPr>
                <w:rFonts w:eastAsia="Times New Roman"/>
                <w:b/>
                <w:iCs/>
                <w:color w:val="000000"/>
                <w:sz w:val="20"/>
                <w:lang w:eastAsia="tr-TR"/>
              </w:rPr>
              <w:t>aat</w:t>
            </w:r>
          </w:p>
        </w:tc>
        <w:tc>
          <w:tcPr>
            <w:tcW w:w="1470" w:type="dxa"/>
            <w:tcBorders>
              <w:top w:val="single" w:sz="4" w:space="0" w:color="auto"/>
              <w:bottom w:val="single" w:sz="4" w:space="0" w:color="auto"/>
            </w:tcBorders>
            <w:noWrap/>
            <w:hideMark/>
          </w:tcPr>
          <w:p w:rsidR="00994ED2" w:rsidRPr="00085ACF" w:rsidRDefault="00994ED2" w:rsidP="009943B4">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48.S</w:t>
            </w:r>
            <w:r w:rsidR="002B50FC" w:rsidRPr="00085ACF">
              <w:rPr>
                <w:rFonts w:eastAsia="Times New Roman"/>
                <w:b/>
                <w:iCs/>
                <w:color w:val="000000"/>
                <w:sz w:val="20"/>
                <w:lang w:eastAsia="tr-TR"/>
              </w:rPr>
              <w:t>aat</w:t>
            </w:r>
          </w:p>
        </w:tc>
      </w:tr>
      <w:tr w:rsidR="00994ED2" w:rsidRPr="00994ED2" w:rsidTr="00085ACF">
        <w:trPr>
          <w:trHeight w:val="334"/>
        </w:trPr>
        <w:tc>
          <w:tcPr>
            <w:tcW w:w="2201" w:type="dxa"/>
            <w:tcBorders>
              <w:top w:val="single" w:sz="4" w:space="0" w:color="auto"/>
            </w:tcBorders>
            <w:noWrap/>
            <w:hideMark/>
          </w:tcPr>
          <w:p w:rsidR="00994ED2" w:rsidRPr="002B50FC" w:rsidRDefault="00994ED2" w:rsidP="00994ED2">
            <w:pPr>
              <w:spacing w:line="240" w:lineRule="auto"/>
              <w:ind w:firstLine="0"/>
              <w:jc w:val="center"/>
              <w:rPr>
                <w:rFonts w:eastAsia="Times New Roman"/>
                <w:iCs/>
                <w:color w:val="000000"/>
                <w:sz w:val="18"/>
                <w:lang w:eastAsia="tr-TR"/>
              </w:rPr>
            </w:pPr>
            <w:r w:rsidRPr="002B50FC">
              <w:rPr>
                <w:rFonts w:eastAsia="Times New Roman"/>
                <w:iCs/>
                <w:color w:val="000000"/>
                <w:sz w:val="18"/>
                <w:lang w:eastAsia="tr-TR"/>
              </w:rPr>
              <w:t>0mM</w:t>
            </w:r>
          </w:p>
        </w:tc>
        <w:tc>
          <w:tcPr>
            <w:tcW w:w="1749" w:type="dxa"/>
            <w:tcBorders>
              <w:top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1,83±0,01</w:t>
            </w:r>
            <w:r w:rsidRPr="002B50FC">
              <w:rPr>
                <w:rFonts w:eastAsia="Times New Roman"/>
                <w:iCs/>
                <w:sz w:val="18"/>
                <w:vertAlign w:val="superscript"/>
                <w:lang w:eastAsia="tr-TR"/>
              </w:rPr>
              <w:t>aA</w:t>
            </w:r>
          </w:p>
        </w:tc>
        <w:tc>
          <w:tcPr>
            <w:tcW w:w="1878" w:type="dxa"/>
            <w:tcBorders>
              <w:top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0,78±0,005</w:t>
            </w:r>
            <w:r w:rsidRPr="002B50FC">
              <w:rPr>
                <w:rFonts w:eastAsia="Times New Roman"/>
                <w:iCs/>
                <w:sz w:val="18"/>
                <w:vertAlign w:val="superscript"/>
                <w:lang w:eastAsia="tr-TR"/>
              </w:rPr>
              <w:t>bA</w:t>
            </w:r>
          </w:p>
        </w:tc>
        <w:tc>
          <w:tcPr>
            <w:tcW w:w="1559" w:type="dxa"/>
            <w:tcBorders>
              <w:top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0,65±0,01</w:t>
            </w:r>
            <w:r w:rsidRPr="002B50FC">
              <w:rPr>
                <w:rFonts w:eastAsia="Times New Roman"/>
                <w:iCs/>
                <w:sz w:val="18"/>
                <w:vertAlign w:val="superscript"/>
                <w:lang w:eastAsia="tr-TR"/>
              </w:rPr>
              <w:t>cA</w:t>
            </w:r>
          </w:p>
        </w:tc>
        <w:tc>
          <w:tcPr>
            <w:tcW w:w="1470" w:type="dxa"/>
            <w:tcBorders>
              <w:top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0,82±0,01</w:t>
            </w:r>
            <w:r w:rsidRPr="002B50FC">
              <w:rPr>
                <w:rFonts w:eastAsia="Times New Roman"/>
                <w:iCs/>
                <w:sz w:val="18"/>
                <w:vertAlign w:val="superscript"/>
                <w:lang w:eastAsia="tr-TR"/>
              </w:rPr>
              <w:t>dA</w:t>
            </w:r>
          </w:p>
        </w:tc>
      </w:tr>
      <w:tr w:rsidR="00994ED2" w:rsidRPr="00994ED2" w:rsidTr="00085ACF">
        <w:trPr>
          <w:trHeight w:val="334"/>
        </w:trPr>
        <w:tc>
          <w:tcPr>
            <w:tcW w:w="2201" w:type="dxa"/>
            <w:noWrap/>
            <w:hideMark/>
          </w:tcPr>
          <w:p w:rsidR="00994ED2" w:rsidRPr="002B50FC" w:rsidRDefault="00994ED2" w:rsidP="00994ED2">
            <w:pPr>
              <w:spacing w:line="240" w:lineRule="auto"/>
              <w:ind w:firstLine="0"/>
              <w:jc w:val="center"/>
              <w:rPr>
                <w:rFonts w:eastAsia="Times New Roman"/>
                <w:iCs/>
                <w:color w:val="000000"/>
                <w:sz w:val="18"/>
                <w:lang w:eastAsia="tr-TR"/>
              </w:rPr>
            </w:pPr>
            <w:r w:rsidRPr="002B50FC">
              <w:rPr>
                <w:rFonts w:eastAsia="Times New Roman"/>
                <w:iCs/>
                <w:color w:val="000000"/>
                <w:sz w:val="18"/>
                <w:lang w:eastAsia="tr-TR"/>
              </w:rPr>
              <w:t>5.5mM</w:t>
            </w:r>
          </w:p>
        </w:tc>
        <w:tc>
          <w:tcPr>
            <w:tcW w:w="1749"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2,73±0,0</w:t>
            </w:r>
            <w:r w:rsidR="000A31CC" w:rsidRPr="002B50FC">
              <w:rPr>
                <w:rFonts w:eastAsia="Times New Roman"/>
                <w:iCs/>
                <w:sz w:val="18"/>
                <w:lang w:eastAsia="tr-TR"/>
              </w:rPr>
              <w:t>2</w:t>
            </w:r>
            <w:r w:rsidRPr="002B50FC">
              <w:rPr>
                <w:rFonts w:eastAsia="Times New Roman"/>
                <w:iCs/>
                <w:sz w:val="18"/>
                <w:vertAlign w:val="superscript"/>
                <w:lang w:eastAsia="tr-TR"/>
              </w:rPr>
              <w:t>aB</w:t>
            </w:r>
          </w:p>
        </w:tc>
        <w:tc>
          <w:tcPr>
            <w:tcW w:w="1878"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0,78±0,00</w:t>
            </w:r>
            <w:r w:rsidR="000A31CC" w:rsidRPr="002B50FC">
              <w:rPr>
                <w:rFonts w:eastAsia="Times New Roman"/>
                <w:iCs/>
                <w:sz w:val="18"/>
                <w:lang w:eastAsia="tr-TR"/>
              </w:rPr>
              <w:t>6</w:t>
            </w:r>
            <w:r w:rsidRPr="002B50FC">
              <w:rPr>
                <w:rFonts w:eastAsia="Times New Roman"/>
                <w:iCs/>
                <w:sz w:val="18"/>
                <w:vertAlign w:val="superscript"/>
                <w:lang w:eastAsia="tr-TR"/>
              </w:rPr>
              <w:t>bA</w:t>
            </w:r>
          </w:p>
        </w:tc>
        <w:tc>
          <w:tcPr>
            <w:tcW w:w="1559"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0,92±0,00</w:t>
            </w:r>
            <w:r w:rsidR="000A31CC" w:rsidRPr="002B50FC">
              <w:rPr>
                <w:rFonts w:eastAsia="Times New Roman"/>
                <w:iCs/>
                <w:sz w:val="18"/>
                <w:lang w:eastAsia="tr-TR"/>
              </w:rPr>
              <w:t>8</w:t>
            </w:r>
            <w:r w:rsidRPr="002B50FC">
              <w:rPr>
                <w:rFonts w:eastAsia="Times New Roman"/>
                <w:iCs/>
                <w:sz w:val="18"/>
                <w:vertAlign w:val="superscript"/>
                <w:lang w:eastAsia="tr-TR"/>
              </w:rPr>
              <w:t>cB</w:t>
            </w:r>
          </w:p>
        </w:tc>
        <w:tc>
          <w:tcPr>
            <w:tcW w:w="1470"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1,84±0,02</w:t>
            </w:r>
            <w:r w:rsidRPr="002B50FC">
              <w:rPr>
                <w:rFonts w:eastAsia="Times New Roman"/>
                <w:iCs/>
                <w:sz w:val="18"/>
                <w:vertAlign w:val="superscript"/>
                <w:lang w:eastAsia="tr-TR"/>
              </w:rPr>
              <w:t>dB</w:t>
            </w:r>
          </w:p>
        </w:tc>
      </w:tr>
      <w:tr w:rsidR="00994ED2" w:rsidRPr="00994ED2" w:rsidTr="00085ACF">
        <w:trPr>
          <w:trHeight w:val="334"/>
        </w:trPr>
        <w:tc>
          <w:tcPr>
            <w:tcW w:w="2201" w:type="dxa"/>
            <w:noWrap/>
            <w:hideMark/>
          </w:tcPr>
          <w:p w:rsidR="00994ED2" w:rsidRPr="002B50FC" w:rsidRDefault="00994ED2" w:rsidP="00994ED2">
            <w:pPr>
              <w:spacing w:line="240" w:lineRule="auto"/>
              <w:ind w:firstLine="0"/>
              <w:jc w:val="center"/>
              <w:rPr>
                <w:rFonts w:eastAsia="Times New Roman"/>
                <w:iCs/>
                <w:color w:val="000000"/>
                <w:sz w:val="18"/>
                <w:lang w:eastAsia="tr-TR"/>
              </w:rPr>
            </w:pPr>
            <w:r w:rsidRPr="002B50FC">
              <w:rPr>
                <w:rFonts w:eastAsia="Times New Roman"/>
                <w:iCs/>
                <w:color w:val="000000"/>
                <w:sz w:val="18"/>
                <w:lang w:eastAsia="tr-TR"/>
              </w:rPr>
              <w:t>15mM</w:t>
            </w:r>
          </w:p>
        </w:tc>
        <w:tc>
          <w:tcPr>
            <w:tcW w:w="1749"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2,03±0,005</w:t>
            </w:r>
            <w:r w:rsidRPr="002B50FC">
              <w:rPr>
                <w:rFonts w:eastAsia="Times New Roman"/>
                <w:iCs/>
                <w:sz w:val="18"/>
                <w:vertAlign w:val="superscript"/>
                <w:lang w:eastAsia="tr-TR"/>
              </w:rPr>
              <w:t>aC</w:t>
            </w:r>
          </w:p>
        </w:tc>
        <w:tc>
          <w:tcPr>
            <w:tcW w:w="1878"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1,23±0,005</w:t>
            </w:r>
            <w:r w:rsidRPr="002B50FC">
              <w:rPr>
                <w:rFonts w:eastAsia="Times New Roman"/>
                <w:iCs/>
                <w:sz w:val="18"/>
                <w:vertAlign w:val="superscript"/>
                <w:lang w:eastAsia="tr-TR"/>
              </w:rPr>
              <w:t>bB</w:t>
            </w:r>
          </w:p>
        </w:tc>
        <w:tc>
          <w:tcPr>
            <w:tcW w:w="1559"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0,683±0,005</w:t>
            </w:r>
            <w:r w:rsidRPr="002B50FC">
              <w:rPr>
                <w:rFonts w:eastAsia="Times New Roman"/>
                <w:iCs/>
                <w:sz w:val="18"/>
                <w:vertAlign w:val="superscript"/>
                <w:lang w:eastAsia="tr-TR"/>
              </w:rPr>
              <w:t>cC</w:t>
            </w:r>
          </w:p>
        </w:tc>
        <w:tc>
          <w:tcPr>
            <w:tcW w:w="1470"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1,33±0,005</w:t>
            </w:r>
            <w:r w:rsidRPr="002B50FC">
              <w:rPr>
                <w:rFonts w:eastAsia="Times New Roman"/>
                <w:iCs/>
                <w:sz w:val="18"/>
                <w:vertAlign w:val="superscript"/>
                <w:lang w:eastAsia="tr-TR"/>
              </w:rPr>
              <w:t>dC</w:t>
            </w:r>
          </w:p>
        </w:tc>
      </w:tr>
      <w:tr w:rsidR="00994ED2" w:rsidRPr="00994ED2" w:rsidTr="00324B03">
        <w:trPr>
          <w:trHeight w:val="334"/>
        </w:trPr>
        <w:tc>
          <w:tcPr>
            <w:tcW w:w="2201" w:type="dxa"/>
            <w:tcBorders>
              <w:bottom w:val="single" w:sz="4" w:space="0" w:color="auto"/>
            </w:tcBorders>
            <w:noWrap/>
            <w:hideMark/>
          </w:tcPr>
          <w:p w:rsidR="00994ED2" w:rsidRPr="002B50FC" w:rsidRDefault="00994ED2" w:rsidP="00994ED2">
            <w:pPr>
              <w:spacing w:line="240" w:lineRule="auto"/>
              <w:ind w:firstLine="0"/>
              <w:jc w:val="center"/>
              <w:rPr>
                <w:rFonts w:eastAsia="Times New Roman"/>
                <w:iCs/>
                <w:color w:val="000000"/>
                <w:sz w:val="18"/>
                <w:lang w:eastAsia="tr-TR"/>
              </w:rPr>
            </w:pPr>
            <w:r w:rsidRPr="002B50FC">
              <w:rPr>
                <w:rFonts w:eastAsia="Times New Roman"/>
                <w:iCs/>
                <w:color w:val="000000"/>
                <w:sz w:val="18"/>
                <w:lang w:eastAsia="tr-TR"/>
              </w:rPr>
              <w:t>55mM</w:t>
            </w:r>
          </w:p>
        </w:tc>
        <w:tc>
          <w:tcPr>
            <w:tcW w:w="1749" w:type="dxa"/>
            <w:tcBorders>
              <w:bottom w:val="single" w:sz="4" w:space="0" w:color="auto"/>
            </w:tcBorders>
            <w:noWrap/>
            <w:hideMark/>
          </w:tcPr>
          <w:p w:rsidR="00994ED2" w:rsidRPr="002B50FC" w:rsidRDefault="000A31CC" w:rsidP="009943B4">
            <w:pPr>
              <w:spacing w:line="240" w:lineRule="auto"/>
              <w:ind w:firstLine="0"/>
              <w:jc w:val="center"/>
              <w:rPr>
                <w:rFonts w:eastAsia="Times New Roman"/>
                <w:iCs/>
                <w:sz w:val="18"/>
                <w:lang w:eastAsia="tr-TR"/>
              </w:rPr>
            </w:pPr>
            <w:r w:rsidRPr="002B50FC">
              <w:rPr>
                <w:rFonts w:eastAsia="Times New Roman"/>
                <w:iCs/>
                <w:sz w:val="18"/>
                <w:lang w:eastAsia="tr-TR"/>
              </w:rPr>
              <w:t>1,87±0,04</w:t>
            </w:r>
            <w:r w:rsidR="00994ED2" w:rsidRPr="002B50FC">
              <w:rPr>
                <w:rFonts w:eastAsia="Times New Roman"/>
                <w:iCs/>
                <w:sz w:val="18"/>
                <w:vertAlign w:val="superscript"/>
                <w:lang w:eastAsia="tr-TR"/>
              </w:rPr>
              <w:t>aD</w:t>
            </w:r>
          </w:p>
        </w:tc>
        <w:tc>
          <w:tcPr>
            <w:tcW w:w="1878" w:type="dxa"/>
            <w:tcBorders>
              <w:bottom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1,08±0,01</w:t>
            </w:r>
            <w:r w:rsidRPr="002B50FC">
              <w:rPr>
                <w:rFonts w:eastAsia="Times New Roman"/>
                <w:iCs/>
                <w:sz w:val="18"/>
                <w:vertAlign w:val="superscript"/>
                <w:lang w:eastAsia="tr-TR"/>
              </w:rPr>
              <w:t>bC</w:t>
            </w:r>
          </w:p>
        </w:tc>
        <w:tc>
          <w:tcPr>
            <w:tcW w:w="1559" w:type="dxa"/>
            <w:tcBorders>
              <w:bottom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0,73±0,0</w:t>
            </w:r>
            <w:r w:rsidR="000A31CC" w:rsidRPr="002B50FC">
              <w:rPr>
                <w:rFonts w:eastAsia="Times New Roman"/>
                <w:iCs/>
                <w:sz w:val="18"/>
                <w:lang w:eastAsia="tr-TR"/>
              </w:rPr>
              <w:t>3</w:t>
            </w:r>
            <w:r w:rsidRPr="002B50FC">
              <w:rPr>
                <w:rFonts w:eastAsia="Times New Roman"/>
                <w:iCs/>
                <w:sz w:val="18"/>
                <w:vertAlign w:val="superscript"/>
                <w:lang w:eastAsia="tr-TR"/>
              </w:rPr>
              <w:t>cD</w:t>
            </w:r>
          </w:p>
        </w:tc>
        <w:tc>
          <w:tcPr>
            <w:tcW w:w="1470" w:type="dxa"/>
            <w:tcBorders>
              <w:bottom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0,93±0,01</w:t>
            </w:r>
            <w:r w:rsidRPr="002B50FC">
              <w:rPr>
                <w:rFonts w:eastAsia="Times New Roman"/>
                <w:iCs/>
                <w:sz w:val="18"/>
                <w:vertAlign w:val="superscript"/>
                <w:lang w:eastAsia="tr-TR"/>
              </w:rPr>
              <w:t>dD</w:t>
            </w:r>
          </w:p>
        </w:tc>
      </w:tr>
      <w:tr w:rsidR="00994ED2" w:rsidRPr="00085ACF" w:rsidTr="00324B03">
        <w:trPr>
          <w:trHeight w:val="290"/>
        </w:trPr>
        <w:tc>
          <w:tcPr>
            <w:tcW w:w="2201" w:type="dxa"/>
            <w:tcBorders>
              <w:top w:val="single" w:sz="4" w:space="0" w:color="auto"/>
              <w:bottom w:val="single" w:sz="4" w:space="0" w:color="auto"/>
            </w:tcBorders>
            <w:noWrap/>
            <w:hideMark/>
          </w:tcPr>
          <w:p w:rsidR="00994ED2" w:rsidRPr="00085ACF" w:rsidRDefault="00994ED2" w:rsidP="00994ED2">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H</w:t>
            </w:r>
            <w:r w:rsidR="002B50FC" w:rsidRPr="00085ACF">
              <w:rPr>
                <w:rFonts w:eastAsia="Times New Roman"/>
                <w:b/>
                <w:iCs/>
                <w:color w:val="000000"/>
                <w:sz w:val="20"/>
                <w:lang w:eastAsia="tr-TR"/>
              </w:rPr>
              <w:t>ipoksi</w:t>
            </w:r>
          </w:p>
        </w:tc>
        <w:tc>
          <w:tcPr>
            <w:tcW w:w="1749" w:type="dxa"/>
            <w:tcBorders>
              <w:top w:val="single" w:sz="4" w:space="0" w:color="auto"/>
              <w:bottom w:val="single" w:sz="4" w:space="0" w:color="auto"/>
            </w:tcBorders>
            <w:noWrap/>
            <w:hideMark/>
          </w:tcPr>
          <w:p w:rsidR="00994ED2" w:rsidRPr="00085ACF" w:rsidRDefault="00994ED2" w:rsidP="009943B4">
            <w:pPr>
              <w:spacing w:line="240" w:lineRule="auto"/>
              <w:ind w:firstLine="0"/>
              <w:jc w:val="center"/>
              <w:rPr>
                <w:rFonts w:eastAsia="Times New Roman"/>
                <w:b/>
                <w:bCs/>
                <w:iCs/>
                <w:color w:val="000000"/>
                <w:sz w:val="20"/>
                <w:lang w:eastAsia="tr-TR"/>
              </w:rPr>
            </w:pPr>
            <w:r w:rsidRPr="00085ACF">
              <w:rPr>
                <w:rFonts w:eastAsia="Times New Roman"/>
                <w:b/>
                <w:bCs/>
                <w:iCs/>
                <w:color w:val="000000"/>
                <w:sz w:val="20"/>
                <w:lang w:eastAsia="tr-TR"/>
              </w:rPr>
              <w:t>6.S</w:t>
            </w:r>
            <w:r w:rsidR="002B50FC" w:rsidRPr="00085ACF">
              <w:rPr>
                <w:rFonts w:eastAsia="Times New Roman"/>
                <w:b/>
                <w:bCs/>
                <w:iCs/>
                <w:color w:val="000000"/>
                <w:sz w:val="20"/>
                <w:lang w:eastAsia="tr-TR"/>
              </w:rPr>
              <w:t>aat</w:t>
            </w:r>
          </w:p>
        </w:tc>
        <w:tc>
          <w:tcPr>
            <w:tcW w:w="1878" w:type="dxa"/>
            <w:tcBorders>
              <w:top w:val="single" w:sz="4" w:space="0" w:color="auto"/>
              <w:bottom w:val="single" w:sz="4" w:space="0" w:color="auto"/>
            </w:tcBorders>
            <w:noWrap/>
            <w:hideMark/>
          </w:tcPr>
          <w:p w:rsidR="00994ED2" w:rsidRPr="00085ACF" w:rsidRDefault="00994ED2" w:rsidP="009943B4">
            <w:pPr>
              <w:spacing w:line="240" w:lineRule="auto"/>
              <w:ind w:firstLine="0"/>
              <w:jc w:val="center"/>
              <w:rPr>
                <w:rFonts w:eastAsia="Times New Roman"/>
                <w:b/>
                <w:bCs/>
                <w:iCs/>
                <w:color w:val="000000"/>
                <w:sz w:val="20"/>
                <w:lang w:eastAsia="tr-TR"/>
              </w:rPr>
            </w:pPr>
            <w:r w:rsidRPr="00085ACF">
              <w:rPr>
                <w:rFonts w:eastAsia="Times New Roman"/>
                <w:b/>
                <w:bCs/>
                <w:iCs/>
                <w:color w:val="000000"/>
                <w:sz w:val="20"/>
                <w:lang w:eastAsia="tr-TR"/>
              </w:rPr>
              <w:t>12.S</w:t>
            </w:r>
            <w:r w:rsidR="002B50FC" w:rsidRPr="00085ACF">
              <w:rPr>
                <w:rFonts w:eastAsia="Times New Roman"/>
                <w:b/>
                <w:bCs/>
                <w:iCs/>
                <w:color w:val="000000"/>
                <w:sz w:val="20"/>
                <w:lang w:eastAsia="tr-TR"/>
              </w:rPr>
              <w:t>aat</w:t>
            </w:r>
          </w:p>
        </w:tc>
        <w:tc>
          <w:tcPr>
            <w:tcW w:w="1559" w:type="dxa"/>
            <w:tcBorders>
              <w:top w:val="single" w:sz="4" w:space="0" w:color="auto"/>
              <w:bottom w:val="single" w:sz="4" w:space="0" w:color="auto"/>
            </w:tcBorders>
            <w:noWrap/>
            <w:hideMark/>
          </w:tcPr>
          <w:p w:rsidR="00994ED2" w:rsidRPr="00085ACF" w:rsidRDefault="00994ED2" w:rsidP="009943B4">
            <w:pPr>
              <w:spacing w:line="240" w:lineRule="auto"/>
              <w:ind w:firstLine="0"/>
              <w:jc w:val="center"/>
              <w:rPr>
                <w:rFonts w:eastAsia="Times New Roman"/>
                <w:b/>
                <w:bCs/>
                <w:iCs/>
                <w:color w:val="000000"/>
                <w:sz w:val="20"/>
                <w:lang w:eastAsia="tr-TR"/>
              </w:rPr>
            </w:pPr>
            <w:r w:rsidRPr="00085ACF">
              <w:rPr>
                <w:rFonts w:eastAsia="Times New Roman"/>
                <w:b/>
                <w:bCs/>
                <w:iCs/>
                <w:color w:val="000000"/>
                <w:sz w:val="20"/>
                <w:lang w:eastAsia="tr-TR"/>
              </w:rPr>
              <w:t>24.S</w:t>
            </w:r>
            <w:r w:rsidR="002B50FC" w:rsidRPr="00085ACF">
              <w:rPr>
                <w:rFonts w:eastAsia="Times New Roman"/>
                <w:b/>
                <w:bCs/>
                <w:iCs/>
                <w:color w:val="000000"/>
                <w:sz w:val="20"/>
                <w:lang w:eastAsia="tr-TR"/>
              </w:rPr>
              <w:t>aat</w:t>
            </w:r>
          </w:p>
        </w:tc>
        <w:tc>
          <w:tcPr>
            <w:tcW w:w="1470" w:type="dxa"/>
            <w:tcBorders>
              <w:top w:val="single" w:sz="4" w:space="0" w:color="auto"/>
              <w:bottom w:val="single" w:sz="4" w:space="0" w:color="auto"/>
            </w:tcBorders>
            <w:noWrap/>
            <w:hideMark/>
          </w:tcPr>
          <w:p w:rsidR="00994ED2" w:rsidRPr="00085ACF" w:rsidRDefault="00994ED2" w:rsidP="009943B4">
            <w:pPr>
              <w:spacing w:line="240" w:lineRule="auto"/>
              <w:ind w:firstLine="0"/>
              <w:jc w:val="center"/>
              <w:rPr>
                <w:rFonts w:eastAsia="Times New Roman"/>
                <w:b/>
                <w:bCs/>
                <w:iCs/>
                <w:color w:val="000000"/>
                <w:sz w:val="20"/>
                <w:lang w:eastAsia="tr-TR"/>
              </w:rPr>
            </w:pPr>
            <w:r w:rsidRPr="00085ACF">
              <w:rPr>
                <w:rFonts w:eastAsia="Times New Roman"/>
                <w:b/>
                <w:bCs/>
                <w:iCs/>
                <w:color w:val="000000"/>
                <w:sz w:val="20"/>
                <w:lang w:eastAsia="tr-TR"/>
              </w:rPr>
              <w:t>48.S</w:t>
            </w:r>
            <w:r w:rsidR="002B50FC" w:rsidRPr="00085ACF">
              <w:rPr>
                <w:rFonts w:eastAsia="Times New Roman"/>
                <w:b/>
                <w:bCs/>
                <w:iCs/>
                <w:color w:val="000000"/>
                <w:sz w:val="20"/>
                <w:lang w:eastAsia="tr-TR"/>
              </w:rPr>
              <w:t>aat</w:t>
            </w:r>
          </w:p>
        </w:tc>
      </w:tr>
      <w:tr w:rsidR="00994ED2" w:rsidRPr="00994ED2" w:rsidTr="00085ACF">
        <w:trPr>
          <w:trHeight w:val="334"/>
        </w:trPr>
        <w:tc>
          <w:tcPr>
            <w:tcW w:w="2201" w:type="dxa"/>
            <w:tcBorders>
              <w:top w:val="single" w:sz="4" w:space="0" w:color="auto"/>
            </w:tcBorders>
            <w:noWrap/>
            <w:hideMark/>
          </w:tcPr>
          <w:p w:rsidR="00994ED2" w:rsidRPr="002B50FC" w:rsidRDefault="00994ED2" w:rsidP="00994ED2">
            <w:pPr>
              <w:spacing w:line="240" w:lineRule="auto"/>
              <w:ind w:firstLine="0"/>
              <w:jc w:val="center"/>
              <w:rPr>
                <w:rFonts w:eastAsia="Times New Roman"/>
                <w:iCs/>
                <w:color w:val="000000"/>
                <w:sz w:val="18"/>
                <w:lang w:eastAsia="tr-TR"/>
              </w:rPr>
            </w:pPr>
            <w:r w:rsidRPr="002B50FC">
              <w:rPr>
                <w:rFonts w:eastAsia="Times New Roman"/>
                <w:iCs/>
                <w:color w:val="000000"/>
                <w:sz w:val="18"/>
                <w:lang w:eastAsia="tr-TR"/>
              </w:rPr>
              <w:t>0mM</w:t>
            </w:r>
          </w:p>
        </w:tc>
        <w:tc>
          <w:tcPr>
            <w:tcW w:w="1749" w:type="dxa"/>
            <w:tcBorders>
              <w:top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1,07±0,005</w:t>
            </w:r>
            <w:r w:rsidRPr="002B50FC">
              <w:rPr>
                <w:rFonts w:eastAsia="Times New Roman"/>
                <w:iCs/>
                <w:sz w:val="18"/>
                <w:vertAlign w:val="superscript"/>
                <w:lang w:eastAsia="tr-TR"/>
              </w:rPr>
              <w:t>aA</w:t>
            </w:r>
          </w:p>
        </w:tc>
        <w:tc>
          <w:tcPr>
            <w:tcW w:w="1878" w:type="dxa"/>
            <w:tcBorders>
              <w:top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1,32±0,005</w:t>
            </w:r>
            <w:r w:rsidRPr="002B50FC">
              <w:rPr>
                <w:rFonts w:eastAsia="Times New Roman"/>
                <w:iCs/>
                <w:sz w:val="18"/>
                <w:vertAlign w:val="superscript"/>
                <w:lang w:eastAsia="tr-TR"/>
              </w:rPr>
              <w:t>bA</w:t>
            </w:r>
          </w:p>
        </w:tc>
        <w:tc>
          <w:tcPr>
            <w:tcW w:w="1559" w:type="dxa"/>
            <w:tcBorders>
              <w:top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0,45±0,005</w:t>
            </w:r>
            <w:r w:rsidRPr="002B50FC">
              <w:rPr>
                <w:rFonts w:eastAsia="Times New Roman"/>
                <w:iCs/>
                <w:sz w:val="18"/>
                <w:vertAlign w:val="superscript"/>
                <w:lang w:eastAsia="tr-TR"/>
              </w:rPr>
              <w:t>cA</w:t>
            </w:r>
          </w:p>
        </w:tc>
        <w:tc>
          <w:tcPr>
            <w:tcW w:w="1470" w:type="dxa"/>
            <w:tcBorders>
              <w:top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0,19±0,01</w:t>
            </w:r>
            <w:r w:rsidRPr="002B50FC">
              <w:rPr>
                <w:rFonts w:eastAsia="Times New Roman"/>
                <w:iCs/>
                <w:sz w:val="18"/>
                <w:vertAlign w:val="superscript"/>
                <w:lang w:eastAsia="tr-TR"/>
              </w:rPr>
              <w:t>dA</w:t>
            </w:r>
          </w:p>
        </w:tc>
      </w:tr>
      <w:tr w:rsidR="00994ED2" w:rsidRPr="00994ED2" w:rsidTr="00085ACF">
        <w:trPr>
          <w:trHeight w:val="334"/>
        </w:trPr>
        <w:tc>
          <w:tcPr>
            <w:tcW w:w="2201" w:type="dxa"/>
            <w:noWrap/>
            <w:hideMark/>
          </w:tcPr>
          <w:p w:rsidR="00994ED2" w:rsidRPr="002B50FC" w:rsidRDefault="00994ED2" w:rsidP="00994ED2">
            <w:pPr>
              <w:spacing w:line="240" w:lineRule="auto"/>
              <w:ind w:firstLine="0"/>
              <w:jc w:val="center"/>
              <w:rPr>
                <w:rFonts w:eastAsia="Times New Roman"/>
                <w:iCs/>
                <w:color w:val="000000"/>
                <w:sz w:val="18"/>
                <w:lang w:eastAsia="tr-TR"/>
              </w:rPr>
            </w:pPr>
            <w:r w:rsidRPr="002B50FC">
              <w:rPr>
                <w:rFonts w:eastAsia="Times New Roman"/>
                <w:iCs/>
                <w:color w:val="000000"/>
                <w:sz w:val="18"/>
                <w:lang w:eastAsia="tr-TR"/>
              </w:rPr>
              <w:t>5.5mM</w:t>
            </w:r>
          </w:p>
        </w:tc>
        <w:tc>
          <w:tcPr>
            <w:tcW w:w="1749"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1,21±0,01</w:t>
            </w:r>
            <w:r w:rsidRPr="002B50FC">
              <w:rPr>
                <w:rFonts w:eastAsia="Times New Roman"/>
                <w:iCs/>
                <w:sz w:val="18"/>
                <w:vertAlign w:val="superscript"/>
                <w:lang w:eastAsia="tr-TR"/>
              </w:rPr>
              <w:t>aB</w:t>
            </w:r>
          </w:p>
        </w:tc>
        <w:tc>
          <w:tcPr>
            <w:tcW w:w="1878"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0,91±0,01</w:t>
            </w:r>
            <w:r w:rsidRPr="002B50FC">
              <w:rPr>
                <w:rFonts w:eastAsia="Times New Roman"/>
                <w:iCs/>
                <w:sz w:val="18"/>
                <w:vertAlign w:val="superscript"/>
                <w:lang w:eastAsia="tr-TR"/>
              </w:rPr>
              <w:t>bB</w:t>
            </w:r>
          </w:p>
        </w:tc>
        <w:tc>
          <w:tcPr>
            <w:tcW w:w="1559"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0,51±0,0</w:t>
            </w:r>
            <w:r w:rsidR="000A31CC" w:rsidRPr="002B50FC">
              <w:rPr>
                <w:rFonts w:eastAsia="Times New Roman"/>
                <w:iCs/>
                <w:sz w:val="18"/>
                <w:lang w:eastAsia="tr-TR"/>
              </w:rPr>
              <w:t>3</w:t>
            </w:r>
            <w:r w:rsidRPr="002B50FC">
              <w:rPr>
                <w:rFonts w:eastAsia="Times New Roman"/>
                <w:iCs/>
                <w:sz w:val="18"/>
                <w:vertAlign w:val="superscript"/>
                <w:lang w:eastAsia="tr-TR"/>
              </w:rPr>
              <w:t>cB</w:t>
            </w:r>
          </w:p>
        </w:tc>
        <w:tc>
          <w:tcPr>
            <w:tcW w:w="1470"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0,17±0,00</w:t>
            </w:r>
            <w:r w:rsidR="000A31CC" w:rsidRPr="002B50FC">
              <w:rPr>
                <w:rFonts w:eastAsia="Times New Roman"/>
                <w:iCs/>
                <w:sz w:val="18"/>
                <w:lang w:eastAsia="tr-TR"/>
              </w:rPr>
              <w:t>8</w:t>
            </w:r>
            <w:r w:rsidRPr="002B50FC">
              <w:rPr>
                <w:rFonts w:eastAsia="Times New Roman"/>
                <w:iCs/>
                <w:sz w:val="18"/>
                <w:vertAlign w:val="superscript"/>
                <w:lang w:eastAsia="tr-TR"/>
              </w:rPr>
              <w:t>dA</w:t>
            </w:r>
          </w:p>
        </w:tc>
      </w:tr>
      <w:tr w:rsidR="00994ED2" w:rsidRPr="00994ED2" w:rsidTr="009B055A">
        <w:trPr>
          <w:trHeight w:val="334"/>
        </w:trPr>
        <w:tc>
          <w:tcPr>
            <w:tcW w:w="2201" w:type="dxa"/>
            <w:noWrap/>
            <w:hideMark/>
          </w:tcPr>
          <w:p w:rsidR="00994ED2" w:rsidRPr="002B50FC" w:rsidRDefault="00994ED2" w:rsidP="00994ED2">
            <w:pPr>
              <w:spacing w:line="240" w:lineRule="auto"/>
              <w:ind w:firstLine="0"/>
              <w:jc w:val="center"/>
              <w:rPr>
                <w:rFonts w:eastAsia="Times New Roman"/>
                <w:iCs/>
                <w:color w:val="000000"/>
                <w:sz w:val="18"/>
                <w:lang w:eastAsia="tr-TR"/>
              </w:rPr>
            </w:pPr>
            <w:r w:rsidRPr="002B50FC">
              <w:rPr>
                <w:rFonts w:eastAsia="Times New Roman"/>
                <w:iCs/>
                <w:color w:val="000000"/>
                <w:sz w:val="18"/>
                <w:lang w:eastAsia="tr-TR"/>
              </w:rPr>
              <w:t>15mM</w:t>
            </w:r>
          </w:p>
        </w:tc>
        <w:tc>
          <w:tcPr>
            <w:tcW w:w="1749" w:type="dxa"/>
            <w:noWrap/>
            <w:hideMark/>
          </w:tcPr>
          <w:p w:rsidR="00994ED2" w:rsidRPr="002B50FC" w:rsidRDefault="000A31CC" w:rsidP="009943B4">
            <w:pPr>
              <w:spacing w:line="240" w:lineRule="auto"/>
              <w:ind w:firstLine="0"/>
              <w:jc w:val="center"/>
              <w:rPr>
                <w:rFonts w:eastAsia="Times New Roman"/>
                <w:iCs/>
                <w:sz w:val="18"/>
                <w:lang w:eastAsia="tr-TR"/>
              </w:rPr>
            </w:pPr>
            <w:r w:rsidRPr="002B50FC">
              <w:rPr>
                <w:rFonts w:eastAsia="Times New Roman"/>
                <w:iCs/>
                <w:sz w:val="18"/>
                <w:lang w:eastAsia="tr-TR"/>
              </w:rPr>
              <w:t>1,81±0,03</w:t>
            </w:r>
            <w:r w:rsidR="00994ED2" w:rsidRPr="002B50FC">
              <w:rPr>
                <w:rFonts w:eastAsia="Times New Roman"/>
                <w:iCs/>
                <w:sz w:val="18"/>
                <w:vertAlign w:val="superscript"/>
                <w:lang w:eastAsia="tr-TR"/>
              </w:rPr>
              <w:t>aC</w:t>
            </w:r>
          </w:p>
        </w:tc>
        <w:tc>
          <w:tcPr>
            <w:tcW w:w="1878"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0,39±0,00</w:t>
            </w:r>
            <w:r w:rsidR="000A31CC" w:rsidRPr="002B50FC">
              <w:rPr>
                <w:rFonts w:eastAsia="Times New Roman"/>
                <w:iCs/>
                <w:sz w:val="18"/>
                <w:lang w:eastAsia="tr-TR"/>
              </w:rPr>
              <w:t>7</w:t>
            </w:r>
            <w:r w:rsidRPr="002B50FC">
              <w:rPr>
                <w:rFonts w:eastAsia="Times New Roman"/>
                <w:iCs/>
                <w:sz w:val="18"/>
                <w:vertAlign w:val="superscript"/>
                <w:lang w:eastAsia="tr-TR"/>
              </w:rPr>
              <w:t>bC</w:t>
            </w:r>
          </w:p>
        </w:tc>
        <w:tc>
          <w:tcPr>
            <w:tcW w:w="1559"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0,38±0,005</w:t>
            </w:r>
            <w:r w:rsidRPr="002B50FC">
              <w:rPr>
                <w:rFonts w:eastAsia="Times New Roman"/>
                <w:iCs/>
                <w:sz w:val="18"/>
                <w:vertAlign w:val="superscript"/>
                <w:lang w:eastAsia="tr-TR"/>
              </w:rPr>
              <w:t>bC</w:t>
            </w:r>
          </w:p>
        </w:tc>
        <w:tc>
          <w:tcPr>
            <w:tcW w:w="1470" w:type="dxa"/>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0,88±0,01</w:t>
            </w:r>
            <w:r w:rsidRPr="002B50FC">
              <w:rPr>
                <w:rFonts w:eastAsia="Times New Roman"/>
                <w:iCs/>
                <w:sz w:val="18"/>
                <w:vertAlign w:val="superscript"/>
                <w:lang w:eastAsia="tr-TR"/>
              </w:rPr>
              <w:t>cB</w:t>
            </w:r>
          </w:p>
        </w:tc>
      </w:tr>
      <w:tr w:rsidR="00994ED2" w:rsidRPr="00994ED2" w:rsidTr="009B055A">
        <w:trPr>
          <w:trHeight w:val="334"/>
        </w:trPr>
        <w:tc>
          <w:tcPr>
            <w:tcW w:w="2201" w:type="dxa"/>
            <w:tcBorders>
              <w:bottom w:val="single" w:sz="4" w:space="0" w:color="auto"/>
            </w:tcBorders>
            <w:noWrap/>
            <w:hideMark/>
          </w:tcPr>
          <w:p w:rsidR="00994ED2" w:rsidRPr="002B50FC" w:rsidRDefault="00994ED2" w:rsidP="00994ED2">
            <w:pPr>
              <w:spacing w:line="240" w:lineRule="auto"/>
              <w:ind w:firstLine="0"/>
              <w:jc w:val="center"/>
              <w:rPr>
                <w:rFonts w:eastAsia="Times New Roman"/>
                <w:iCs/>
                <w:color w:val="000000"/>
                <w:sz w:val="18"/>
                <w:lang w:eastAsia="tr-TR"/>
              </w:rPr>
            </w:pPr>
            <w:r w:rsidRPr="002B50FC">
              <w:rPr>
                <w:rFonts w:eastAsia="Times New Roman"/>
                <w:iCs/>
                <w:color w:val="000000"/>
                <w:sz w:val="18"/>
                <w:lang w:eastAsia="tr-TR"/>
              </w:rPr>
              <w:t>55mM</w:t>
            </w:r>
          </w:p>
        </w:tc>
        <w:tc>
          <w:tcPr>
            <w:tcW w:w="1749" w:type="dxa"/>
            <w:tcBorders>
              <w:bottom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1,52±0,005</w:t>
            </w:r>
            <w:r w:rsidRPr="002B50FC">
              <w:rPr>
                <w:rFonts w:eastAsia="Times New Roman"/>
                <w:iCs/>
                <w:sz w:val="18"/>
                <w:vertAlign w:val="superscript"/>
                <w:lang w:eastAsia="tr-TR"/>
              </w:rPr>
              <w:t>aD</w:t>
            </w:r>
          </w:p>
        </w:tc>
        <w:tc>
          <w:tcPr>
            <w:tcW w:w="1878" w:type="dxa"/>
            <w:tcBorders>
              <w:bottom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0,22±0,005</w:t>
            </w:r>
            <w:r w:rsidRPr="002B50FC">
              <w:rPr>
                <w:rFonts w:eastAsia="Times New Roman"/>
                <w:iCs/>
                <w:sz w:val="18"/>
                <w:vertAlign w:val="superscript"/>
                <w:lang w:eastAsia="tr-TR"/>
              </w:rPr>
              <w:t>bD</w:t>
            </w:r>
          </w:p>
        </w:tc>
        <w:tc>
          <w:tcPr>
            <w:tcW w:w="1559" w:type="dxa"/>
            <w:tcBorders>
              <w:bottom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0,51±0,005</w:t>
            </w:r>
            <w:r w:rsidRPr="002B50FC">
              <w:rPr>
                <w:rFonts w:eastAsia="Times New Roman"/>
                <w:iCs/>
                <w:sz w:val="18"/>
                <w:vertAlign w:val="superscript"/>
                <w:lang w:eastAsia="tr-TR"/>
              </w:rPr>
              <w:t>cB</w:t>
            </w:r>
          </w:p>
        </w:tc>
        <w:tc>
          <w:tcPr>
            <w:tcW w:w="1470" w:type="dxa"/>
            <w:tcBorders>
              <w:bottom w:val="single" w:sz="4" w:space="0" w:color="auto"/>
            </w:tcBorders>
            <w:noWrap/>
            <w:hideMark/>
          </w:tcPr>
          <w:p w:rsidR="00994ED2" w:rsidRPr="002B50FC" w:rsidRDefault="00994ED2" w:rsidP="009943B4">
            <w:pPr>
              <w:spacing w:line="240" w:lineRule="auto"/>
              <w:ind w:firstLine="0"/>
              <w:jc w:val="center"/>
              <w:rPr>
                <w:rFonts w:eastAsia="Times New Roman"/>
                <w:iCs/>
                <w:sz w:val="18"/>
                <w:lang w:eastAsia="tr-TR"/>
              </w:rPr>
            </w:pPr>
            <w:r w:rsidRPr="002B50FC">
              <w:rPr>
                <w:rFonts w:eastAsia="Times New Roman"/>
                <w:iCs/>
                <w:sz w:val="18"/>
                <w:lang w:eastAsia="tr-TR"/>
              </w:rPr>
              <w:t>0,98±0,005</w:t>
            </w:r>
            <w:r w:rsidRPr="002B50FC">
              <w:rPr>
                <w:rFonts w:eastAsia="Times New Roman"/>
                <w:iCs/>
                <w:sz w:val="18"/>
                <w:vertAlign w:val="superscript"/>
                <w:lang w:eastAsia="tr-TR"/>
              </w:rPr>
              <w:t>dB</w:t>
            </w:r>
          </w:p>
        </w:tc>
      </w:tr>
    </w:tbl>
    <w:p w:rsidR="006822C3" w:rsidRDefault="006822C3" w:rsidP="0047435E">
      <w:pPr>
        <w:ind w:firstLine="0"/>
        <w:jc w:val="left"/>
        <w:rPr>
          <w:rFonts w:cs="Times New Roman"/>
          <w:color w:val="000000"/>
          <w:sz w:val="18"/>
          <w:szCs w:val="18"/>
        </w:rPr>
      </w:pPr>
    </w:p>
    <w:p w:rsidR="002B3673" w:rsidRPr="00146261" w:rsidRDefault="002B3673" w:rsidP="0047435E">
      <w:pPr>
        <w:ind w:firstLine="0"/>
        <w:jc w:val="left"/>
        <w:rPr>
          <w:rFonts w:cs="Times New Roman"/>
          <w:color w:val="000000"/>
          <w:sz w:val="18"/>
          <w:szCs w:val="18"/>
        </w:rPr>
      </w:pPr>
      <w:r w:rsidRPr="00146261">
        <w:rPr>
          <w:rFonts w:cs="Times New Roman"/>
          <w:color w:val="000000"/>
          <w:sz w:val="18"/>
          <w:szCs w:val="18"/>
        </w:rPr>
        <w:t>abcd aynı satırda farklı harfler p&lt;0,001 düzeyinde önemi ifade etmektedir.</w:t>
      </w:r>
    </w:p>
    <w:p w:rsidR="002B3673" w:rsidRDefault="002B3673" w:rsidP="0047435E">
      <w:pPr>
        <w:ind w:firstLine="0"/>
        <w:jc w:val="left"/>
        <w:rPr>
          <w:rFonts w:cs="Times New Roman"/>
          <w:color w:val="000000"/>
          <w:sz w:val="18"/>
          <w:szCs w:val="18"/>
        </w:rPr>
      </w:pPr>
      <w:r w:rsidRPr="00146261">
        <w:rPr>
          <w:rFonts w:cs="Times New Roman"/>
          <w:color w:val="000000"/>
          <w:sz w:val="18"/>
          <w:szCs w:val="18"/>
        </w:rPr>
        <w:t>ABCD aynı sütunda farklı harfler p&lt;0,001 düzeyinde önemi ifade etmektedir.</w:t>
      </w:r>
    </w:p>
    <w:p w:rsidR="002B3673" w:rsidRDefault="002B3673" w:rsidP="002B3673">
      <w:pPr>
        <w:rPr>
          <w:rFonts w:cs="Times New Roman"/>
          <w:color w:val="000000"/>
          <w:szCs w:val="24"/>
        </w:rPr>
      </w:pPr>
      <w:r>
        <w:rPr>
          <w:rFonts w:cs="Times New Roman"/>
        </w:rPr>
        <w:lastRenderedPageBreak/>
        <w:t>G</w:t>
      </w:r>
      <w:r w:rsidRPr="0058029E">
        <w:rPr>
          <w:rFonts w:cs="Times New Roman"/>
        </w:rPr>
        <w:t>ruplar arasında zamana bağlı farklılıklar</w:t>
      </w:r>
      <w:r>
        <w:rPr>
          <w:rFonts w:cs="Times New Roman"/>
        </w:rPr>
        <w:t>a</w:t>
      </w:r>
      <w:r w:rsidRPr="0058029E">
        <w:rPr>
          <w:rFonts w:cs="Times New Roman"/>
        </w:rPr>
        <w:t xml:space="preserve"> </w:t>
      </w:r>
      <w:r>
        <w:rPr>
          <w:rFonts w:cs="Times New Roman"/>
        </w:rPr>
        <w:t>bakıldığında</w:t>
      </w:r>
      <w:r w:rsidRPr="0058029E">
        <w:rPr>
          <w:rFonts w:cs="Times New Roman"/>
        </w:rPr>
        <w:t xml:space="preserve">, normoksik koşullarda enzim </w:t>
      </w:r>
      <w:r>
        <w:rPr>
          <w:rFonts w:cs="Times New Roman"/>
        </w:rPr>
        <w:t>miktarlarının</w:t>
      </w:r>
      <w:r w:rsidRPr="0058029E">
        <w:rPr>
          <w:rFonts w:cs="Times New Roman"/>
        </w:rPr>
        <w:t xml:space="preserve"> </w:t>
      </w:r>
      <w:r>
        <w:rPr>
          <w:rFonts w:cs="Times New Roman"/>
        </w:rPr>
        <w:t xml:space="preserve">genel itibariyle </w:t>
      </w:r>
      <w:r w:rsidR="00D31C92">
        <w:rPr>
          <w:rFonts w:cs="Times New Roman"/>
        </w:rPr>
        <w:t>24</w:t>
      </w:r>
      <w:r w:rsidRPr="0058029E">
        <w:rPr>
          <w:rFonts w:cs="Times New Roman"/>
        </w:rPr>
        <w:t xml:space="preserve">.saate kadar </w:t>
      </w:r>
      <w:r>
        <w:rPr>
          <w:rFonts w:cs="Times New Roman"/>
        </w:rPr>
        <w:t>azalış</w:t>
      </w:r>
      <w:r w:rsidRPr="0058029E">
        <w:rPr>
          <w:rFonts w:cs="Times New Roman"/>
        </w:rPr>
        <w:t xml:space="preserve">, </w:t>
      </w:r>
      <w:r>
        <w:rPr>
          <w:rFonts w:cs="Times New Roman"/>
        </w:rPr>
        <w:t>24.saatten sonra ise artış gösterdiği gözlendi. En yüksek enzim miktarları 6.saatte görüldü. Tüm inkübasyon süreleri arasında anlamlı bir değişme olduğu saptandı (</w:t>
      </w:r>
      <w:r w:rsidR="009943B4">
        <w:rPr>
          <w:rFonts w:cs="Times New Roman"/>
          <w:color w:val="000000"/>
          <w:szCs w:val="24"/>
        </w:rPr>
        <w:t>p&lt;0,001)</w:t>
      </w:r>
      <w:r w:rsidR="00D450D5">
        <w:rPr>
          <w:rFonts w:cs="Times New Roman"/>
          <w:color w:val="000000"/>
          <w:szCs w:val="24"/>
        </w:rPr>
        <w:t xml:space="preserve"> (Tablo 8</w:t>
      </w:r>
      <w:r w:rsidR="00D31C92">
        <w:rPr>
          <w:rFonts w:cs="Times New Roman"/>
          <w:color w:val="000000"/>
          <w:szCs w:val="24"/>
        </w:rPr>
        <w:t>)</w:t>
      </w:r>
      <w:r w:rsidR="00897312">
        <w:rPr>
          <w:rFonts w:cs="Times New Roman"/>
          <w:color w:val="000000"/>
          <w:szCs w:val="24"/>
        </w:rPr>
        <w:t xml:space="preserve"> (Şekil 26)</w:t>
      </w:r>
      <w:r w:rsidR="00D31C92">
        <w:rPr>
          <w:rFonts w:cs="Times New Roman"/>
          <w:color w:val="000000"/>
          <w:szCs w:val="24"/>
        </w:rPr>
        <w:t>.</w:t>
      </w:r>
    </w:p>
    <w:p w:rsidR="00994ED2" w:rsidRDefault="00994ED2" w:rsidP="002B3673">
      <w:pPr>
        <w:rPr>
          <w:rFonts w:cs="Times New Roman"/>
          <w:color w:val="000000"/>
          <w:szCs w:val="24"/>
        </w:rPr>
      </w:pPr>
    </w:p>
    <w:p w:rsidR="002B3673" w:rsidRDefault="009E7ACA" w:rsidP="009E7ACA">
      <w:pPr>
        <w:pStyle w:val="AltKonuBal"/>
        <w:spacing w:line="360" w:lineRule="auto"/>
      </w:pPr>
      <w:r>
        <w:rPr>
          <w:noProof/>
          <w:lang w:eastAsia="tr-TR"/>
        </w:rPr>
        <w:drawing>
          <wp:inline distT="0" distB="0" distL="0" distR="0">
            <wp:extent cx="4579200" cy="2718594"/>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05475" w:rsidRPr="00D05475" w:rsidRDefault="00D05475" w:rsidP="00D05475"/>
    <w:p w:rsidR="002B3673" w:rsidRDefault="002B3673" w:rsidP="002B3673">
      <w:pPr>
        <w:rPr>
          <w:rFonts w:cs="Times New Roman"/>
          <w:color w:val="000000"/>
          <w:szCs w:val="24"/>
        </w:rPr>
      </w:pPr>
      <w:r w:rsidRPr="00A10993">
        <w:rPr>
          <w:rFonts w:cs="Times New Roman"/>
          <w:b/>
          <w:color w:val="000000"/>
          <w:szCs w:val="24"/>
        </w:rPr>
        <w:t>Şekil</w:t>
      </w:r>
      <w:r w:rsidR="00D05475">
        <w:rPr>
          <w:rFonts w:cs="Times New Roman"/>
          <w:b/>
          <w:color w:val="000000"/>
          <w:szCs w:val="24"/>
        </w:rPr>
        <w:t xml:space="preserve"> </w:t>
      </w:r>
      <w:r w:rsidR="00D450D5">
        <w:rPr>
          <w:rFonts w:cs="Times New Roman"/>
          <w:b/>
          <w:color w:val="000000"/>
          <w:szCs w:val="24"/>
        </w:rPr>
        <w:t>26</w:t>
      </w:r>
      <w:r>
        <w:rPr>
          <w:rFonts w:cs="Times New Roman"/>
          <w:b/>
          <w:color w:val="000000"/>
          <w:szCs w:val="24"/>
        </w:rPr>
        <w:t>.</w:t>
      </w:r>
      <w:r w:rsidRPr="008F16E1">
        <w:rPr>
          <w:rFonts w:cs="Times New Roman"/>
          <w:color w:val="000000"/>
          <w:szCs w:val="24"/>
        </w:rPr>
        <w:t xml:space="preserve"> MCF-7 kanser hücrelerinin normoksi</w:t>
      </w:r>
      <w:r>
        <w:rPr>
          <w:rFonts w:cs="Times New Roman"/>
          <w:color w:val="000000"/>
          <w:szCs w:val="24"/>
        </w:rPr>
        <w:t xml:space="preserve"> ortamında</w:t>
      </w:r>
      <w:r w:rsidRPr="008F16E1">
        <w:rPr>
          <w:rFonts w:cs="Times New Roman"/>
          <w:color w:val="000000"/>
          <w:szCs w:val="24"/>
        </w:rPr>
        <w:t xml:space="preserve"> glukozun farklı </w:t>
      </w:r>
      <w:proofErr w:type="gramStart"/>
      <w:r w:rsidRPr="008F16E1">
        <w:rPr>
          <w:rFonts w:cs="Times New Roman"/>
          <w:color w:val="000000"/>
          <w:szCs w:val="24"/>
        </w:rPr>
        <w:t>konsantrasyonlu</w:t>
      </w:r>
      <w:proofErr w:type="gramEnd"/>
      <w:r w:rsidRPr="008F16E1">
        <w:rPr>
          <w:rFonts w:cs="Times New Roman"/>
          <w:color w:val="000000"/>
          <w:szCs w:val="24"/>
        </w:rPr>
        <w:t xml:space="preserve"> uygulama gruplarında 6, 12</w:t>
      </w:r>
      <w:r>
        <w:rPr>
          <w:rFonts w:cs="Times New Roman"/>
          <w:color w:val="000000"/>
          <w:szCs w:val="24"/>
        </w:rPr>
        <w:t>,</w:t>
      </w:r>
      <w:r w:rsidRPr="008F16E1">
        <w:rPr>
          <w:rFonts w:cs="Times New Roman"/>
          <w:color w:val="000000"/>
          <w:szCs w:val="24"/>
        </w:rPr>
        <w:t xml:space="preserve"> 24</w:t>
      </w:r>
      <w:r>
        <w:rPr>
          <w:rFonts w:cs="Times New Roman"/>
          <w:color w:val="000000"/>
          <w:szCs w:val="24"/>
        </w:rPr>
        <w:t xml:space="preserve"> ve 48</w:t>
      </w:r>
      <w:r w:rsidRPr="008F16E1">
        <w:rPr>
          <w:rFonts w:cs="Times New Roman"/>
          <w:color w:val="000000"/>
          <w:szCs w:val="24"/>
        </w:rPr>
        <w:t xml:space="preserve"> saat inkübasyonu sonucu elde edilen </w:t>
      </w:r>
      <w:r>
        <w:rPr>
          <w:rFonts w:cs="Times New Roman"/>
          <w:color w:val="000000"/>
          <w:szCs w:val="24"/>
        </w:rPr>
        <w:t>PKM2 enzim</w:t>
      </w:r>
      <w:r w:rsidRPr="008F16E1">
        <w:rPr>
          <w:rFonts w:cs="Times New Roman"/>
          <w:color w:val="000000"/>
          <w:szCs w:val="24"/>
        </w:rPr>
        <w:t xml:space="preserve"> </w:t>
      </w:r>
      <w:r>
        <w:rPr>
          <w:rFonts w:cs="Times New Roman"/>
          <w:color w:val="000000"/>
          <w:szCs w:val="24"/>
        </w:rPr>
        <w:t>miktarı</w:t>
      </w:r>
      <w:r w:rsidRPr="008F16E1">
        <w:rPr>
          <w:rFonts w:cs="Times New Roman"/>
          <w:color w:val="000000"/>
          <w:szCs w:val="24"/>
        </w:rPr>
        <w:t xml:space="preserve"> düzeyleri.</w:t>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sidRPr="007A532F">
        <w:rPr>
          <w:rFonts w:cs="Times New Roman"/>
          <w:color w:val="000000"/>
          <w:szCs w:val="24"/>
        </w:rPr>
        <w:t xml:space="preserve">Hipoksik koşullarda ise 0 mM glukoz içeren uygulama grubunda </w:t>
      </w:r>
      <w:r>
        <w:rPr>
          <w:rFonts w:cs="Times New Roman"/>
          <w:color w:val="000000"/>
          <w:szCs w:val="24"/>
        </w:rPr>
        <w:t>PKM2</w:t>
      </w:r>
      <w:r w:rsidRPr="007A532F">
        <w:rPr>
          <w:rFonts w:cs="Times New Roman"/>
          <w:color w:val="000000"/>
          <w:szCs w:val="24"/>
        </w:rPr>
        <w:t xml:space="preserve"> </w:t>
      </w:r>
      <w:r>
        <w:rPr>
          <w:rFonts w:cs="Times New Roman"/>
          <w:color w:val="000000"/>
          <w:szCs w:val="24"/>
        </w:rPr>
        <w:t>enzim</w:t>
      </w:r>
      <w:r w:rsidRPr="007A532F">
        <w:rPr>
          <w:rFonts w:cs="Times New Roman"/>
          <w:color w:val="000000"/>
          <w:szCs w:val="24"/>
        </w:rPr>
        <w:t xml:space="preserve"> </w:t>
      </w:r>
      <w:r>
        <w:rPr>
          <w:rFonts w:cs="Times New Roman"/>
          <w:color w:val="000000"/>
          <w:szCs w:val="24"/>
        </w:rPr>
        <w:t>miktar</w:t>
      </w:r>
      <w:r w:rsidR="00D31C92">
        <w:rPr>
          <w:rFonts w:cs="Times New Roman"/>
          <w:color w:val="000000"/>
          <w:szCs w:val="24"/>
        </w:rPr>
        <w:t>ının</w:t>
      </w:r>
      <w:r>
        <w:rPr>
          <w:rFonts w:cs="Times New Roman"/>
          <w:color w:val="000000"/>
          <w:szCs w:val="24"/>
        </w:rPr>
        <w:t xml:space="preserve"> 6.saatten 12.saate dek</w:t>
      </w:r>
      <w:r w:rsidRPr="007A532F">
        <w:rPr>
          <w:rFonts w:cs="Times New Roman"/>
          <w:color w:val="000000"/>
          <w:szCs w:val="24"/>
        </w:rPr>
        <w:t xml:space="preserve"> art</w:t>
      </w:r>
      <w:r>
        <w:rPr>
          <w:rFonts w:cs="Times New Roman"/>
          <w:color w:val="000000"/>
          <w:szCs w:val="24"/>
        </w:rPr>
        <w:t>ış gösterdiği tespit edildi (p&lt;0,001).</w:t>
      </w:r>
      <w:r w:rsidRPr="007A532F">
        <w:rPr>
          <w:rFonts w:cs="Times New Roman"/>
          <w:color w:val="000000"/>
          <w:szCs w:val="24"/>
        </w:rPr>
        <w:t xml:space="preserve"> </w:t>
      </w:r>
      <w:r>
        <w:rPr>
          <w:rFonts w:cs="Times New Roman"/>
          <w:color w:val="000000"/>
          <w:szCs w:val="24"/>
        </w:rPr>
        <w:t>12</w:t>
      </w:r>
      <w:r w:rsidRPr="007A532F">
        <w:rPr>
          <w:rFonts w:cs="Times New Roman"/>
          <w:color w:val="000000"/>
          <w:szCs w:val="24"/>
        </w:rPr>
        <w:t>.saatte</w:t>
      </w:r>
      <w:r>
        <w:rPr>
          <w:rFonts w:cs="Times New Roman"/>
          <w:color w:val="000000"/>
          <w:szCs w:val="24"/>
        </w:rPr>
        <w:t>n sonra</w:t>
      </w:r>
      <w:r w:rsidRPr="007A532F">
        <w:rPr>
          <w:rFonts w:cs="Times New Roman"/>
          <w:color w:val="000000"/>
          <w:szCs w:val="24"/>
        </w:rPr>
        <w:t xml:space="preserve"> </w:t>
      </w:r>
      <w:r>
        <w:rPr>
          <w:rFonts w:cs="Times New Roman"/>
          <w:color w:val="000000"/>
          <w:szCs w:val="24"/>
        </w:rPr>
        <w:t xml:space="preserve">ise enzim seviyesinin </w:t>
      </w:r>
      <w:r w:rsidRPr="007A532F">
        <w:rPr>
          <w:rFonts w:cs="Times New Roman"/>
          <w:color w:val="000000"/>
          <w:szCs w:val="24"/>
        </w:rPr>
        <w:t xml:space="preserve">azalmaya </w:t>
      </w:r>
      <w:r>
        <w:rPr>
          <w:rFonts w:cs="Times New Roman"/>
          <w:color w:val="000000"/>
          <w:szCs w:val="24"/>
        </w:rPr>
        <w:t xml:space="preserve">başladığı </w:t>
      </w:r>
      <w:r w:rsidRPr="007A532F">
        <w:rPr>
          <w:rFonts w:cs="Times New Roman"/>
          <w:color w:val="000000"/>
          <w:szCs w:val="24"/>
        </w:rPr>
        <w:t>görüldü</w:t>
      </w:r>
      <w:r>
        <w:rPr>
          <w:rFonts w:cs="Times New Roman"/>
          <w:color w:val="000000"/>
          <w:szCs w:val="24"/>
        </w:rPr>
        <w:t xml:space="preserve"> (p&lt;0,001)</w:t>
      </w:r>
      <w:r w:rsidRPr="007A532F">
        <w:rPr>
          <w:rFonts w:cs="Times New Roman"/>
          <w:color w:val="000000"/>
          <w:szCs w:val="24"/>
        </w:rPr>
        <w:t xml:space="preserve">. </w:t>
      </w:r>
      <w:r>
        <w:rPr>
          <w:rFonts w:cs="Times New Roman"/>
          <w:color w:val="000000"/>
          <w:szCs w:val="24"/>
        </w:rPr>
        <w:t xml:space="preserve">5.5 </w:t>
      </w:r>
      <w:r w:rsidRPr="007A532F">
        <w:rPr>
          <w:rFonts w:cs="Times New Roman"/>
          <w:color w:val="000000"/>
          <w:szCs w:val="24"/>
        </w:rPr>
        <w:t xml:space="preserve">mM glukoz uygulama grubunda </w:t>
      </w:r>
      <w:r>
        <w:rPr>
          <w:rFonts w:cs="Times New Roman"/>
          <w:color w:val="000000"/>
          <w:szCs w:val="24"/>
        </w:rPr>
        <w:t>6.saatten 48.saate kadar enzim miktarında anlamlı bir azalış kaydedildi (p&lt;0,001).</w:t>
      </w:r>
      <w:r w:rsidRPr="007A532F">
        <w:rPr>
          <w:rFonts w:cs="Times New Roman"/>
          <w:color w:val="000000"/>
          <w:szCs w:val="24"/>
        </w:rPr>
        <w:t xml:space="preserve"> 15 </w:t>
      </w:r>
      <w:r>
        <w:rPr>
          <w:rFonts w:cs="Times New Roman"/>
          <w:color w:val="000000"/>
          <w:szCs w:val="24"/>
        </w:rPr>
        <w:t>ve 55 mM glukoz uygulama gruplarında</w:t>
      </w:r>
      <w:r w:rsidRPr="007A532F">
        <w:rPr>
          <w:rFonts w:cs="Times New Roman"/>
          <w:color w:val="000000"/>
          <w:szCs w:val="24"/>
        </w:rPr>
        <w:t xml:space="preserve"> </w:t>
      </w:r>
      <w:r>
        <w:rPr>
          <w:rFonts w:cs="Times New Roman"/>
          <w:color w:val="000000"/>
          <w:szCs w:val="24"/>
        </w:rPr>
        <w:t>6</w:t>
      </w:r>
      <w:r w:rsidRPr="007A532F">
        <w:rPr>
          <w:rFonts w:cs="Times New Roman"/>
          <w:color w:val="000000"/>
          <w:szCs w:val="24"/>
        </w:rPr>
        <w:t xml:space="preserve">.saatten itibaren </w:t>
      </w:r>
      <w:r>
        <w:rPr>
          <w:rFonts w:cs="Times New Roman"/>
          <w:color w:val="000000"/>
          <w:szCs w:val="24"/>
        </w:rPr>
        <w:t>enzim</w:t>
      </w:r>
      <w:r w:rsidRPr="007A532F">
        <w:rPr>
          <w:rFonts w:cs="Times New Roman"/>
          <w:color w:val="000000"/>
          <w:szCs w:val="24"/>
        </w:rPr>
        <w:t xml:space="preserve"> </w:t>
      </w:r>
      <w:r>
        <w:rPr>
          <w:rFonts w:cs="Times New Roman"/>
          <w:color w:val="000000"/>
          <w:szCs w:val="24"/>
        </w:rPr>
        <w:t>miktarlarının</w:t>
      </w:r>
      <w:r w:rsidRPr="007A532F">
        <w:rPr>
          <w:rFonts w:cs="Times New Roman"/>
          <w:color w:val="000000"/>
          <w:szCs w:val="24"/>
        </w:rPr>
        <w:t xml:space="preserve"> azal</w:t>
      </w:r>
      <w:r>
        <w:rPr>
          <w:rFonts w:cs="Times New Roman"/>
          <w:color w:val="000000"/>
          <w:szCs w:val="24"/>
        </w:rPr>
        <w:t>dığı</w:t>
      </w:r>
      <w:r w:rsidRPr="007A532F">
        <w:rPr>
          <w:rFonts w:cs="Times New Roman"/>
          <w:color w:val="000000"/>
          <w:szCs w:val="24"/>
        </w:rPr>
        <w:t>; 24.saat</w:t>
      </w:r>
      <w:r>
        <w:rPr>
          <w:rFonts w:cs="Times New Roman"/>
          <w:color w:val="000000"/>
          <w:szCs w:val="24"/>
        </w:rPr>
        <w:t>ten sonra ise artmaya başladığı belirlendi.</w:t>
      </w:r>
      <w:r w:rsidRPr="007A532F">
        <w:rPr>
          <w:rFonts w:cs="Times New Roman"/>
          <w:color w:val="000000"/>
          <w:szCs w:val="24"/>
        </w:rPr>
        <w:t xml:space="preserve"> </w:t>
      </w:r>
      <w:r w:rsidRPr="008F16E1">
        <w:rPr>
          <w:rFonts w:cs="Times New Roman"/>
          <w:color w:val="000000"/>
          <w:szCs w:val="24"/>
        </w:rPr>
        <w:t xml:space="preserve">Farklı </w:t>
      </w:r>
      <w:proofErr w:type="gramStart"/>
      <w:r w:rsidRPr="008F16E1">
        <w:rPr>
          <w:rFonts w:cs="Times New Roman"/>
          <w:color w:val="000000"/>
          <w:szCs w:val="24"/>
        </w:rPr>
        <w:t>konsantrasyon</w:t>
      </w:r>
      <w:r>
        <w:rPr>
          <w:rFonts w:cs="Times New Roman"/>
          <w:color w:val="000000"/>
          <w:szCs w:val="24"/>
        </w:rPr>
        <w:t>lar</w:t>
      </w:r>
      <w:r w:rsidRPr="008F16E1">
        <w:rPr>
          <w:rFonts w:cs="Times New Roman"/>
          <w:color w:val="000000"/>
          <w:szCs w:val="24"/>
        </w:rPr>
        <w:t>da</w:t>
      </w:r>
      <w:r>
        <w:rPr>
          <w:rFonts w:cs="Times New Roman"/>
          <w:color w:val="000000"/>
          <w:szCs w:val="24"/>
        </w:rPr>
        <w:t>ki</w:t>
      </w:r>
      <w:proofErr w:type="gramEnd"/>
      <w:r w:rsidRPr="008F16E1">
        <w:rPr>
          <w:rFonts w:cs="Times New Roman"/>
          <w:color w:val="000000"/>
          <w:szCs w:val="24"/>
        </w:rPr>
        <w:t xml:space="preserve"> glukoz uygulama gruplarında tüm ink</w:t>
      </w:r>
      <w:r>
        <w:rPr>
          <w:rFonts w:cs="Times New Roman"/>
          <w:color w:val="000000"/>
          <w:szCs w:val="24"/>
        </w:rPr>
        <w:t>ü</w:t>
      </w:r>
      <w:r w:rsidRPr="008F16E1">
        <w:rPr>
          <w:rFonts w:cs="Times New Roman"/>
          <w:color w:val="000000"/>
          <w:szCs w:val="24"/>
        </w:rPr>
        <w:t>basyon zamanları arası önemli</w:t>
      </w:r>
      <w:r>
        <w:rPr>
          <w:rFonts w:cs="Times New Roman"/>
          <w:color w:val="000000"/>
          <w:szCs w:val="24"/>
        </w:rPr>
        <w:t xml:space="preserve"> iken (p&lt;0,001), sadece 1</w:t>
      </w:r>
      <w:r w:rsidRPr="007A532F">
        <w:rPr>
          <w:rFonts w:cs="Times New Roman"/>
          <w:color w:val="000000"/>
          <w:szCs w:val="24"/>
        </w:rPr>
        <w:t xml:space="preserve">5 </w:t>
      </w:r>
      <w:r>
        <w:rPr>
          <w:rFonts w:cs="Times New Roman"/>
          <w:color w:val="000000"/>
          <w:szCs w:val="24"/>
        </w:rPr>
        <w:t>m</w:t>
      </w:r>
      <w:r w:rsidRPr="007A532F">
        <w:rPr>
          <w:rFonts w:cs="Times New Roman"/>
          <w:color w:val="000000"/>
          <w:szCs w:val="24"/>
        </w:rPr>
        <w:t xml:space="preserve">M glukoz içeren ortamlarda </w:t>
      </w:r>
      <w:r w:rsidRPr="00325799">
        <w:rPr>
          <w:rFonts w:cs="Times New Roman"/>
          <w:color w:val="000000"/>
          <w:szCs w:val="24"/>
        </w:rPr>
        <w:t xml:space="preserve">12.ve 24.saat inkübasyon süreleri arasında </w:t>
      </w:r>
      <w:r>
        <w:rPr>
          <w:rFonts w:cs="Times New Roman"/>
          <w:color w:val="000000"/>
          <w:szCs w:val="24"/>
        </w:rPr>
        <w:t>PKM2 enzim miktarında</w:t>
      </w:r>
      <w:r w:rsidRPr="007A532F">
        <w:rPr>
          <w:rFonts w:cs="Times New Roman"/>
          <w:color w:val="000000"/>
          <w:szCs w:val="24"/>
        </w:rPr>
        <w:t xml:space="preserve"> zam</w:t>
      </w:r>
      <w:r w:rsidRPr="00A10993">
        <w:rPr>
          <w:rFonts w:cs="Times New Roman"/>
          <w:color w:val="000000"/>
          <w:szCs w:val="24"/>
        </w:rPr>
        <w:t>ana bağlı anlam</w:t>
      </w:r>
      <w:r w:rsidR="00897312">
        <w:rPr>
          <w:rFonts w:cs="Times New Roman"/>
          <w:color w:val="000000"/>
          <w:szCs w:val="24"/>
        </w:rPr>
        <w:t>lı bir fark bulunamadı (p&gt;0,05)</w:t>
      </w:r>
      <w:r w:rsidR="00D31C92">
        <w:rPr>
          <w:rFonts w:cs="Times New Roman"/>
          <w:color w:val="000000"/>
          <w:szCs w:val="24"/>
        </w:rPr>
        <w:t xml:space="preserve"> </w:t>
      </w:r>
      <w:r w:rsidR="00D450D5">
        <w:rPr>
          <w:rFonts w:cs="Times New Roman"/>
          <w:color w:val="000000"/>
          <w:szCs w:val="24"/>
        </w:rPr>
        <w:t>(Tablo 8</w:t>
      </w:r>
      <w:r w:rsidR="00897312">
        <w:rPr>
          <w:rFonts w:cs="Times New Roman"/>
          <w:color w:val="000000"/>
          <w:szCs w:val="24"/>
        </w:rPr>
        <w:t xml:space="preserve">) (Şekil 27). </w:t>
      </w:r>
    </w:p>
    <w:p w:rsidR="00F9643B" w:rsidRPr="00A10993" w:rsidRDefault="00F9643B" w:rsidP="002B3673">
      <w:pPr>
        <w:rPr>
          <w:rFonts w:cs="Times New Roman"/>
          <w:color w:val="000000"/>
          <w:szCs w:val="24"/>
        </w:rPr>
      </w:pPr>
    </w:p>
    <w:p w:rsidR="002B3673" w:rsidRDefault="002F077A" w:rsidP="00F9643B">
      <w:pPr>
        <w:pStyle w:val="AltKonuBal"/>
      </w:pPr>
      <w:r>
        <w:rPr>
          <w:noProof/>
          <w:lang w:eastAsia="tr-TR"/>
        </w:rPr>
        <w:lastRenderedPageBreak/>
        <w:drawing>
          <wp:inline distT="0" distB="0" distL="0" distR="0">
            <wp:extent cx="4572000" cy="2718594"/>
            <wp:effectExtent l="0" t="0" r="0" b="571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B3673" w:rsidRPr="00A10993" w:rsidRDefault="002B3673" w:rsidP="002B3673">
      <w:pPr>
        <w:jc w:val="center"/>
        <w:rPr>
          <w:rFonts w:cs="Times New Roman"/>
        </w:rPr>
      </w:pPr>
    </w:p>
    <w:p w:rsidR="002B3673" w:rsidRPr="00A10993" w:rsidRDefault="00D450D5" w:rsidP="002B3673">
      <w:pPr>
        <w:rPr>
          <w:rFonts w:cs="Times New Roman"/>
          <w:color w:val="000000"/>
          <w:szCs w:val="24"/>
        </w:rPr>
      </w:pPr>
      <w:r>
        <w:rPr>
          <w:rFonts w:cs="Times New Roman"/>
          <w:b/>
          <w:color w:val="000000"/>
          <w:szCs w:val="24"/>
        </w:rPr>
        <w:t>Şekil 27</w:t>
      </w:r>
      <w:r w:rsidR="002B3673" w:rsidRPr="00A10993">
        <w:rPr>
          <w:rFonts w:cs="Times New Roman"/>
          <w:b/>
          <w:color w:val="000000"/>
          <w:szCs w:val="24"/>
        </w:rPr>
        <w:t>.</w:t>
      </w:r>
      <w:r w:rsidR="002B3673" w:rsidRPr="00A10993">
        <w:rPr>
          <w:rFonts w:cs="Times New Roman"/>
          <w:color w:val="000000"/>
          <w:szCs w:val="24"/>
        </w:rPr>
        <w:t xml:space="preserve">  MCF-7 kanser hücrelerinin hipoksi ortamında glukozun farklı </w:t>
      </w:r>
      <w:proofErr w:type="gramStart"/>
      <w:r w:rsidR="002B3673" w:rsidRPr="00A10993">
        <w:rPr>
          <w:rFonts w:cs="Times New Roman"/>
          <w:color w:val="000000"/>
          <w:szCs w:val="24"/>
        </w:rPr>
        <w:t>konsantrasyonlu</w:t>
      </w:r>
      <w:proofErr w:type="gramEnd"/>
      <w:r w:rsidR="002B3673" w:rsidRPr="00A10993">
        <w:rPr>
          <w:rFonts w:cs="Times New Roman"/>
          <w:color w:val="000000"/>
          <w:szCs w:val="24"/>
        </w:rPr>
        <w:t xml:space="preserve"> uygulama gruplarında 6, 12, 24 ve 48 saat inkübasyonu sonucu elde edilen PKM2 enzim miktarı düzeyleri.</w:t>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Pr>
          <w:rFonts w:cs="Times New Roman"/>
          <w:color w:val="000000"/>
          <w:szCs w:val="24"/>
        </w:rPr>
        <w:t>Konsantrasyon far</w:t>
      </w:r>
      <w:r w:rsidR="00D27D90">
        <w:rPr>
          <w:rFonts w:cs="Times New Roman"/>
          <w:color w:val="000000"/>
          <w:szCs w:val="24"/>
        </w:rPr>
        <w:t>k</w:t>
      </w:r>
      <w:r>
        <w:rPr>
          <w:rFonts w:cs="Times New Roman"/>
          <w:color w:val="000000"/>
          <w:szCs w:val="24"/>
        </w:rPr>
        <w:t xml:space="preserve">lılığına bağlı incelenen normoksik ortamdaki MCF-7 hücrelerinin 6, 24 ve 48. saat inkübasyon süreleri için </w:t>
      </w:r>
      <w:proofErr w:type="gramStart"/>
      <w:r>
        <w:rPr>
          <w:rFonts w:cs="Times New Roman"/>
          <w:color w:val="000000"/>
          <w:szCs w:val="24"/>
        </w:rPr>
        <w:t>5.5</w:t>
      </w:r>
      <w:proofErr w:type="gramEnd"/>
      <w:r>
        <w:rPr>
          <w:rFonts w:cs="Times New Roman"/>
          <w:color w:val="000000"/>
          <w:szCs w:val="24"/>
        </w:rPr>
        <w:t xml:space="preserve"> mM konsantrasyonda PKM2’</w:t>
      </w:r>
      <w:r w:rsidR="00576C82">
        <w:rPr>
          <w:rFonts w:cs="Times New Roman"/>
          <w:color w:val="000000"/>
          <w:szCs w:val="24"/>
        </w:rPr>
        <w:t xml:space="preserve">nin en yüksek düzeyine ulaştığı, </w:t>
      </w:r>
      <w:r>
        <w:rPr>
          <w:rFonts w:cs="Times New Roman"/>
          <w:color w:val="000000"/>
          <w:szCs w:val="24"/>
        </w:rPr>
        <w:t xml:space="preserve">12. </w:t>
      </w:r>
      <w:r w:rsidR="00576C82">
        <w:rPr>
          <w:rFonts w:cs="Times New Roman"/>
          <w:color w:val="000000"/>
          <w:szCs w:val="24"/>
        </w:rPr>
        <w:t>saatte ise 15 mM konsantrasyonda</w:t>
      </w:r>
      <w:r>
        <w:rPr>
          <w:rFonts w:cs="Times New Roman"/>
          <w:color w:val="000000"/>
          <w:szCs w:val="24"/>
        </w:rPr>
        <w:t xml:space="preserve"> </w:t>
      </w:r>
      <w:r w:rsidR="00576C82">
        <w:rPr>
          <w:rFonts w:cs="Times New Roman"/>
          <w:color w:val="000000"/>
          <w:szCs w:val="24"/>
        </w:rPr>
        <w:t xml:space="preserve">diğer </w:t>
      </w:r>
      <w:r>
        <w:rPr>
          <w:rFonts w:cs="Times New Roman"/>
          <w:color w:val="000000"/>
          <w:szCs w:val="24"/>
        </w:rPr>
        <w:t>dozlar</w:t>
      </w:r>
      <w:r w:rsidR="00576C82">
        <w:rPr>
          <w:rFonts w:cs="Times New Roman"/>
          <w:color w:val="000000"/>
          <w:szCs w:val="24"/>
        </w:rPr>
        <w:t>a göre</w:t>
      </w:r>
      <w:r>
        <w:rPr>
          <w:rFonts w:cs="Times New Roman"/>
          <w:color w:val="000000"/>
          <w:szCs w:val="24"/>
        </w:rPr>
        <w:t xml:space="preserve"> </w:t>
      </w:r>
      <w:r w:rsidR="00576C82">
        <w:rPr>
          <w:rFonts w:cs="Times New Roman"/>
          <w:color w:val="000000"/>
          <w:szCs w:val="24"/>
        </w:rPr>
        <w:t>anlamlı bir artış olduğu</w:t>
      </w:r>
      <w:r>
        <w:rPr>
          <w:rFonts w:cs="Times New Roman"/>
          <w:color w:val="000000"/>
          <w:szCs w:val="24"/>
        </w:rPr>
        <w:t xml:space="preserve"> görüldü</w:t>
      </w:r>
      <w:r w:rsidR="00576C82">
        <w:rPr>
          <w:rFonts w:cs="Times New Roman"/>
          <w:color w:val="000000"/>
          <w:szCs w:val="24"/>
        </w:rPr>
        <w:t xml:space="preserve"> (p&lt;0,001).</w:t>
      </w:r>
      <w:r>
        <w:rPr>
          <w:rFonts w:cs="Times New Roman"/>
          <w:color w:val="000000"/>
          <w:szCs w:val="24"/>
        </w:rPr>
        <w:t xml:space="preserve"> Hipoksik ortamdaki hücrelerde 6. ve 48. saatlerde doza bağlı bir artış, 12.saatte ise doza bağlı kademeli bir azalış kaydedildi (p&lt;0,001). 24.saatte doza bağlı büyük farklar tespit edilmedi. Hipoksik ortamdaki en yüksek PKM2 miktarı 6.saat inkübasyon süresinde </w:t>
      </w:r>
      <w:r w:rsidR="00D27D90">
        <w:rPr>
          <w:rFonts w:cs="Times New Roman"/>
          <w:color w:val="000000"/>
          <w:szCs w:val="24"/>
        </w:rPr>
        <w:t xml:space="preserve">15 mM </w:t>
      </w:r>
      <w:proofErr w:type="gramStart"/>
      <w:r w:rsidR="00D27D90">
        <w:rPr>
          <w:rFonts w:cs="Times New Roman"/>
          <w:color w:val="000000"/>
          <w:szCs w:val="24"/>
        </w:rPr>
        <w:t>konsantrasyonunda</w:t>
      </w:r>
      <w:proofErr w:type="gramEnd"/>
      <w:r w:rsidR="00D27D90">
        <w:rPr>
          <w:rFonts w:cs="Times New Roman"/>
          <w:color w:val="000000"/>
          <w:szCs w:val="24"/>
        </w:rPr>
        <w:t xml:space="preserve"> </w:t>
      </w:r>
      <w:r w:rsidR="005405FF">
        <w:rPr>
          <w:rFonts w:cs="Times New Roman"/>
          <w:color w:val="000000"/>
          <w:szCs w:val="24"/>
        </w:rPr>
        <w:t xml:space="preserve">belirlendi (p&lt;0,001) </w:t>
      </w:r>
      <w:r w:rsidR="00D450D5">
        <w:rPr>
          <w:rFonts w:cs="Times New Roman"/>
          <w:color w:val="000000"/>
          <w:szCs w:val="24"/>
        </w:rPr>
        <w:t>(Tablo 8</w:t>
      </w:r>
      <w:r w:rsidR="009943B4">
        <w:rPr>
          <w:rFonts w:cs="Times New Roman"/>
          <w:color w:val="000000"/>
          <w:szCs w:val="24"/>
        </w:rPr>
        <w:t xml:space="preserve">) </w:t>
      </w:r>
      <w:r w:rsidR="00897312">
        <w:rPr>
          <w:rFonts w:cs="Times New Roman"/>
          <w:color w:val="000000"/>
          <w:szCs w:val="24"/>
        </w:rPr>
        <w:t xml:space="preserve">(Şekil 28 ve </w:t>
      </w:r>
      <w:r w:rsidR="009943B4">
        <w:rPr>
          <w:rFonts w:cs="Times New Roman"/>
          <w:color w:val="000000"/>
          <w:szCs w:val="24"/>
        </w:rPr>
        <w:t xml:space="preserve">Şekil </w:t>
      </w:r>
      <w:r w:rsidR="00897312">
        <w:rPr>
          <w:rFonts w:cs="Times New Roman"/>
          <w:color w:val="000000"/>
          <w:szCs w:val="24"/>
        </w:rPr>
        <w:t xml:space="preserve">29). </w:t>
      </w:r>
    </w:p>
    <w:p w:rsidR="002B3673" w:rsidRDefault="002B3673" w:rsidP="002B3673">
      <w:pPr>
        <w:rPr>
          <w:rFonts w:cs="Times New Roman"/>
          <w:color w:val="000000"/>
          <w:szCs w:val="24"/>
        </w:rPr>
      </w:pPr>
    </w:p>
    <w:p w:rsidR="002B3673" w:rsidRDefault="002F077A" w:rsidP="00967259">
      <w:pPr>
        <w:pStyle w:val="AltKonuBal"/>
      </w:pPr>
      <w:r>
        <w:rPr>
          <w:noProof/>
          <w:lang w:eastAsia="tr-TR"/>
        </w:rPr>
        <w:lastRenderedPageBreak/>
        <w:drawing>
          <wp:inline distT="0" distB="0" distL="0" distR="0">
            <wp:extent cx="4572000" cy="2719388"/>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B3673" w:rsidRDefault="002B3673" w:rsidP="002B3673">
      <w:pPr>
        <w:jc w:val="center"/>
      </w:pPr>
    </w:p>
    <w:p w:rsidR="002B3673" w:rsidRDefault="00D450D5" w:rsidP="002B3673">
      <w:pPr>
        <w:rPr>
          <w:rFonts w:cs="Times New Roman"/>
          <w:color w:val="000000"/>
          <w:szCs w:val="24"/>
        </w:rPr>
      </w:pPr>
      <w:r>
        <w:rPr>
          <w:rFonts w:cs="Times New Roman"/>
          <w:b/>
          <w:color w:val="000000"/>
          <w:szCs w:val="24"/>
        </w:rPr>
        <w:t>Şekil 28</w:t>
      </w:r>
      <w:r w:rsidR="002B3673" w:rsidRPr="00A10993">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normoksi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 xml:space="preserve">a </w:t>
      </w:r>
      <w:r w:rsidR="002B3673" w:rsidRPr="00EE6E59">
        <w:rPr>
          <w:rFonts w:cs="Times New Roman"/>
          <w:color w:val="000000"/>
          <w:szCs w:val="24"/>
        </w:rPr>
        <w:t>PKM2 miktarlarının karşılaştırılması.</w:t>
      </w:r>
    </w:p>
    <w:p w:rsidR="00D05475" w:rsidRDefault="00D05475" w:rsidP="002B3673"/>
    <w:p w:rsidR="002B3673" w:rsidRDefault="002F077A" w:rsidP="00967259">
      <w:pPr>
        <w:pStyle w:val="AltKonuBal"/>
      </w:pPr>
      <w:r>
        <w:rPr>
          <w:noProof/>
          <w:lang w:eastAsia="tr-TR"/>
        </w:rPr>
        <w:drawing>
          <wp:inline distT="0" distB="0" distL="0" distR="0">
            <wp:extent cx="4572000" cy="2718594"/>
            <wp:effectExtent l="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B3673" w:rsidRDefault="002B3673" w:rsidP="002B3673">
      <w:pPr>
        <w:jc w:val="center"/>
      </w:pPr>
    </w:p>
    <w:p w:rsidR="002B3673" w:rsidRDefault="00D450D5" w:rsidP="002B3673">
      <w:pPr>
        <w:rPr>
          <w:rFonts w:cs="Times New Roman"/>
          <w:color w:val="000000"/>
          <w:szCs w:val="24"/>
        </w:rPr>
      </w:pPr>
      <w:r>
        <w:rPr>
          <w:rFonts w:cs="Times New Roman"/>
          <w:b/>
          <w:color w:val="000000"/>
          <w:szCs w:val="24"/>
        </w:rPr>
        <w:t>Şekil 29</w:t>
      </w:r>
      <w:r w:rsidR="002B3673" w:rsidRPr="00A10993">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w:t>
      </w:r>
      <w:r w:rsidR="002B3673">
        <w:rPr>
          <w:rFonts w:cs="Times New Roman"/>
          <w:color w:val="000000"/>
          <w:szCs w:val="24"/>
        </w:rPr>
        <w:t>hipoksi</w:t>
      </w:r>
      <w:r w:rsidR="002B3673" w:rsidRPr="00EE6E59">
        <w:rPr>
          <w:rFonts w:cs="Times New Roman"/>
          <w:color w:val="000000"/>
          <w:szCs w:val="24"/>
        </w:rPr>
        <w:t xml:space="preserve">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 xml:space="preserve">a </w:t>
      </w:r>
      <w:r w:rsidR="002B3673" w:rsidRPr="00EE6E59">
        <w:rPr>
          <w:rFonts w:cs="Times New Roman"/>
          <w:color w:val="000000"/>
          <w:szCs w:val="24"/>
        </w:rPr>
        <w:t>PKM2 miktarlarının karşılaştırılması.</w:t>
      </w:r>
    </w:p>
    <w:p w:rsidR="00D05475" w:rsidRDefault="00D05475" w:rsidP="002B3673">
      <w:pPr>
        <w:rPr>
          <w:rFonts w:cs="Times New Roman"/>
          <w:color w:val="000000"/>
          <w:szCs w:val="24"/>
        </w:rPr>
      </w:pPr>
    </w:p>
    <w:p w:rsidR="002B3673" w:rsidRDefault="002B3673" w:rsidP="002C1282">
      <w:pPr>
        <w:ind w:firstLine="0"/>
      </w:pPr>
    </w:p>
    <w:p w:rsidR="002B3673" w:rsidRPr="0058029E" w:rsidRDefault="002B3673" w:rsidP="002B3673"/>
    <w:p w:rsidR="002B3673" w:rsidRDefault="002B3673" w:rsidP="00D05475">
      <w:pPr>
        <w:pStyle w:val="Balk2"/>
        <w:rPr>
          <w:rFonts w:eastAsia="Times New Roman"/>
          <w:lang w:eastAsia="tr-TR"/>
        </w:rPr>
      </w:pPr>
      <w:r>
        <w:rPr>
          <w:rFonts w:eastAsia="Times New Roman"/>
          <w:lang w:eastAsia="tr-TR"/>
        </w:rPr>
        <w:lastRenderedPageBreak/>
        <w:t>4.</w:t>
      </w:r>
      <w:r w:rsidR="00A93050">
        <w:rPr>
          <w:rFonts w:eastAsia="Times New Roman"/>
          <w:lang w:eastAsia="tr-TR"/>
        </w:rPr>
        <w:t>3</w:t>
      </w:r>
      <w:r>
        <w:rPr>
          <w:rFonts w:eastAsia="Times New Roman"/>
          <w:lang w:eastAsia="tr-TR"/>
        </w:rPr>
        <w:t>.1.2</w:t>
      </w:r>
      <w:r w:rsidR="00861AA3">
        <w:rPr>
          <w:rFonts w:eastAsia="Times New Roman"/>
          <w:lang w:eastAsia="tr-TR"/>
        </w:rPr>
        <w:t>.</w:t>
      </w:r>
      <w:r w:rsidR="006B7302">
        <w:rPr>
          <w:rFonts w:eastAsia="Times New Roman"/>
          <w:lang w:eastAsia="tr-TR"/>
        </w:rPr>
        <w:t xml:space="preserve"> Aynı </w:t>
      </w:r>
      <w:proofErr w:type="gramStart"/>
      <w:r w:rsidR="006B7302">
        <w:rPr>
          <w:rFonts w:eastAsia="Times New Roman"/>
          <w:lang w:eastAsia="tr-TR"/>
        </w:rPr>
        <w:t>k</w:t>
      </w:r>
      <w:r>
        <w:rPr>
          <w:rFonts w:eastAsia="Times New Roman"/>
          <w:lang w:eastAsia="tr-TR"/>
        </w:rPr>
        <w:t>onsantrasyonlu</w:t>
      </w:r>
      <w:proofErr w:type="gramEnd"/>
      <w:r>
        <w:rPr>
          <w:rFonts w:eastAsia="Times New Roman"/>
          <w:lang w:eastAsia="tr-TR"/>
        </w:rPr>
        <w:t xml:space="preserve"> </w:t>
      </w:r>
      <w:r w:rsidR="006B7302">
        <w:rPr>
          <w:rFonts w:eastAsia="Times New Roman"/>
          <w:lang w:eastAsia="tr-TR"/>
        </w:rPr>
        <w:t>g</w:t>
      </w:r>
      <w:r>
        <w:rPr>
          <w:rFonts w:eastAsia="Times New Roman"/>
          <w:lang w:eastAsia="tr-TR"/>
        </w:rPr>
        <w:t xml:space="preserve">lukoz </w:t>
      </w:r>
      <w:r w:rsidR="006B7302">
        <w:rPr>
          <w:rFonts w:eastAsia="Times New Roman"/>
          <w:lang w:eastAsia="tr-TR"/>
        </w:rPr>
        <w:t>u</w:t>
      </w:r>
      <w:r>
        <w:rPr>
          <w:rFonts w:eastAsia="Times New Roman"/>
          <w:lang w:eastAsia="tr-TR"/>
        </w:rPr>
        <w:t xml:space="preserve">ygulamalarında </w:t>
      </w:r>
      <w:r w:rsidR="006B7302">
        <w:rPr>
          <w:rFonts w:eastAsia="Times New Roman"/>
          <w:lang w:eastAsia="tr-TR"/>
        </w:rPr>
        <w:t>n</w:t>
      </w:r>
      <w:r>
        <w:rPr>
          <w:rFonts w:eastAsia="Times New Roman"/>
          <w:lang w:eastAsia="tr-TR"/>
        </w:rPr>
        <w:t xml:space="preserve">ormoksik ve </w:t>
      </w:r>
      <w:r w:rsidR="006B7302">
        <w:rPr>
          <w:rFonts w:eastAsia="Times New Roman"/>
          <w:lang w:eastAsia="tr-TR"/>
        </w:rPr>
        <w:t>h</w:t>
      </w:r>
      <w:r>
        <w:rPr>
          <w:rFonts w:eastAsia="Times New Roman"/>
          <w:lang w:eastAsia="tr-TR"/>
        </w:rPr>
        <w:t xml:space="preserve">ipoksik </w:t>
      </w:r>
      <w:r w:rsidR="006B7302">
        <w:rPr>
          <w:rFonts w:eastAsia="Times New Roman"/>
          <w:lang w:eastAsia="tr-TR"/>
        </w:rPr>
        <w:t>ortamdaki PKM2 e</w:t>
      </w:r>
      <w:r>
        <w:rPr>
          <w:rFonts w:eastAsia="Times New Roman"/>
          <w:lang w:eastAsia="tr-TR"/>
        </w:rPr>
        <w:t xml:space="preserve">nzim </w:t>
      </w:r>
      <w:r w:rsidR="006B7302">
        <w:rPr>
          <w:rFonts w:eastAsia="Times New Roman"/>
          <w:lang w:eastAsia="tr-TR"/>
        </w:rPr>
        <w:t>m</w:t>
      </w:r>
      <w:r>
        <w:rPr>
          <w:rFonts w:eastAsia="Times New Roman"/>
          <w:lang w:eastAsia="tr-TR"/>
        </w:rPr>
        <w:t xml:space="preserve">iktarlarının </w:t>
      </w:r>
      <w:r w:rsidR="006B7302">
        <w:rPr>
          <w:rFonts w:eastAsia="Times New Roman"/>
          <w:lang w:eastAsia="tr-TR"/>
        </w:rPr>
        <w:t>k</w:t>
      </w:r>
      <w:r>
        <w:rPr>
          <w:rFonts w:eastAsia="Times New Roman"/>
          <w:lang w:eastAsia="tr-TR"/>
        </w:rPr>
        <w:t>arşılaştırılması</w:t>
      </w:r>
    </w:p>
    <w:p w:rsidR="002B3673" w:rsidRPr="003A1837" w:rsidRDefault="002B3673" w:rsidP="002B3673">
      <w:pPr>
        <w:rPr>
          <w:rFonts w:cs="Times New Roman"/>
          <w:color w:val="000000"/>
          <w:szCs w:val="24"/>
        </w:rPr>
      </w:pPr>
    </w:p>
    <w:p w:rsidR="002B3673" w:rsidRDefault="002B3673" w:rsidP="002B3673">
      <w:pPr>
        <w:rPr>
          <w:rFonts w:cs="Times New Roman"/>
          <w:color w:val="000000"/>
          <w:szCs w:val="24"/>
        </w:rPr>
      </w:pPr>
      <w:r w:rsidRPr="009B5825">
        <w:rPr>
          <w:rFonts w:cs="Times New Roman"/>
          <w:color w:val="000000"/>
          <w:szCs w:val="24"/>
        </w:rPr>
        <w:t xml:space="preserve">Normoksik ve hipoksik koşullara maruz bırakılan MCF-7 hücrelerinde </w:t>
      </w:r>
      <w:r>
        <w:rPr>
          <w:rFonts w:cs="Times New Roman"/>
          <w:color w:val="000000"/>
          <w:szCs w:val="24"/>
        </w:rPr>
        <w:t>PKM2</w:t>
      </w:r>
      <w:r w:rsidRPr="009B5825">
        <w:rPr>
          <w:rFonts w:cs="Times New Roman"/>
          <w:color w:val="000000"/>
          <w:szCs w:val="24"/>
        </w:rPr>
        <w:t xml:space="preserve"> </w:t>
      </w:r>
      <w:r>
        <w:rPr>
          <w:rFonts w:cs="Times New Roman"/>
          <w:color w:val="000000"/>
          <w:szCs w:val="24"/>
        </w:rPr>
        <w:t>enzim miktarları</w:t>
      </w:r>
      <w:r w:rsidRPr="009B5825">
        <w:rPr>
          <w:rFonts w:cs="Times New Roman"/>
          <w:color w:val="000000"/>
          <w:szCs w:val="24"/>
        </w:rPr>
        <w:t xml:space="preserve"> karşılaştırıldığında </w:t>
      </w:r>
      <w:r>
        <w:rPr>
          <w:rFonts w:cs="Times New Roman"/>
          <w:color w:val="000000"/>
          <w:szCs w:val="24"/>
        </w:rPr>
        <w:t>genel olarak normoksi ortamına göre hipoksi ortamında enzim miktarının</w:t>
      </w:r>
      <w:r w:rsidRPr="009B5825">
        <w:rPr>
          <w:rFonts w:cs="Times New Roman"/>
          <w:color w:val="000000"/>
          <w:szCs w:val="24"/>
        </w:rPr>
        <w:t xml:space="preserve"> </w:t>
      </w:r>
      <w:r>
        <w:rPr>
          <w:rFonts w:cs="Times New Roman"/>
          <w:color w:val="000000"/>
          <w:szCs w:val="24"/>
        </w:rPr>
        <w:t xml:space="preserve">anlamlı şekilde azaldığı belirlendi </w:t>
      </w:r>
      <w:r>
        <w:rPr>
          <w:sz w:val="20"/>
        </w:rPr>
        <w:t>(</w:t>
      </w:r>
      <w:r>
        <w:rPr>
          <w:rFonts w:cs="Times New Roman"/>
          <w:color w:val="000000"/>
          <w:szCs w:val="24"/>
        </w:rPr>
        <w:t>p&lt;0,001).</w:t>
      </w:r>
      <w:r w:rsidRPr="009B5825">
        <w:rPr>
          <w:rFonts w:cs="Times New Roman"/>
          <w:color w:val="000000"/>
          <w:szCs w:val="24"/>
        </w:rPr>
        <w:t xml:space="preserve"> </w:t>
      </w:r>
      <w:r>
        <w:rPr>
          <w:rFonts w:cs="Times New Roman"/>
          <w:color w:val="000000"/>
          <w:szCs w:val="24"/>
        </w:rPr>
        <w:t xml:space="preserve">0 ve </w:t>
      </w:r>
      <w:proofErr w:type="gramStart"/>
      <w:r>
        <w:rPr>
          <w:rFonts w:cs="Times New Roman"/>
          <w:color w:val="000000"/>
          <w:szCs w:val="24"/>
        </w:rPr>
        <w:t>5.5</w:t>
      </w:r>
      <w:proofErr w:type="gramEnd"/>
      <w:r>
        <w:rPr>
          <w:rFonts w:cs="Times New Roman"/>
          <w:color w:val="000000"/>
          <w:szCs w:val="24"/>
        </w:rPr>
        <w:t xml:space="preserve"> mM konsantrasyonlarında glukoz içeren ortamlarda 48. saatte hipoksik ortamdaki enzim miktarı normoksik ortama göre sırasıyla 4,</w:t>
      </w:r>
      <w:r w:rsidR="000F231B">
        <w:rPr>
          <w:rFonts w:cs="Times New Roman"/>
          <w:color w:val="000000"/>
          <w:szCs w:val="24"/>
        </w:rPr>
        <w:t>3</w:t>
      </w:r>
      <w:r>
        <w:rPr>
          <w:rFonts w:cs="Times New Roman"/>
          <w:color w:val="000000"/>
          <w:szCs w:val="24"/>
        </w:rPr>
        <w:t xml:space="preserve"> ve 10,8 kat, 15 ve 55 mM konsantrasyonlarında glukoz içeren ortamlarda ise 12. saatte sırasıyla 3,15 ve 4,8 kat azalış gösterdi </w:t>
      </w:r>
      <w:r>
        <w:rPr>
          <w:sz w:val="20"/>
        </w:rPr>
        <w:t>(</w:t>
      </w:r>
      <w:r w:rsidR="00897312">
        <w:rPr>
          <w:rFonts w:cs="Times New Roman"/>
          <w:color w:val="000000"/>
          <w:szCs w:val="24"/>
        </w:rPr>
        <w:t>p&lt;0,001) (Şekil 30-33).</w:t>
      </w:r>
    </w:p>
    <w:p w:rsidR="00D05475" w:rsidRDefault="00D05475" w:rsidP="002B3673">
      <w:pPr>
        <w:rPr>
          <w:rFonts w:cs="Times New Roman"/>
          <w:color w:val="000000"/>
          <w:szCs w:val="24"/>
        </w:rPr>
      </w:pPr>
    </w:p>
    <w:p w:rsidR="002B3673" w:rsidRDefault="002B3673" w:rsidP="002B3673">
      <w:pPr>
        <w:jc w:val="center"/>
        <w:rPr>
          <w:rFonts w:cs="Times New Roman"/>
          <w:color w:val="000000"/>
          <w:szCs w:val="24"/>
        </w:rPr>
      </w:pPr>
      <w:r w:rsidRPr="00430B64">
        <w:rPr>
          <w:rFonts w:cs="Times New Roman"/>
          <w:noProof/>
          <w:color w:val="000000"/>
          <w:szCs w:val="24"/>
          <w:lang w:eastAsia="tr-TR"/>
        </w:rPr>
        <w:drawing>
          <wp:inline distT="0" distB="0" distL="0" distR="0">
            <wp:extent cx="4572000" cy="2743200"/>
            <wp:effectExtent l="0" t="0" r="0" b="0"/>
            <wp:docPr id="5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B3673" w:rsidRDefault="002B3673" w:rsidP="002B3673">
      <w:pPr>
        <w:jc w:val="center"/>
        <w:rPr>
          <w:rFonts w:cs="Times New Roman"/>
          <w:color w:val="000000"/>
          <w:szCs w:val="24"/>
        </w:rPr>
      </w:pPr>
    </w:p>
    <w:p w:rsidR="002B3673" w:rsidRDefault="00D450D5" w:rsidP="002B3673">
      <w:pPr>
        <w:rPr>
          <w:rFonts w:cs="Times New Roman"/>
          <w:color w:val="000000"/>
          <w:szCs w:val="24"/>
        </w:rPr>
      </w:pPr>
      <w:r>
        <w:rPr>
          <w:rFonts w:cs="Times New Roman"/>
          <w:b/>
          <w:color w:val="000000"/>
          <w:szCs w:val="24"/>
        </w:rPr>
        <w:t>Şekil 30</w:t>
      </w:r>
      <w:r w:rsidR="002B3673" w:rsidRPr="00A10993">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O mM glukoz </w:t>
      </w:r>
      <w:r w:rsidR="002B3673" w:rsidRPr="006A05E3">
        <w:rPr>
          <w:rFonts w:cs="Times New Roman"/>
          <w:color w:val="000000"/>
          <w:szCs w:val="24"/>
        </w:rPr>
        <w:t xml:space="preserve">uygulama gruplarında </w:t>
      </w:r>
      <w:r w:rsidR="002B3673">
        <w:rPr>
          <w:rFonts w:cs="Times New Roman"/>
          <w:color w:val="000000"/>
          <w:szCs w:val="24"/>
        </w:rPr>
        <w:t>PKM2</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Pr>
        <w:jc w:val="center"/>
        <w:rPr>
          <w:rFonts w:cs="Times New Roman"/>
          <w:color w:val="000000"/>
          <w:szCs w:val="24"/>
        </w:rPr>
      </w:pPr>
      <w:r w:rsidRPr="00C11306">
        <w:rPr>
          <w:rFonts w:cs="Times New Roman"/>
          <w:noProof/>
          <w:color w:val="000000"/>
          <w:szCs w:val="24"/>
          <w:lang w:eastAsia="tr-TR"/>
        </w:rPr>
        <w:lastRenderedPageBreak/>
        <w:drawing>
          <wp:inline distT="0" distB="0" distL="0" distR="0">
            <wp:extent cx="4572000" cy="2743200"/>
            <wp:effectExtent l="0" t="0" r="0" b="0"/>
            <wp:docPr id="60"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B3673" w:rsidRDefault="002B3673" w:rsidP="002B3673">
      <w:pPr>
        <w:jc w:val="center"/>
        <w:rPr>
          <w:rFonts w:cs="Times New Roman"/>
          <w:color w:val="000000"/>
          <w:szCs w:val="24"/>
        </w:rPr>
      </w:pPr>
    </w:p>
    <w:p w:rsidR="002B3673" w:rsidRDefault="00D450D5" w:rsidP="002B3673">
      <w:pPr>
        <w:rPr>
          <w:rFonts w:cs="Times New Roman"/>
          <w:color w:val="000000"/>
          <w:szCs w:val="24"/>
        </w:rPr>
      </w:pPr>
      <w:r>
        <w:rPr>
          <w:rFonts w:cs="Times New Roman"/>
          <w:b/>
          <w:color w:val="000000"/>
          <w:szCs w:val="24"/>
        </w:rPr>
        <w:t>Şekil 31</w:t>
      </w:r>
      <w:r w:rsidR="002B3673" w:rsidRPr="00A10993">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farklı inkübasy</w:t>
      </w:r>
      <w:r w:rsidR="000427C0">
        <w:rPr>
          <w:rFonts w:cs="Times New Roman"/>
          <w:color w:val="000000"/>
          <w:szCs w:val="24"/>
        </w:rPr>
        <w:t xml:space="preserve">on süreli </w:t>
      </w:r>
      <w:proofErr w:type="gramStart"/>
      <w:r w:rsidR="000427C0">
        <w:rPr>
          <w:rFonts w:cs="Times New Roman"/>
          <w:color w:val="000000"/>
          <w:szCs w:val="24"/>
        </w:rPr>
        <w:t>5.</w:t>
      </w:r>
      <w:r w:rsidR="002B3673">
        <w:rPr>
          <w:rFonts w:cs="Times New Roman"/>
          <w:color w:val="000000"/>
          <w:szCs w:val="24"/>
        </w:rPr>
        <w:t>5</w:t>
      </w:r>
      <w:proofErr w:type="gramEnd"/>
      <w:r w:rsidR="002B3673">
        <w:rPr>
          <w:rFonts w:cs="Times New Roman"/>
          <w:color w:val="000000"/>
          <w:szCs w:val="24"/>
        </w:rPr>
        <w:t xml:space="preserve"> mM glukoz </w:t>
      </w:r>
      <w:r w:rsidR="002B3673" w:rsidRPr="006A05E3">
        <w:rPr>
          <w:rFonts w:cs="Times New Roman"/>
          <w:color w:val="000000"/>
          <w:szCs w:val="24"/>
        </w:rPr>
        <w:t xml:space="preserve">uygulama gruplarında </w:t>
      </w:r>
      <w:r w:rsidR="002B3673">
        <w:rPr>
          <w:rFonts w:cs="Times New Roman"/>
          <w:color w:val="000000"/>
          <w:szCs w:val="24"/>
        </w:rPr>
        <w:t>PKM2</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2B3673">
      <w:pPr>
        <w:jc w:val="center"/>
        <w:rPr>
          <w:rFonts w:cs="Times New Roman"/>
          <w:color w:val="000000"/>
          <w:szCs w:val="24"/>
        </w:rPr>
      </w:pPr>
      <w:r w:rsidRPr="00C11306">
        <w:rPr>
          <w:rFonts w:cs="Times New Roman"/>
          <w:noProof/>
          <w:color w:val="000000"/>
          <w:szCs w:val="24"/>
          <w:lang w:eastAsia="tr-TR"/>
        </w:rPr>
        <w:drawing>
          <wp:inline distT="0" distB="0" distL="0" distR="0">
            <wp:extent cx="4572000" cy="2743200"/>
            <wp:effectExtent l="0" t="0" r="0" b="0"/>
            <wp:docPr id="61"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B3673" w:rsidRDefault="002B3673" w:rsidP="002B3673">
      <w:pPr>
        <w:jc w:val="center"/>
        <w:rPr>
          <w:rFonts w:cs="Times New Roman"/>
          <w:color w:val="000000"/>
          <w:szCs w:val="24"/>
        </w:rPr>
      </w:pPr>
    </w:p>
    <w:p w:rsidR="002B3673" w:rsidRDefault="00D450D5" w:rsidP="002B3673">
      <w:pPr>
        <w:rPr>
          <w:rFonts w:cs="Times New Roman"/>
          <w:color w:val="000000"/>
          <w:szCs w:val="24"/>
        </w:rPr>
      </w:pPr>
      <w:r>
        <w:rPr>
          <w:rFonts w:cs="Times New Roman"/>
          <w:b/>
          <w:color w:val="000000"/>
          <w:szCs w:val="24"/>
        </w:rPr>
        <w:t>Şekil 32</w:t>
      </w:r>
      <w:r w:rsidR="002B3673" w:rsidRPr="00A10993">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15 mM glukoz </w:t>
      </w:r>
      <w:r w:rsidR="002B3673" w:rsidRPr="006A05E3">
        <w:rPr>
          <w:rFonts w:cs="Times New Roman"/>
          <w:color w:val="000000"/>
          <w:szCs w:val="24"/>
        </w:rPr>
        <w:t xml:space="preserve">uygulama gruplarında </w:t>
      </w:r>
      <w:r w:rsidR="002B3673">
        <w:rPr>
          <w:rFonts w:cs="Times New Roman"/>
          <w:color w:val="000000"/>
          <w:szCs w:val="24"/>
        </w:rPr>
        <w:t>PKM2</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2B3673">
      <w:pPr>
        <w:jc w:val="center"/>
        <w:rPr>
          <w:rFonts w:cs="Times New Roman"/>
          <w:color w:val="000000"/>
          <w:szCs w:val="24"/>
        </w:rPr>
      </w:pPr>
      <w:r w:rsidRPr="00C11306">
        <w:rPr>
          <w:rFonts w:cs="Times New Roman"/>
          <w:noProof/>
          <w:color w:val="000000"/>
          <w:szCs w:val="24"/>
          <w:lang w:eastAsia="tr-TR"/>
        </w:rPr>
        <w:lastRenderedPageBreak/>
        <w:drawing>
          <wp:inline distT="0" distB="0" distL="0" distR="0">
            <wp:extent cx="4572000" cy="2743200"/>
            <wp:effectExtent l="0" t="0" r="0" b="0"/>
            <wp:docPr id="62"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noProof/>
          <w:lang w:eastAsia="tr-TR"/>
        </w:rPr>
        <w:drawing>
          <wp:inline distT="0" distB="0" distL="0" distR="0">
            <wp:extent cx="272146" cy="209525"/>
            <wp:effectExtent l="0" t="0" r="0" b="0"/>
            <wp:docPr id="63"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78" cstate="print"/>
                    <a:stretch>
                      <a:fillRect/>
                    </a:stretch>
                  </pic:blipFill>
                  <pic:spPr>
                    <a:xfrm>
                      <a:off x="0" y="0"/>
                      <a:ext cx="272146" cy="209525"/>
                    </a:xfrm>
                    <a:prstGeom prst="rect">
                      <a:avLst/>
                    </a:prstGeom>
                  </pic:spPr>
                </pic:pic>
              </a:graphicData>
            </a:graphic>
          </wp:inline>
        </w:drawing>
      </w:r>
    </w:p>
    <w:p w:rsidR="002B3673" w:rsidRDefault="002B3673" w:rsidP="002B3673">
      <w:pPr>
        <w:jc w:val="center"/>
        <w:rPr>
          <w:rFonts w:cs="Times New Roman"/>
          <w:color w:val="000000"/>
          <w:szCs w:val="24"/>
        </w:rPr>
      </w:pPr>
    </w:p>
    <w:p w:rsidR="002B3673" w:rsidRDefault="00D450D5" w:rsidP="002B3673">
      <w:pPr>
        <w:rPr>
          <w:rFonts w:cs="Times New Roman"/>
          <w:color w:val="000000"/>
          <w:szCs w:val="24"/>
        </w:rPr>
      </w:pPr>
      <w:r>
        <w:rPr>
          <w:rFonts w:cs="Times New Roman"/>
          <w:b/>
          <w:color w:val="000000"/>
          <w:szCs w:val="24"/>
        </w:rPr>
        <w:t>Şekil 33</w:t>
      </w:r>
      <w:r w:rsidR="002B3673" w:rsidRPr="00A10993">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55 mM glukoz </w:t>
      </w:r>
      <w:r w:rsidR="002B3673" w:rsidRPr="006A05E3">
        <w:rPr>
          <w:rFonts w:cs="Times New Roman"/>
          <w:color w:val="000000"/>
          <w:szCs w:val="24"/>
        </w:rPr>
        <w:t xml:space="preserve">uygulama gruplarında </w:t>
      </w:r>
      <w:r w:rsidR="002B3673">
        <w:rPr>
          <w:rFonts w:cs="Times New Roman"/>
          <w:color w:val="000000"/>
          <w:szCs w:val="24"/>
        </w:rPr>
        <w:t>PKM2</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B80794" w:rsidRDefault="00B80794" w:rsidP="002B3673">
      <w:pPr>
        <w:rPr>
          <w:rFonts w:cs="Times New Roman"/>
          <w:color w:val="000000"/>
          <w:szCs w:val="24"/>
        </w:rPr>
      </w:pPr>
    </w:p>
    <w:p w:rsidR="002B3673" w:rsidRDefault="002B3673" w:rsidP="002B3673">
      <w:pPr>
        <w:rPr>
          <w:rFonts w:cs="Times New Roman"/>
          <w:color w:val="000000"/>
          <w:szCs w:val="24"/>
        </w:rPr>
      </w:pPr>
    </w:p>
    <w:p w:rsidR="002B3673" w:rsidRDefault="002B3673" w:rsidP="00D05475">
      <w:pPr>
        <w:pStyle w:val="Balk2"/>
        <w:rPr>
          <w:rFonts w:eastAsia="Times New Roman"/>
          <w:lang w:eastAsia="tr-TR"/>
        </w:rPr>
      </w:pPr>
      <w:r w:rsidRPr="00410148">
        <w:rPr>
          <w:rFonts w:eastAsia="Times New Roman"/>
          <w:lang w:eastAsia="tr-TR"/>
        </w:rPr>
        <w:t>4.</w:t>
      </w:r>
      <w:r w:rsidR="00A93050">
        <w:rPr>
          <w:rFonts w:eastAsia="Times New Roman"/>
          <w:lang w:eastAsia="tr-TR"/>
        </w:rPr>
        <w:t>3</w:t>
      </w:r>
      <w:r w:rsidRPr="00410148">
        <w:rPr>
          <w:rFonts w:eastAsia="Times New Roman"/>
          <w:lang w:eastAsia="tr-TR"/>
        </w:rPr>
        <w:t>.</w:t>
      </w:r>
      <w:r>
        <w:rPr>
          <w:rFonts w:eastAsia="Times New Roman"/>
          <w:lang w:eastAsia="tr-TR"/>
        </w:rPr>
        <w:t>2</w:t>
      </w:r>
      <w:r w:rsidR="00861AA3">
        <w:rPr>
          <w:rFonts w:eastAsia="Times New Roman"/>
          <w:lang w:eastAsia="tr-TR"/>
        </w:rPr>
        <w:t>.</w:t>
      </w:r>
      <w:r w:rsidRPr="00410148">
        <w:rPr>
          <w:rFonts w:eastAsia="Times New Roman"/>
          <w:lang w:eastAsia="tr-TR"/>
        </w:rPr>
        <w:t xml:space="preserve"> ELISA Yönteminden Elde Edilen </w:t>
      </w:r>
      <w:r>
        <w:rPr>
          <w:rFonts w:eastAsia="Times New Roman"/>
          <w:lang w:eastAsia="tr-TR"/>
        </w:rPr>
        <w:t>LDHA</w:t>
      </w:r>
      <w:r w:rsidRPr="00410148">
        <w:rPr>
          <w:rFonts w:eastAsia="Times New Roman"/>
          <w:lang w:eastAsia="tr-TR"/>
        </w:rPr>
        <w:t xml:space="preserve"> Sonuçları</w:t>
      </w:r>
    </w:p>
    <w:p w:rsidR="002B3673" w:rsidRDefault="002B3673" w:rsidP="002B3673">
      <w:pPr>
        <w:rPr>
          <w:rFonts w:eastAsia="Times New Roman"/>
          <w:b/>
          <w:szCs w:val="24"/>
          <w:lang w:eastAsia="tr-TR"/>
        </w:rPr>
      </w:pPr>
    </w:p>
    <w:p w:rsidR="002B3673" w:rsidRDefault="002B3673" w:rsidP="00D05475">
      <w:pPr>
        <w:pStyle w:val="Balk2"/>
        <w:rPr>
          <w:rFonts w:eastAsia="Times New Roman"/>
          <w:lang w:eastAsia="tr-TR"/>
        </w:rPr>
      </w:pPr>
      <w:r>
        <w:rPr>
          <w:rFonts w:eastAsia="Times New Roman"/>
          <w:lang w:eastAsia="tr-TR"/>
        </w:rPr>
        <w:t>4.</w:t>
      </w:r>
      <w:r w:rsidR="00A93050">
        <w:rPr>
          <w:rFonts w:eastAsia="Times New Roman"/>
          <w:lang w:eastAsia="tr-TR"/>
        </w:rPr>
        <w:t>3</w:t>
      </w:r>
      <w:r>
        <w:rPr>
          <w:rFonts w:eastAsia="Times New Roman"/>
          <w:lang w:eastAsia="tr-TR"/>
        </w:rPr>
        <w:t>.2.1</w:t>
      </w:r>
      <w:r w:rsidR="00861AA3">
        <w:rPr>
          <w:rFonts w:eastAsia="Times New Roman"/>
          <w:lang w:eastAsia="tr-TR"/>
        </w:rPr>
        <w:t>.</w:t>
      </w:r>
      <w:r>
        <w:rPr>
          <w:rFonts w:eastAsia="Times New Roman"/>
          <w:lang w:eastAsia="tr-TR"/>
        </w:rPr>
        <w:t xml:space="preserve"> LDHA </w:t>
      </w:r>
      <w:r w:rsidR="00790E30">
        <w:rPr>
          <w:rFonts w:eastAsia="Times New Roman"/>
          <w:lang w:eastAsia="tr-TR"/>
        </w:rPr>
        <w:t>e</w:t>
      </w:r>
      <w:r>
        <w:rPr>
          <w:rFonts w:eastAsia="Times New Roman"/>
          <w:lang w:eastAsia="tr-TR"/>
        </w:rPr>
        <w:t xml:space="preserve">nzim </w:t>
      </w:r>
      <w:r w:rsidR="00790E30">
        <w:rPr>
          <w:rFonts w:eastAsia="Times New Roman"/>
          <w:lang w:eastAsia="tr-TR"/>
        </w:rPr>
        <w:t>m</w:t>
      </w:r>
      <w:r>
        <w:rPr>
          <w:rFonts w:eastAsia="Times New Roman"/>
          <w:lang w:eastAsia="tr-TR"/>
        </w:rPr>
        <w:t xml:space="preserve">iktarının </w:t>
      </w:r>
      <w:r w:rsidR="00790E30">
        <w:rPr>
          <w:rFonts w:eastAsia="Times New Roman"/>
          <w:lang w:eastAsia="tr-TR"/>
        </w:rPr>
        <w:t>z</w:t>
      </w:r>
      <w:r>
        <w:rPr>
          <w:rFonts w:eastAsia="Times New Roman"/>
          <w:lang w:eastAsia="tr-TR"/>
        </w:rPr>
        <w:t xml:space="preserve">amana ve </w:t>
      </w:r>
      <w:proofErr w:type="gramStart"/>
      <w:r w:rsidR="00790E30">
        <w:rPr>
          <w:rFonts w:eastAsia="Times New Roman"/>
          <w:lang w:eastAsia="tr-TR"/>
        </w:rPr>
        <w:t>k</w:t>
      </w:r>
      <w:r>
        <w:rPr>
          <w:rFonts w:eastAsia="Times New Roman"/>
          <w:lang w:eastAsia="tr-TR"/>
        </w:rPr>
        <w:t>onsantrasyona</w:t>
      </w:r>
      <w:proofErr w:type="gramEnd"/>
      <w:r>
        <w:rPr>
          <w:rFonts w:eastAsia="Times New Roman"/>
          <w:lang w:eastAsia="tr-TR"/>
        </w:rPr>
        <w:t xml:space="preserve"> </w:t>
      </w:r>
      <w:r w:rsidR="00790E30">
        <w:rPr>
          <w:rFonts w:eastAsia="Times New Roman"/>
          <w:lang w:eastAsia="tr-TR"/>
        </w:rPr>
        <w:t>b</w:t>
      </w:r>
      <w:r>
        <w:rPr>
          <w:rFonts w:eastAsia="Times New Roman"/>
          <w:lang w:eastAsia="tr-TR"/>
        </w:rPr>
        <w:t xml:space="preserve">ağlı </w:t>
      </w:r>
      <w:r w:rsidR="00790E30">
        <w:rPr>
          <w:rFonts w:eastAsia="Times New Roman"/>
          <w:lang w:eastAsia="tr-TR"/>
        </w:rPr>
        <w:t>d</w:t>
      </w:r>
      <w:r>
        <w:rPr>
          <w:rFonts w:eastAsia="Times New Roman"/>
          <w:lang w:eastAsia="tr-TR"/>
        </w:rPr>
        <w:t>eğişimi</w:t>
      </w:r>
    </w:p>
    <w:p w:rsidR="002B3673" w:rsidRPr="00DA441E" w:rsidRDefault="002B3673" w:rsidP="002B3673">
      <w:pPr>
        <w:rPr>
          <w:rFonts w:cs="Times New Roman"/>
        </w:rPr>
      </w:pPr>
    </w:p>
    <w:p w:rsidR="002B3673" w:rsidRDefault="002B3673" w:rsidP="002B3673">
      <w:pPr>
        <w:rPr>
          <w:rFonts w:cs="Times New Roman"/>
        </w:rPr>
      </w:pPr>
      <w:r w:rsidRPr="00BA37BB">
        <w:rPr>
          <w:rFonts w:cs="Times New Roman"/>
        </w:rPr>
        <w:t>Normoksik ve hipoksik koşullarda glukozun farklı dozlarına maruz bırakılan MCF-7 meme kanser hücre hattı gruplar</w:t>
      </w:r>
      <w:r>
        <w:rPr>
          <w:rFonts w:cs="Times New Roman"/>
        </w:rPr>
        <w:t xml:space="preserve">ında uygulama saatlerine ve glukoz </w:t>
      </w:r>
      <w:proofErr w:type="gramStart"/>
      <w:r>
        <w:rPr>
          <w:rFonts w:cs="Times New Roman"/>
        </w:rPr>
        <w:t>konsantrasyonuna</w:t>
      </w:r>
      <w:proofErr w:type="gramEnd"/>
      <w:r>
        <w:rPr>
          <w:rFonts w:cs="Times New Roman"/>
        </w:rPr>
        <w:t xml:space="preserve"> bağlı olarak LDHA </w:t>
      </w:r>
      <w:r w:rsidRPr="00BA37BB">
        <w:rPr>
          <w:rFonts w:cs="Times New Roman"/>
        </w:rPr>
        <w:t>düzeyle</w:t>
      </w:r>
      <w:r>
        <w:rPr>
          <w:rFonts w:cs="Times New Roman"/>
        </w:rPr>
        <w:t>rinin</w:t>
      </w:r>
      <w:r w:rsidR="009E7ACA">
        <w:rPr>
          <w:rFonts w:cs="Times New Roman"/>
        </w:rPr>
        <w:t xml:space="preserve"> (ng/mL)</w:t>
      </w:r>
      <w:r>
        <w:rPr>
          <w:rFonts w:cs="Times New Roman"/>
        </w:rPr>
        <w:t xml:space="preserve"> nası</w:t>
      </w:r>
      <w:r w:rsidR="00D450D5">
        <w:rPr>
          <w:rFonts w:cs="Times New Roman"/>
        </w:rPr>
        <w:t>l değiştiği incelendi (Tablo 9</w:t>
      </w:r>
      <w:r>
        <w:rPr>
          <w:rFonts w:cs="Times New Roman"/>
        </w:rPr>
        <w:t xml:space="preserve">). </w:t>
      </w:r>
    </w:p>
    <w:p w:rsidR="00D05475" w:rsidRDefault="00D05475" w:rsidP="002B3673">
      <w:pPr>
        <w:rPr>
          <w:rFonts w:cs="Times New Roman"/>
        </w:rPr>
      </w:pPr>
    </w:p>
    <w:p w:rsidR="00D05475" w:rsidRDefault="00D05475" w:rsidP="002B3673">
      <w:pPr>
        <w:rPr>
          <w:rFonts w:cs="Times New Roman"/>
        </w:rPr>
      </w:pPr>
    </w:p>
    <w:p w:rsidR="00D05475" w:rsidRDefault="00D05475" w:rsidP="002B3673">
      <w:pPr>
        <w:rPr>
          <w:rFonts w:cs="Times New Roman"/>
        </w:rPr>
      </w:pPr>
    </w:p>
    <w:p w:rsidR="00D05475" w:rsidRDefault="00D05475" w:rsidP="002B3673">
      <w:pPr>
        <w:rPr>
          <w:rFonts w:cs="Times New Roman"/>
        </w:rPr>
      </w:pPr>
    </w:p>
    <w:p w:rsidR="00D05475" w:rsidRDefault="00D05475" w:rsidP="002B3673">
      <w:pPr>
        <w:rPr>
          <w:rFonts w:cs="Times New Roman"/>
        </w:rPr>
      </w:pPr>
    </w:p>
    <w:p w:rsidR="00D05475" w:rsidRDefault="00D05475" w:rsidP="002B3673">
      <w:pPr>
        <w:rPr>
          <w:rFonts w:cs="Times New Roman"/>
        </w:rPr>
      </w:pPr>
    </w:p>
    <w:p w:rsidR="00D05475" w:rsidRDefault="00D05475" w:rsidP="002B3673">
      <w:pPr>
        <w:rPr>
          <w:rFonts w:cs="Times New Roman"/>
        </w:rPr>
      </w:pPr>
    </w:p>
    <w:p w:rsidR="00D05475" w:rsidRDefault="00D05475" w:rsidP="002B3673">
      <w:pPr>
        <w:rPr>
          <w:rFonts w:cs="Times New Roman"/>
        </w:rPr>
      </w:pPr>
    </w:p>
    <w:p w:rsidR="002B3673" w:rsidRDefault="002B3673" w:rsidP="002B3673">
      <w:pPr>
        <w:rPr>
          <w:rFonts w:cs="Times New Roman"/>
        </w:rPr>
      </w:pPr>
    </w:p>
    <w:p w:rsidR="002B3673" w:rsidRPr="00085ACF" w:rsidRDefault="00D450D5" w:rsidP="00D05475">
      <w:pPr>
        <w:ind w:firstLine="0"/>
        <w:rPr>
          <w:rFonts w:cs="Times New Roman"/>
          <w:color w:val="000000"/>
          <w:sz w:val="22"/>
          <w:szCs w:val="24"/>
        </w:rPr>
      </w:pPr>
      <w:r>
        <w:rPr>
          <w:rFonts w:cs="Times New Roman"/>
          <w:b/>
        </w:rPr>
        <w:lastRenderedPageBreak/>
        <w:t>Tablo 9</w:t>
      </w:r>
      <w:r w:rsidR="002B3673" w:rsidRPr="00417BA5">
        <w:rPr>
          <w:rFonts w:cs="Times New Roman"/>
          <w:b/>
        </w:rPr>
        <w:t>.</w:t>
      </w:r>
      <w:r w:rsidR="002B3673">
        <w:rPr>
          <w:rFonts w:cs="Times New Roman"/>
        </w:rPr>
        <w:t xml:space="preserve"> Normoksik ve </w:t>
      </w:r>
      <w:r w:rsidR="002B3673">
        <w:rPr>
          <w:rFonts w:cs="Times New Roman"/>
          <w:color w:val="000000"/>
          <w:szCs w:val="24"/>
        </w:rPr>
        <w:t xml:space="preserve">hipoksik ortamda MCF-7 hücrelerinin glukozun farklı konsantrasyonlu uygulama </w:t>
      </w:r>
      <w:proofErr w:type="gramStart"/>
      <w:r w:rsidR="002B3673">
        <w:rPr>
          <w:rFonts w:cs="Times New Roman"/>
          <w:color w:val="000000"/>
          <w:szCs w:val="24"/>
        </w:rPr>
        <w:t>gruplarında  6</w:t>
      </w:r>
      <w:proofErr w:type="gramEnd"/>
      <w:r w:rsidR="002B3673">
        <w:rPr>
          <w:rFonts w:cs="Times New Roman"/>
          <w:color w:val="000000"/>
          <w:szCs w:val="24"/>
        </w:rPr>
        <w:t>, 12, 24 ve 48 saat inkübasyonu sonucu elde edilen LDHA enzim miktarları ve standart hata değerleri.</w:t>
      </w:r>
    </w:p>
    <w:tbl>
      <w:tblPr>
        <w:tblStyle w:val="TabloKlavuzu2"/>
        <w:tblW w:w="9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2279"/>
        <w:gridCol w:w="1657"/>
        <w:gridCol w:w="2384"/>
        <w:gridCol w:w="1657"/>
      </w:tblGrid>
      <w:tr w:rsidR="00994ED2" w:rsidRPr="00085ACF" w:rsidTr="00324B03">
        <w:trPr>
          <w:trHeight w:val="312"/>
        </w:trPr>
        <w:tc>
          <w:tcPr>
            <w:tcW w:w="1529" w:type="dxa"/>
            <w:tcBorders>
              <w:top w:val="single" w:sz="4" w:space="0" w:color="auto"/>
              <w:bottom w:val="single" w:sz="4" w:space="0" w:color="auto"/>
            </w:tcBorders>
            <w:hideMark/>
          </w:tcPr>
          <w:p w:rsidR="00994ED2" w:rsidRPr="00085ACF" w:rsidRDefault="00994ED2" w:rsidP="00085ACF">
            <w:pPr>
              <w:spacing w:line="240" w:lineRule="auto"/>
              <w:ind w:firstLine="0"/>
              <w:jc w:val="center"/>
              <w:rPr>
                <w:rFonts w:eastAsia="Times New Roman"/>
                <w:b/>
                <w:iCs/>
                <w:sz w:val="20"/>
                <w:lang w:eastAsia="tr-TR"/>
              </w:rPr>
            </w:pPr>
            <w:r w:rsidRPr="00085ACF">
              <w:rPr>
                <w:rFonts w:eastAsia="Times New Roman"/>
                <w:b/>
                <w:iCs/>
                <w:sz w:val="20"/>
                <w:lang w:eastAsia="tr-TR"/>
              </w:rPr>
              <w:t>N</w:t>
            </w:r>
            <w:r w:rsidR="00085ACF" w:rsidRPr="00085ACF">
              <w:rPr>
                <w:rFonts w:eastAsia="Times New Roman"/>
                <w:b/>
                <w:iCs/>
                <w:sz w:val="20"/>
                <w:lang w:eastAsia="tr-TR"/>
              </w:rPr>
              <w:t>ormoksi</w:t>
            </w:r>
          </w:p>
        </w:tc>
        <w:tc>
          <w:tcPr>
            <w:tcW w:w="2279" w:type="dxa"/>
            <w:tcBorders>
              <w:top w:val="single" w:sz="4" w:space="0" w:color="auto"/>
              <w:bottom w:val="single" w:sz="4" w:space="0" w:color="auto"/>
            </w:tcBorders>
            <w:noWrap/>
            <w:hideMark/>
          </w:tcPr>
          <w:p w:rsidR="00994ED2" w:rsidRPr="00085ACF" w:rsidRDefault="00994ED2" w:rsidP="00085ACF">
            <w:pPr>
              <w:spacing w:line="240" w:lineRule="auto"/>
              <w:ind w:firstLine="0"/>
              <w:jc w:val="center"/>
              <w:rPr>
                <w:rFonts w:eastAsia="Times New Roman"/>
                <w:b/>
                <w:iCs/>
                <w:sz w:val="20"/>
                <w:lang w:eastAsia="tr-TR"/>
              </w:rPr>
            </w:pPr>
            <w:r w:rsidRPr="00085ACF">
              <w:rPr>
                <w:rFonts w:eastAsia="Times New Roman"/>
                <w:b/>
                <w:iCs/>
                <w:sz w:val="20"/>
                <w:lang w:eastAsia="tr-TR"/>
              </w:rPr>
              <w:t>6.S</w:t>
            </w:r>
            <w:r w:rsidR="00085ACF" w:rsidRPr="00085ACF">
              <w:rPr>
                <w:rFonts w:eastAsia="Times New Roman"/>
                <w:b/>
                <w:iCs/>
                <w:sz w:val="20"/>
                <w:lang w:eastAsia="tr-TR"/>
              </w:rPr>
              <w:t>aat</w:t>
            </w:r>
          </w:p>
        </w:tc>
        <w:tc>
          <w:tcPr>
            <w:tcW w:w="1657" w:type="dxa"/>
            <w:tcBorders>
              <w:top w:val="single" w:sz="4" w:space="0" w:color="auto"/>
              <w:bottom w:val="single" w:sz="4" w:space="0" w:color="auto"/>
            </w:tcBorders>
            <w:noWrap/>
            <w:hideMark/>
          </w:tcPr>
          <w:p w:rsidR="00994ED2" w:rsidRPr="00085ACF" w:rsidRDefault="00994ED2" w:rsidP="00085ACF">
            <w:pPr>
              <w:spacing w:line="240" w:lineRule="auto"/>
              <w:ind w:firstLine="0"/>
              <w:jc w:val="center"/>
              <w:rPr>
                <w:rFonts w:eastAsia="Times New Roman"/>
                <w:b/>
                <w:iCs/>
                <w:sz w:val="20"/>
                <w:lang w:eastAsia="tr-TR"/>
              </w:rPr>
            </w:pPr>
            <w:r w:rsidRPr="00085ACF">
              <w:rPr>
                <w:rFonts w:eastAsia="Times New Roman"/>
                <w:b/>
                <w:iCs/>
                <w:sz w:val="20"/>
                <w:lang w:eastAsia="tr-TR"/>
              </w:rPr>
              <w:t>12.S</w:t>
            </w:r>
            <w:r w:rsidR="00085ACF" w:rsidRPr="00085ACF">
              <w:rPr>
                <w:rFonts w:eastAsia="Times New Roman"/>
                <w:b/>
                <w:iCs/>
                <w:sz w:val="20"/>
                <w:lang w:eastAsia="tr-TR"/>
              </w:rPr>
              <w:t>aat</w:t>
            </w:r>
          </w:p>
        </w:tc>
        <w:tc>
          <w:tcPr>
            <w:tcW w:w="2384" w:type="dxa"/>
            <w:tcBorders>
              <w:top w:val="single" w:sz="4" w:space="0" w:color="auto"/>
              <w:bottom w:val="single" w:sz="4" w:space="0" w:color="auto"/>
            </w:tcBorders>
            <w:noWrap/>
            <w:hideMark/>
          </w:tcPr>
          <w:p w:rsidR="00994ED2" w:rsidRPr="00085ACF" w:rsidRDefault="00994ED2" w:rsidP="00085ACF">
            <w:pPr>
              <w:spacing w:line="240" w:lineRule="auto"/>
              <w:ind w:firstLine="0"/>
              <w:jc w:val="center"/>
              <w:rPr>
                <w:rFonts w:eastAsia="Times New Roman"/>
                <w:b/>
                <w:iCs/>
                <w:sz w:val="20"/>
                <w:lang w:eastAsia="tr-TR"/>
              </w:rPr>
            </w:pPr>
            <w:r w:rsidRPr="00085ACF">
              <w:rPr>
                <w:rFonts w:eastAsia="Times New Roman"/>
                <w:b/>
                <w:iCs/>
                <w:sz w:val="20"/>
                <w:lang w:eastAsia="tr-TR"/>
              </w:rPr>
              <w:t>24.S</w:t>
            </w:r>
            <w:r w:rsidR="00085ACF" w:rsidRPr="00085ACF">
              <w:rPr>
                <w:rFonts w:eastAsia="Times New Roman"/>
                <w:b/>
                <w:iCs/>
                <w:sz w:val="20"/>
                <w:lang w:eastAsia="tr-TR"/>
              </w:rPr>
              <w:t>aat</w:t>
            </w:r>
          </w:p>
        </w:tc>
        <w:tc>
          <w:tcPr>
            <w:tcW w:w="1657" w:type="dxa"/>
            <w:tcBorders>
              <w:top w:val="single" w:sz="4" w:space="0" w:color="auto"/>
              <w:bottom w:val="single" w:sz="4" w:space="0" w:color="auto"/>
            </w:tcBorders>
            <w:noWrap/>
            <w:hideMark/>
          </w:tcPr>
          <w:p w:rsidR="00994ED2" w:rsidRPr="00085ACF" w:rsidRDefault="00994ED2" w:rsidP="00085ACF">
            <w:pPr>
              <w:spacing w:line="240" w:lineRule="auto"/>
              <w:ind w:firstLine="0"/>
              <w:jc w:val="center"/>
              <w:rPr>
                <w:rFonts w:eastAsia="Times New Roman"/>
                <w:b/>
                <w:iCs/>
                <w:sz w:val="20"/>
                <w:lang w:eastAsia="tr-TR"/>
              </w:rPr>
            </w:pPr>
            <w:r w:rsidRPr="00085ACF">
              <w:rPr>
                <w:rFonts w:eastAsia="Times New Roman"/>
                <w:b/>
                <w:iCs/>
                <w:sz w:val="20"/>
                <w:lang w:eastAsia="tr-TR"/>
              </w:rPr>
              <w:t>48.S</w:t>
            </w:r>
            <w:r w:rsidR="00085ACF" w:rsidRPr="00085ACF">
              <w:rPr>
                <w:rFonts w:eastAsia="Times New Roman"/>
                <w:b/>
                <w:iCs/>
                <w:sz w:val="20"/>
                <w:lang w:eastAsia="tr-TR"/>
              </w:rPr>
              <w:t>aat</w:t>
            </w:r>
          </w:p>
        </w:tc>
      </w:tr>
      <w:tr w:rsidR="00994ED2" w:rsidRPr="00994ED2" w:rsidTr="00085ACF">
        <w:trPr>
          <w:trHeight w:val="359"/>
        </w:trPr>
        <w:tc>
          <w:tcPr>
            <w:tcW w:w="1529" w:type="dxa"/>
            <w:tcBorders>
              <w:top w:val="single" w:sz="4" w:space="0" w:color="auto"/>
            </w:tcBorders>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0mM</w:t>
            </w:r>
          </w:p>
        </w:tc>
        <w:tc>
          <w:tcPr>
            <w:tcW w:w="2279" w:type="dxa"/>
            <w:tcBorders>
              <w:top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24,19±0,007</w:t>
            </w:r>
            <w:r w:rsidRPr="00085ACF">
              <w:rPr>
                <w:rFonts w:eastAsia="Times New Roman"/>
                <w:iCs/>
                <w:sz w:val="18"/>
                <w:vertAlign w:val="superscript"/>
                <w:lang w:eastAsia="tr-TR"/>
              </w:rPr>
              <w:t>aA</w:t>
            </w:r>
          </w:p>
        </w:tc>
        <w:tc>
          <w:tcPr>
            <w:tcW w:w="1657" w:type="dxa"/>
            <w:tcBorders>
              <w:top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12,89±0,01</w:t>
            </w:r>
            <w:r w:rsidRPr="00085ACF">
              <w:rPr>
                <w:rFonts w:eastAsia="Times New Roman"/>
                <w:iCs/>
                <w:sz w:val="18"/>
                <w:vertAlign w:val="superscript"/>
                <w:lang w:eastAsia="tr-TR"/>
              </w:rPr>
              <w:t>bA</w:t>
            </w:r>
          </w:p>
        </w:tc>
        <w:tc>
          <w:tcPr>
            <w:tcW w:w="2384" w:type="dxa"/>
            <w:tcBorders>
              <w:top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12,92±0,01</w:t>
            </w:r>
            <w:r w:rsidRPr="00085ACF">
              <w:rPr>
                <w:rFonts w:eastAsia="Times New Roman"/>
                <w:iCs/>
                <w:sz w:val="18"/>
                <w:vertAlign w:val="superscript"/>
                <w:lang w:eastAsia="tr-TR"/>
              </w:rPr>
              <w:t>bA</w:t>
            </w:r>
          </w:p>
        </w:tc>
        <w:tc>
          <w:tcPr>
            <w:tcW w:w="1657" w:type="dxa"/>
            <w:tcBorders>
              <w:top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16,65±0,01</w:t>
            </w:r>
            <w:r w:rsidRPr="00085ACF">
              <w:rPr>
                <w:rFonts w:eastAsia="Times New Roman"/>
                <w:iCs/>
                <w:sz w:val="18"/>
                <w:vertAlign w:val="superscript"/>
                <w:lang w:eastAsia="tr-TR"/>
              </w:rPr>
              <w:t>cA</w:t>
            </w:r>
          </w:p>
        </w:tc>
      </w:tr>
      <w:tr w:rsidR="00994ED2" w:rsidRPr="00994ED2" w:rsidTr="00085ACF">
        <w:trPr>
          <w:trHeight w:val="359"/>
        </w:trPr>
        <w:tc>
          <w:tcPr>
            <w:tcW w:w="1529" w:type="dxa"/>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5.5mM</w:t>
            </w:r>
          </w:p>
        </w:tc>
        <w:tc>
          <w:tcPr>
            <w:tcW w:w="2279"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25,77±0,01</w:t>
            </w:r>
            <w:r w:rsidRPr="00085ACF">
              <w:rPr>
                <w:rFonts w:eastAsia="Times New Roman"/>
                <w:iCs/>
                <w:sz w:val="18"/>
                <w:vertAlign w:val="superscript"/>
                <w:lang w:eastAsia="tr-TR"/>
              </w:rPr>
              <w:t>aB</w:t>
            </w:r>
          </w:p>
        </w:tc>
        <w:tc>
          <w:tcPr>
            <w:tcW w:w="1657"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12,63±0,01</w:t>
            </w:r>
            <w:r w:rsidRPr="00085ACF">
              <w:rPr>
                <w:rFonts w:eastAsia="Times New Roman"/>
                <w:iCs/>
                <w:sz w:val="18"/>
                <w:vertAlign w:val="superscript"/>
                <w:lang w:eastAsia="tr-TR"/>
              </w:rPr>
              <w:t>bB</w:t>
            </w:r>
          </w:p>
        </w:tc>
        <w:tc>
          <w:tcPr>
            <w:tcW w:w="2384"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15,90±0,006</w:t>
            </w:r>
            <w:r w:rsidRPr="00085ACF">
              <w:rPr>
                <w:rFonts w:eastAsia="Times New Roman"/>
                <w:iCs/>
                <w:sz w:val="18"/>
                <w:vertAlign w:val="superscript"/>
                <w:lang w:eastAsia="tr-TR"/>
              </w:rPr>
              <w:t>cB</w:t>
            </w:r>
          </w:p>
        </w:tc>
        <w:tc>
          <w:tcPr>
            <w:tcW w:w="1657"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31,75±0,01</w:t>
            </w:r>
            <w:r w:rsidRPr="00085ACF">
              <w:rPr>
                <w:rFonts w:eastAsia="Times New Roman"/>
                <w:iCs/>
                <w:sz w:val="18"/>
                <w:vertAlign w:val="superscript"/>
                <w:lang w:eastAsia="tr-TR"/>
              </w:rPr>
              <w:t>dB</w:t>
            </w:r>
          </w:p>
        </w:tc>
      </w:tr>
      <w:tr w:rsidR="00994ED2" w:rsidRPr="00994ED2" w:rsidTr="00085ACF">
        <w:trPr>
          <w:trHeight w:val="359"/>
        </w:trPr>
        <w:tc>
          <w:tcPr>
            <w:tcW w:w="1529" w:type="dxa"/>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15mM</w:t>
            </w:r>
          </w:p>
        </w:tc>
        <w:tc>
          <w:tcPr>
            <w:tcW w:w="2279"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19,9±0,01</w:t>
            </w:r>
            <w:r w:rsidRPr="00085ACF">
              <w:rPr>
                <w:rFonts w:eastAsia="Times New Roman"/>
                <w:iCs/>
                <w:sz w:val="18"/>
                <w:vertAlign w:val="superscript"/>
                <w:lang w:eastAsia="tr-TR"/>
              </w:rPr>
              <w:t>aC</w:t>
            </w:r>
          </w:p>
        </w:tc>
        <w:tc>
          <w:tcPr>
            <w:tcW w:w="1657"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15,57±0,01</w:t>
            </w:r>
            <w:r w:rsidRPr="00085ACF">
              <w:rPr>
                <w:rFonts w:eastAsia="Times New Roman"/>
                <w:iCs/>
                <w:sz w:val="18"/>
                <w:vertAlign w:val="superscript"/>
                <w:lang w:eastAsia="tr-TR"/>
              </w:rPr>
              <w:t>bC</w:t>
            </w:r>
          </w:p>
        </w:tc>
        <w:tc>
          <w:tcPr>
            <w:tcW w:w="2384"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13,51±0,005</w:t>
            </w:r>
            <w:r w:rsidRPr="00085ACF">
              <w:rPr>
                <w:rFonts w:eastAsia="Times New Roman"/>
                <w:iCs/>
                <w:sz w:val="18"/>
                <w:vertAlign w:val="superscript"/>
                <w:lang w:eastAsia="tr-TR"/>
              </w:rPr>
              <w:t>cC</w:t>
            </w:r>
          </w:p>
        </w:tc>
        <w:tc>
          <w:tcPr>
            <w:tcW w:w="1657"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23,74±0,003</w:t>
            </w:r>
            <w:r w:rsidRPr="00085ACF">
              <w:rPr>
                <w:rFonts w:eastAsia="Times New Roman"/>
                <w:iCs/>
                <w:sz w:val="18"/>
                <w:vertAlign w:val="superscript"/>
                <w:lang w:eastAsia="tr-TR"/>
              </w:rPr>
              <w:t>dC</w:t>
            </w:r>
          </w:p>
        </w:tc>
      </w:tr>
      <w:tr w:rsidR="00994ED2" w:rsidRPr="00994ED2" w:rsidTr="00324B03">
        <w:trPr>
          <w:trHeight w:val="359"/>
        </w:trPr>
        <w:tc>
          <w:tcPr>
            <w:tcW w:w="1529" w:type="dxa"/>
            <w:tcBorders>
              <w:bottom w:val="single" w:sz="4" w:space="0" w:color="auto"/>
            </w:tcBorders>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55mM</w:t>
            </w:r>
          </w:p>
        </w:tc>
        <w:tc>
          <w:tcPr>
            <w:tcW w:w="2279" w:type="dxa"/>
            <w:tcBorders>
              <w:bottom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19,45±0,01</w:t>
            </w:r>
            <w:r w:rsidRPr="00085ACF">
              <w:rPr>
                <w:rFonts w:eastAsia="Times New Roman"/>
                <w:iCs/>
                <w:sz w:val="18"/>
                <w:vertAlign w:val="superscript"/>
                <w:lang w:eastAsia="tr-TR"/>
              </w:rPr>
              <w:t>aD</w:t>
            </w:r>
          </w:p>
        </w:tc>
        <w:tc>
          <w:tcPr>
            <w:tcW w:w="1657" w:type="dxa"/>
            <w:tcBorders>
              <w:bottom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14,93±0,005</w:t>
            </w:r>
            <w:r w:rsidRPr="00085ACF">
              <w:rPr>
                <w:rFonts w:eastAsia="Times New Roman"/>
                <w:iCs/>
                <w:sz w:val="18"/>
                <w:vertAlign w:val="superscript"/>
                <w:lang w:eastAsia="tr-TR"/>
              </w:rPr>
              <w:t>bD</w:t>
            </w:r>
          </w:p>
        </w:tc>
        <w:tc>
          <w:tcPr>
            <w:tcW w:w="2384" w:type="dxa"/>
            <w:tcBorders>
              <w:bottom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12,08±0,005</w:t>
            </w:r>
            <w:r w:rsidRPr="00085ACF">
              <w:rPr>
                <w:rFonts w:eastAsia="Times New Roman"/>
                <w:iCs/>
                <w:sz w:val="18"/>
                <w:vertAlign w:val="superscript"/>
                <w:lang w:eastAsia="tr-TR"/>
              </w:rPr>
              <w:t>cD</w:t>
            </w:r>
          </w:p>
        </w:tc>
        <w:tc>
          <w:tcPr>
            <w:tcW w:w="1657" w:type="dxa"/>
            <w:tcBorders>
              <w:bottom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16,51±0,005</w:t>
            </w:r>
            <w:r w:rsidRPr="00085ACF">
              <w:rPr>
                <w:rFonts w:eastAsia="Times New Roman"/>
                <w:iCs/>
                <w:sz w:val="18"/>
                <w:vertAlign w:val="superscript"/>
                <w:lang w:eastAsia="tr-TR"/>
              </w:rPr>
              <w:t>dD</w:t>
            </w:r>
          </w:p>
        </w:tc>
      </w:tr>
      <w:tr w:rsidR="00994ED2" w:rsidRPr="00994ED2" w:rsidTr="00324B03">
        <w:trPr>
          <w:trHeight w:val="312"/>
        </w:trPr>
        <w:tc>
          <w:tcPr>
            <w:tcW w:w="1529" w:type="dxa"/>
            <w:tcBorders>
              <w:top w:val="single" w:sz="4" w:space="0" w:color="auto"/>
              <w:bottom w:val="single" w:sz="4" w:space="0" w:color="auto"/>
            </w:tcBorders>
            <w:hideMark/>
          </w:tcPr>
          <w:p w:rsidR="00994ED2" w:rsidRPr="00085ACF" w:rsidRDefault="00994ED2" w:rsidP="00085ACF">
            <w:pPr>
              <w:spacing w:line="240" w:lineRule="auto"/>
              <w:ind w:firstLine="0"/>
              <w:jc w:val="center"/>
              <w:rPr>
                <w:rFonts w:eastAsia="Times New Roman"/>
                <w:b/>
                <w:iCs/>
                <w:sz w:val="20"/>
                <w:lang w:eastAsia="tr-TR"/>
              </w:rPr>
            </w:pPr>
            <w:r w:rsidRPr="00085ACF">
              <w:rPr>
                <w:rFonts w:eastAsia="Times New Roman"/>
                <w:b/>
                <w:iCs/>
                <w:sz w:val="20"/>
                <w:lang w:eastAsia="tr-TR"/>
              </w:rPr>
              <w:t>H</w:t>
            </w:r>
            <w:r w:rsidR="00085ACF" w:rsidRPr="00085ACF">
              <w:rPr>
                <w:rFonts w:eastAsia="Times New Roman"/>
                <w:b/>
                <w:iCs/>
                <w:sz w:val="20"/>
                <w:lang w:eastAsia="tr-TR"/>
              </w:rPr>
              <w:t>ipoksi</w:t>
            </w:r>
          </w:p>
        </w:tc>
        <w:tc>
          <w:tcPr>
            <w:tcW w:w="2279" w:type="dxa"/>
            <w:tcBorders>
              <w:top w:val="single" w:sz="4" w:space="0" w:color="auto"/>
              <w:bottom w:val="single" w:sz="4" w:space="0" w:color="auto"/>
            </w:tcBorders>
            <w:noWrap/>
            <w:hideMark/>
          </w:tcPr>
          <w:p w:rsidR="00994ED2" w:rsidRPr="00085ACF" w:rsidRDefault="00994ED2" w:rsidP="00085ACF">
            <w:pPr>
              <w:spacing w:line="240" w:lineRule="auto"/>
              <w:ind w:firstLine="0"/>
              <w:jc w:val="center"/>
              <w:rPr>
                <w:rFonts w:eastAsia="Times New Roman"/>
                <w:b/>
                <w:bCs/>
                <w:iCs/>
                <w:sz w:val="20"/>
                <w:lang w:eastAsia="tr-TR"/>
              </w:rPr>
            </w:pPr>
            <w:r w:rsidRPr="00085ACF">
              <w:rPr>
                <w:rFonts w:eastAsia="Times New Roman"/>
                <w:b/>
                <w:bCs/>
                <w:iCs/>
                <w:sz w:val="20"/>
                <w:lang w:eastAsia="tr-TR"/>
              </w:rPr>
              <w:t>6.S</w:t>
            </w:r>
            <w:r w:rsidR="00085ACF" w:rsidRPr="00085ACF">
              <w:rPr>
                <w:rFonts w:eastAsia="Times New Roman"/>
                <w:b/>
                <w:bCs/>
                <w:iCs/>
                <w:sz w:val="20"/>
                <w:lang w:eastAsia="tr-TR"/>
              </w:rPr>
              <w:t>aat</w:t>
            </w:r>
          </w:p>
        </w:tc>
        <w:tc>
          <w:tcPr>
            <w:tcW w:w="1657" w:type="dxa"/>
            <w:tcBorders>
              <w:top w:val="single" w:sz="4" w:space="0" w:color="auto"/>
              <w:bottom w:val="single" w:sz="4" w:space="0" w:color="auto"/>
            </w:tcBorders>
            <w:noWrap/>
            <w:hideMark/>
          </w:tcPr>
          <w:p w:rsidR="00994ED2" w:rsidRPr="00085ACF" w:rsidRDefault="00994ED2" w:rsidP="00085ACF">
            <w:pPr>
              <w:spacing w:line="240" w:lineRule="auto"/>
              <w:ind w:firstLine="0"/>
              <w:jc w:val="center"/>
              <w:rPr>
                <w:rFonts w:eastAsia="Times New Roman"/>
                <w:b/>
                <w:bCs/>
                <w:iCs/>
                <w:sz w:val="20"/>
                <w:lang w:eastAsia="tr-TR"/>
              </w:rPr>
            </w:pPr>
            <w:r w:rsidRPr="00085ACF">
              <w:rPr>
                <w:rFonts w:eastAsia="Times New Roman"/>
                <w:b/>
                <w:bCs/>
                <w:iCs/>
                <w:sz w:val="20"/>
                <w:lang w:eastAsia="tr-TR"/>
              </w:rPr>
              <w:t>12.S</w:t>
            </w:r>
            <w:r w:rsidR="00085ACF" w:rsidRPr="00085ACF">
              <w:rPr>
                <w:rFonts w:eastAsia="Times New Roman"/>
                <w:b/>
                <w:bCs/>
                <w:iCs/>
                <w:sz w:val="20"/>
                <w:lang w:eastAsia="tr-TR"/>
              </w:rPr>
              <w:t>aat</w:t>
            </w:r>
          </w:p>
        </w:tc>
        <w:tc>
          <w:tcPr>
            <w:tcW w:w="2384" w:type="dxa"/>
            <w:tcBorders>
              <w:top w:val="single" w:sz="4" w:space="0" w:color="auto"/>
              <w:bottom w:val="single" w:sz="4" w:space="0" w:color="auto"/>
            </w:tcBorders>
            <w:noWrap/>
            <w:hideMark/>
          </w:tcPr>
          <w:p w:rsidR="00994ED2" w:rsidRPr="00085ACF" w:rsidRDefault="00994ED2" w:rsidP="00085ACF">
            <w:pPr>
              <w:spacing w:line="240" w:lineRule="auto"/>
              <w:ind w:firstLine="0"/>
              <w:jc w:val="center"/>
              <w:rPr>
                <w:rFonts w:eastAsia="Times New Roman"/>
                <w:b/>
                <w:bCs/>
                <w:iCs/>
                <w:sz w:val="20"/>
                <w:lang w:eastAsia="tr-TR"/>
              </w:rPr>
            </w:pPr>
            <w:r w:rsidRPr="00085ACF">
              <w:rPr>
                <w:rFonts w:eastAsia="Times New Roman"/>
                <w:b/>
                <w:bCs/>
                <w:iCs/>
                <w:sz w:val="20"/>
                <w:lang w:eastAsia="tr-TR"/>
              </w:rPr>
              <w:t>24.S</w:t>
            </w:r>
            <w:r w:rsidR="00085ACF" w:rsidRPr="00085ACF">
              <w:rPr>
                <w:rFonts w:eastAsia="Times New Roman"/>
                <w:b/>
                <w:bCs/>
                <w:iCs/>
                <w:sz w:val="20"/>
                <w:lang w:eastAsia="tr-TR"/>
              </w:rPr>
              <w:t>aat</w:t>
            </w:r>
          </w:p>
        </w:tc>
        <w:tc>
          <w:tcPr>
            <w:tcW w:w="1657" w:type="dxa"/>
            <w:tcBorders>
              <w:top w:val="single" w:sz="4" w:space="0" w:color="auto"/>
              <w:bottom w:val="single" w:sz="4" w:space="0" w:color="auto"/>
            </w:tcBorders>
            <w:noWrap/>
            <w:hideMark/>
          </w:tcPr>
          <w:p w:rsidR="00994ED2" w:rsidRPr="00085ACF" w:rsidRDefault="00994ED2" w:rsidP="00085ACF">
            <w:pPr>
              <w:spacing w:line="240" w:lineRule="auto"/>
              <w:ind w:firstLine="0"/>
              <w:jc w:val="center"/>
              <w:rPr>
                <w:rFonts w:eastAsia="Times New Roman"/>
                <w:b/>
                <w:bCs/>
                <w:iCs/>
                <w:sz w:val="20"/>
                <w:lang w:eastAsia="tr-TR"/>
              </w:rPr>
            </w:pPr>
            <w:r w:rsidRPr="00085ACF">
              <w:rPr>
                <w:rFonts w:eastAsia="Times New Roman"/>
                <w:b/>
                <w:bCs/>
                <w:iCs/>
                <w:sz w:val="20"/>
                <w:lang w:eastAsia="tr-TR"/>
              </w:rPr>
              <w:t>48.S</w:t>
            </w:r>
            <w:r w:rsidR="00085ACF" w:rsidRPr="00085ACF">
              <w:rPr>
                <w:rFonts w:eastAsia="Times New Roman"/>
                <w:b/>
                <w:bCs/>
                <w:iCs/>
                <w:sz w:val="20"/>
                <w:lang w:eastAsia="tr-TR"/>
              </w:rPr>
              <w:t>aat</w:t>
            </w:r>
          </w:p>
        </w:tc>
      </w:tr>
      <w:tr w:rsidR="00994ED2" w:rsidRPr="00994ED2" w:rsidTr="00085ACF">
        <w:trPr>
          <w:trHeight w:val="312"/>
        </w:trPr>
        <w:tc>
          <w:tcPr>
            <w:tcW w:w="1529" w:type="dxa"/>
            <w:tcBorders>
              <w:top w:val="single" w:sz="4" w:space="0" w:color="auto"/>
            </w:tcBorders>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0mM</w:t>
            </w:r>
          </w:p>
        </w:tc>
        <w:tc>
          <w:tcPr>
            <w:tcW w:w="2279" w:type="dxa"/>
            <w:tcBorders>
              <w:top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15,26±0,005</w:t>
            </w:r>
            <w:r w:rsidRPr="00085ACF">
              <w:rPr>
                <w:rFonts w:eastAsia="Times New Roman"/>
                <w:iCs/>
                <w:sz w:val="18"/>
                <w:vertAlign w:val="superscript"/>
                <w:lang w:eastAsia="tr-TR"/>
              </w:rPr>
              <w:t>aA</w:t>
            </w:r>
          </w:p>
        </w:tc>
        <w:tc>
          <w:tcPr>
            <w:tcW w:w="1657" w:type="dxa"/>
            <w:tcBorders>
              <w:top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11,81±0,008</w:t>
            </w:r>
            <w:r w:rsidRPr="00085ACF">
              <w:rPr>
                <w:rFonts w:eastAsia="Times New Roman"/>
                <w:iCs/>
                <w:sz w:val="18"/>
                <w:vertAlign w:val="superscript"/>
                <w:lang w:eastAsia="tr-TR"/>
              </w:rPr>
              <w:t>bA</w:t>
            </w:r>
          </w:p>
        </w:tc>
        <w:tc>
          <w:tcPr>
            <w:tcW w:w="2384" w:type="dxa"/>
            <w:tcBorders>
              <w:top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10,94±0,005</w:t>
            </w:r>
            <w:r w:rsidRPr="00085ACF">
              <w:rPr>
                <w:rFonts w:eastAsia="Times New Roman"/>
                <w:iCs/>
                <w:sz w:val="18"/>
                <w:vertAlign w:val="superscript"/>
                <w:lang w:eastAsia="tr-TR"/>
              </w:rPr>
              <w:t>cA</w:t>
            </w:r>
          </w:p>
        </w:tc>
        <w:tc>
          <w:tcPr>
            <w:tcW w:w="1657" w:type="dxa"/>
            <w:tcBorders>
              <w:top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7,17±0,005</w:t>
            </w:r>
            <w:r w:rsidRPr="00085ACF">
              <w:rPr>
                <w:rFonts w:eastAsia="Times New Roman"/>
                <w:iCs/>
                <w:sz w:val="18"/>
                <w:vertAlign w:val="superscript"/>
                <w:lang w:eastAsia="tr-TR"/>
              </w:rPr>
              <w:t>dA</w:t>
            </w:r>
          </w:p>
        </w:tc>
      </w:tr>
      <w:tr w:rsidR="00994ED2" w:rsidRPr="00994ED2" w:rsidTr="00085ACF">
        <w:trPr>
          <w:trHeight w:val="312"/>
        </w:trPr>
        <w:tc>
          <w:tcPr>
            <w:tcW w:w="1529" w:type="dxa"/>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5.5mM</w:t>
            </w:r>
          </w:p>
        </w:tc>
        <w:tc>
          <w:tcPr>
            <w:tcW w:w="2279"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20,46±0,01</w:t>
            </w:r>
            <w:r w:rsidRPr="00085ACF">
              <w:rPr>
                <w:rFonts w:eastAsia="Times New Roman"/>
                <w:iCs/>
                <w:sz w:val="18"/>
                <w:vertAlign w:val="superscript"/>
                <w:lang w:eastAsia="tr-TR"/>
              </w:rPr>
              <w:t>aB</w:t>
            </w:r>
          </w:p>
        </w:tc>
        <w:tc>
          <w:tcPr>
            <w:tcW w:w="1657"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16,87±0,005</w:t>
            </w:r>
            <w:r w:rsidRPr="00085ACF">
              <w:rPr>
                <w:rFonts w:eastAsia="Times New Roman"/>
                <w:iCs/>
                <w:sz w:val="18"/>
                <w:vertAlign w:val="superscript"/>
                <w:lang w:eastAsia="tr-TR"/>
              </w:rPr>
              <w:t>bB</w:t>
            </w:r>
          </w:p>
        </w:tc>
        <w:tc>
          <w:tcPr>
            <w:tcW w:w="2384"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11,51±0,01</w:t>
            </w:r>
            <w:r w:rsidRPr="00085ACF">
              <w:rPr>
                <w:rFonts w:eastAsia="Times New Roman"/>
                <w:iCs/>
                <w:sz w:val="18"/>
                <w:vertAlign w:val="superscript"/>
                <w:lang w:eastAsia="tr-TR"/>
              </w:rPr>
              <w:t>cB</w:t>
            </w:r>
          </w:p>
        </w:tc>
        <w:tc>
          <w:tcPr>
            <w:tcW w:w="1657"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4,55±0,005</w:t>
            </w:r>
            <w:r w:rsidRPr="00085ACF">
              <w:rPr>
                <w:rFonts w:eastAsia="Times New Roman"/>
                <w:iCs/>
                <w:sz w:val="18"/>
                <w:vertAlign w:val="superscript"/>
                <w:lang w:eastAsia="tr-TR"/>
              </w:rPr>
              <w:t>dB</w:t>
            </w:r>
          </w:p>
        </w:tc>
      </w:tr>
      <w:tr w:rsidR="00994ED2" w:rsidRPr="00994ED2" w:rsidTr="009B055A">
        <w:trPr>
          <w:trHeight w:val="312"/>
        </w:trPr>
        <w:tc>
          <w:tcPr>
            <w:tcW w:w="1529" w:type="dxa"/>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15mM</w:t>
            </w:r>
          </w:p>
        </w:tc>
        <w:tc>
          <w:tcPr>
            <w:tcW w:w="2279"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44,24±0,01</w:t>
            </w:r>
            <w:r w:rsidRPr="00085ACF">
              <w:rPr>
                <w:rFonts w:eastAsia="Times New Roman"/>
                <w:iCs/>
                <w:sz w:val="18"/>
                <w:vertAlign w:val="superscript"/>
                <w:lang w:eastAsia="tr-TR"/>
              </w:rPr>
              <w:t>aC</w:t>
            </w:r>
          </w:p>
        </w:tc>
        <w:tc>
          <w:tcPr>
            <w:tcW w:w="1657"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16,63±0,01</w:t>
            </w:r>
            <w:r w:rsidRPr="00085ACF">
              <w:rPr>
                <w:rFonts w:eastAsia="Times New Roman"/>
                <w:iCs/>
                <w:sz w:val="18"/>
                <w:vertAlign w:val="superscript"/>
                <w:lang w:eastAsia="tr-TR"/>
              </w:rPr>
              <w:t>bC</w:t>
            </w:r>
          </w:p>
        </w:tc>
        <w:tc>
          <w:tcPr>
            <w:tcW w:w="2384"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14,48±0,005</w:t>
            </w:r>
            <w:r w:rsidRPr="00085ACF">
              <w:rPr>
                <w:rFonts w:eastAsia="Times New Roman"/>
                <w:iCs/>
                <w:sz w:val="18"/>
                <w:vertAlign w:val="superscript"/>
                <w:lang w:eastAsia="tr-TR"/>
              </w:rPr>
              <w:t>cC</w:t>
            </w:r>
          </w:p>
        </w:tc>
        <w:tc>
          <w:tcPr>
            <w:tcW w:w="1657" w:type="dxa"/>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7,06±0,02</w:t>
            </w:r>
            <w:r w:rsidRPr="00085ACF">
              <w:rPr>
                <w:rFonts w:eastAsia="Times New Roman"/>
                <w:iCs/>
                <w:sz w:val="18"/>
                <w:vertAlign w:val="superscript"/>
                <w:lang w:eastAsia="tr-TR"/>
              </w:rPr>
              <w:t>dC</w:t>
            </w:r>
          </w:p>
        </w:tc>
      </w:tr>
      <w:tr w:rsidR="00994ED2" w:rsidRPr="00994ED2" w:rsidTr="009B055A">
        <w:trPr>
          <w:trHeight w:val="312"/>
        </w:trPr>
        <w:tc>
          <w:tcPr>
            <w:tcW w:w="1529" w:type="dxa"/>
            <w:tcBorders>
              <w:bottom w:val="single" w:sz="4" w:space="0" w:color="auto"/>
            </w:tcBorders>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55mM</w:t>
            </w:r>
          </w:p>
        </w:tc>
        <w:tc>
          <w:tcPr>
            <w:tcW w:w="2279" w:type="dxa"/>
            <w:tcBorders>
              <w:bottom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24,43±0,02</w:t>
            </w:r>
            <w:r w:rsidRPr="00085ACF">
              <w:rPr>
                <w:rFonts w:eastAsia="Times New Roman"/>
                <w:iCs/>
                <w:sz w:val="18"/>
                <w:vertAlign w:val="superscript"/>
                <w:lang w:eastAsia="tr-TR"/>
              </w:rPr>
              <w:t>aD</w:t>
            </w:r>
          </w:p>
        </w:tc>
        <w:tc>
          <w:tcPr>
            <w:tcW w:w="1657" w:type="dxa"/>
            <w:tcBorders>
              <w:bottom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8,23±0,007</w:t>
            </w:r>
            <w:r w:rsidRPr="00085ACF">
              <w:rPr>
                <w:rFonts w:eastAsia="Times New Roman"/>
                <w:iCs/>
                <w:sz w:val="18"/>
                <w:vertAlign w:val="superscript"/>
                <w:lang w:eastAsia="tr-TR"/>
              </w:rPr>
              <w:t>bD</w:t>
            </w:r>
          </w:p>
        </w:tc>
        <w:tc>
          <w:tcPr>
            <w:tcW w:w="2384" w:type="dxa"/>
            <w:tcBorders>
              <w:bottom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7,02±0,005</w:t>
            </w:r>
            <w:r w:rsidRPr="00085ACF">
              <w:rPr>
                <w:rFonts w:eastAsia="Times New Roman"/>
                <w:iCs/>
                <w:sz w:val="18"/>
                <w:vertAlign w:val="superscript"/>
                <w:lang w:eastAsia="tr-TR"/>
              </w:rPr>
              <w:t>cD</w:t>
            </w:r>
          </w:p>
        </w:tc>
        <w:tc>
          <w:tcPr>
            <w:tcW w:w="1657" w:type="dxa"/>
            <w:tcBorders>
              <w:bottom w:val="single" w:sz="4" w:space="0" w:color="auto"/>
            </w:tcBorders>
            <w:noWrap/>
            <w:hideMark/>
          </w:tcPr>
          <w:p w:rsidR="00994ED2" w:rsidRPr="00085ACF" w:rsidRDefault="00994ED2" w:rsidP="00085ACF">
            <w:pPr>
              <w:spacing w:line="240" w:lineRule="auto"/>
              <w:ind w:firstLine="0"/>
              <w:jc w:val="center"/>
              <w:rPr>
                <w:rFonts w:eastAsia="Times New Roman"/>
                <w:iCs/>
                <w:sz w:val="18"/>
                <w:lang w:eastAsia="tr-TR"/>
              </w:rPr>
            </w:pPr>
            <w:r w:rsidRPr="00085ACF">
              <w:rPr>
                <w:rFonts w:eastAsia="Times New Roman"/>
                <w:iCs/>
                <w:sz w:val="18"/>
                <w:lang w:eastAsia="tr-TR"/>
              </w:rPr>
              <w:t>6,87±0,01</w:t>
            </w:r>
            <w:r w:rsidRPr="00085ACF">
              <w:rPr>
                <w:rFonts w:eastAsia="Times New Roman"/>
                <w:iCs/>
                <w:sz w:val="18"/>
                <w:vertAlign w:val="superscript"/>
                <w:lang w:eastAsia="tr-TR"/>
              </w:rPr>
              <w:t>dD</w:t>
            </w:r>
          </w:p>
        </w:tc>
      </w:tr>
    </w:tbl>
    <w:p w:rsidR="00F16C5A" w:rsidRDefault="00F16C5A" w:rsidP="002C1282">
      <w:pPr>
        <w:ind w:firstLine="0"/>
        <w:jc w:val="left"/>
        <w:rPr>
          <w:rFonts w:cs="Times New Roman"/>
          <w:color w:val="000000"/>
          <w:sz w:val="18"/>
          <w:szCs w:val="18"/>
        </w:rPr>
      </w:pPr>
    </w:p>
    <w:p w:rsidR="002B3673" w:rsidRPr="002C1282" w:rsidRDefault="002B3673" w:rsidP="002C1282">
      <w:pPr>
        <w:ind w:firstLine="0"/>
        <w:jc w:val="left"/>
        <w:rPr>
          <w:rFonts w:cs="Times New Roman"/>
          <w:color w:val="000000"/>
          <w:sz w:val="18"/>
          <w:szCs w:val="18"/>
        </w:rPr>
      </w:pPr>
      <w:r w:rsidRPr="002C1282">
        <w:rPr>
          <w:rFonts w:cs="Times New Roman"/>
          <w:color w:val="000000"/>
          <w:sz w:val="18"/>
          <w:szCs w:val="18"/>
        </w:rPr>
        <w:t>abcd aynı satırda farklı harfler p&lt;0,05 düzeyinde önemi ifade etmektedir.</w:t>
      </w:r>
    </w:p>
    <w:p w:rsidR="002B3673" w:rsidRPr="002C1282" w:rsidRDefault="002B3673" w:rsidP="002C1282">
      <w:pPr>
        <w:ind w:firstLine="0"/>
        <w:jc w:val="left"/>
        <w:rPr>
          <w:rFonts w:cs="Times New Roman"/>
          <w:color w:val="000000"/>
          <w:sz w:val="18"/>
          <w:szCs w:val="18"/>
        </w:rPr>
      </w:pPr>
      <w:r w:rsidRPr="002C1282">
        <w:rPr>
          <w:rFonts w:cs="Times New Roman"/>
          <w:color w:val="000000"/>
          <w:sz w:val="18"/>
          <w:szCs w:val="18"/>
        </w:rPr>
        <w:t>ABCD aynı sütunda farklı harfler p&lt;0,05 düzeyinde önemi ifade etmektedir.</w:t>
      </w:r>
    </w:p>
    <w:p w:rsidR="002B3673" w:rsidRPr="003334A6" w:rsidRDefault="002B3673" w:rsidP="002B3673">
      <w:pPr>
        <w:rPr>
          <w:rFonts w:cs="Times New Roman"/>
          <w:color w:val="000000"/>
          <w:szCs w:val="24"/>
        </w:rPr>
      </w:pPr>
    </w:p>
    <w:p w:rsidR="002B3673" w:rsidRDefault="002B3673" w:rsidP="002B3673">
      <w:pPr>
        <w:rPr>
          <w:rFonts w:cs="Times New Roman"/>
          <w:color w:val="000000"/>
          <w:szCs w:val="24"/>
        </w:rPr>
      </w:pPr>
      <w:r w:rsidRPr="00BA37BB">
        <w:rPr>
          <w:rFonts w:cs="Times New Roman"/>
        </w:rPr>
        <w:t xml:space="preserve">Normoksik ve hipoksik koşullarda glukozun farklı dozlarına maruz bırakılan MCF-7 meme kanser hücre hattı gruplarında uygulama saatleri arasında </w:t>
      </w:r>
      <w:r>
        <w:rPr>
          <w:rFonts w:cs="Times New Roman"/>
        </w:rPr>
        <w:t>LDHA</w:t>
      </w:r>
      <w:r w:rsidRPr="00BA37BB">
        <w:rPr>
          <w:rFonts w:cs="Times New Roman"/>
        </w:rPr>
        <w:t xml:space="preserve"> düzeylerinin nasıl değiştiği incelendi.</w:t>
      </w:r>
      <w:r>
        <w:rPr>
          <w:rFonts w:cs="Times New Roman"/>
        </w:rPr>
        <w:t xml:space="preserve"> G</w:t>
      </w:r>
      <w:r w:rsidRPr="0058029E">
        <w:rPr>
          <w:rFonts w:cs="Times New Roman"/>
        </w:rPr>
        <w:t>ruplar arasında zamana bağlı farklılıklar</w:t>
      </w:r>
      <w:r>
        <w:rPr>
          <w:rFonts w:cs="Times New Roman"/>
        </w:rPr>
        <w:t>a</w:t>
      </w:r>
      <w:r w:rsidRPr="0058029E">
        <w:rPr>
          <w:rFonts w:cs="Times New Roman"/>
        </w:rPr>
        <w:t xml:space="preserve"> </w:t>
      </w:r>
      <w:r>
        <w:rPr>
          <w:rFonts w:cs="Times New Roman"/>
        </w:rPr>
        <w:t>bakıldığında</w:t>
      </w:r>
      <w:r w:rsidRPr="0058029E">
        <w:rPr>
          <w:rFonts w:cs="Times New Roman"/>
        </w:rPr>
        <w:t xml:space="preserve">, normoksik koşullarda enzim </w:t>
      </w:r>
      <w:r>
        <w:rPr>
          <w:rFonts w:cs="Times New Roman"/>
        </w:rPr>
        <w:t>miktarlarının</w:t>
      </w:r>
      <w:r w:rsidRPr="0058029E">
        <w:rPr>
          <w:rFonts w:cs="Times New Roman"/>
        </w:rPr>
        <w:t xml:space="preserve"> </w:t>
      </w:r>
      <w:r>
        <w:rPr>
          <w:rFonts w:cs="Times New Roman"/>
        </w:rPr>
        <w:t>genel itibariyle 24</w:t>
      </w:r>
      <w:r w:rsidRPr="0058029E">
        <w:rPr>
          <w:rFonts w:cs="Times New Roman"/>
        </w:rPr>
        <w:t xml:space="preserve">.saate kadar </w:t>
      </w:r>
      <w:r>
        <w:rPr>
          <w:rFonts w:cs="Times New Roman"/>
        </w:rPr>
        <w:t>azalış</w:t>
      </w:r>
      <w:r w:rsidRPr="0058029E">
        <w:rPr>
          <w:rFonts w:cs="Times New Roman"/>
        </w:rPr>
        <w:t xml:space="preserve">, </w:t>
      </w:r>
      <w:r>
        <w:rPr>
          <w:rFonts w:cs="Times New Roman"/>
        </w:rPr>
        <w:t>24. saatten 48.saate kadar ise artış gösterdiği gözlendi. Tüm glukoz içeren ortamlarda inkübasyon zamanına bağlı değişimler anlamlı bulundu (</w:t>
      </w:r>
      <w:r>
        <w:rPr>
          <w:rFonts w:cs="Times New Roman"/>
          <w:color w:val="000000"/>
          <w:szCs w:val="24"/>
        </w:rPr>
        <w:t xml:space="preserve">p&lt;0,001). Sadece </w:t>
      </w:r>
      <w:r>
        <w:rPr>
          <w:rFonts w:cs="Times New Roman"/>
        </w:rPr>
        <w:t xml:space="preserve">0 mM glukoz ortamında 12. ve 24. saatler arası LDHA enzim miktarları istatiksel olarak anlamlı bulunamadı </w:t>
      </w:r>
      <w:r>
        <w:rPr>
          <w:rFonts w:cs="Times New Roman"/>
          <w:color w:val="000000"/>
          <w:szCs w:val="24"/>
        </w:rPr>
        <w:t>(p&gt;</w:t>
      </w:r>
      <w:r w:rsidRPr="00851238">
        <w:rPr>
          <w:rFonts w:cs="Times New Roman"/>
          <w:color w:val="000000"/>
          <w:szCs w:val="24"/>
        </w:rPr>
        <w:t>0,05</w:t>
      </w:r>
      <w:r>
        <w:rPr>
          <w:rFonts w:cs="Times New Roman"/>
          <w:color w:val="000000"/>
          <w:szCs w:val="24"/>
        </w:rPr>
        <w:t xml:space="preserve">). Hipoksik koşullarda ise tüm farklı glukoz </w:t>
      </w:r>
      <w:proofErr w:type="gramStart"/>
      <w:r>
        <w:rPr>
          <w:rFonts w:cs="Times New Roman"/>
          <w:color w:val="000000"/>
          <w:szCs w:val="24"/>
        </w:rPr>
        <w:t>konsantrasyonları</w:t>
      </w:r>
      <w:proofErr w:type="gramEnd"/>
      <w:r>
        <w:rPr>
          <w:rFonts w:cs="Times New Roman"/>
          <w:color w:val="000000"/>
          <w:szCs w:val="24"/>
        </w:rPr>
        <w:t xml:space="preserve"> için artan inkübasyon sürelerine paralel olarak enzim miktarlarında anlamlı azalmalar gözlendi </w:t>
      </w:r>
      <w:r w:rsidRPr="00851238">
        <w:rPr>
          <w:rFonts w:cs="Times New Roman"/>
          <w:color w:val="000000"/>
          <w:szCs w:val="24"/>
        </w:rPr>
        <w:t>(</w:t>
      </w:r>
      <w:r>
        <w:rPr>
          <w:rFonts w:cs="Times New Roman"/>
          <w:color w:val="000000"/>
          <w:szCs w:val="24"/>
        </w:rPr>
        <w:t>p&lt;0,001</w:t>
      </w:r>
      <w:r w:rsidR="00897312">
        <w:rPr>
          <w:rFonts w:cs="Times New Roman"/>
          <w:color w:val="000000"/>
          <w:szCs w:val="24"/>
        </w:rPr>
        <w:t>)</w:t>
      </w:r>
      <w:r>
        <w:rPr>
          <w:rFonts w:cs="Times New Roman"/>
          <w:color w:val="000000"/>
          <w:szCs w:val="24"/>
        </w:rPr>
        <w:t xml:space="preserve"> </w:t>
      </w:r>
      <w:r w:rsidR="003F789F">
        <w:rPr>
          <w:rFonts w:cs="Times New Roman"/>
          <w:color w:val="000000"/>
          <w:szCs w:val="24"/>
        </w:rPr>
        <w:t xml:space="preserve">(Tablo </w:t>
      </w:r>
      <w:r w:rsidR="00D450D5">
        <w:rPr>
          <w:rFonts w:cs="Times New Roman"/>
          <w:color w:val="000000"/>
          <w:szCs w:val="24"/>
        </w:rPr>
        <w:t>9</w:t>
      </w:r>
      <w:r w:rsidR="00897312">
        <w:rPr>
          <w:rFonts w:cs="Times New Roman"/>
          <w:color w:val="000000"/>
          <w:szCs w:val="24"/>
        </w:rPr>
        <w:t>) (Şekil 34 ve 35).</w:t>
      </w:r>
    </w:p>
    <w:p w:rsidR="002B3673" w:rsidRDefault="002B3673" w:rsidP="002B3673">
      <w:pPr>
        <w:rPr>
          <w:rFonts w:cs="Times New Roman"/>
          <w:color w:val="000000"/>
          <w:szCs w:val="24"/>
        </w:rPr>
      </w:pPr>
    </w:p>
    <w:p w:rsidR="002B3673" w:rsidRDefault="002B3673" w:rsidP="002C1282">
      <w:pPr>
        <w:jc w:val="center"/>
        <w:rPr>
          <w:rFonts w:cs="Times New Roman"/>
          <w:color w:val="000000"/>
          <w:szCs w:val="24"/>
        </w:rPr>
      </w:pPr>
      <w:r>
        <w:rPr>
          <w:noProof/>
          <w:lang w:eastAsia="tr-TR"/>
        </w:rPr>
        <w:lastRenderedPageBreak/>
        <w:drawing>
          <wp:inline distT="0" distB="0" distL="0" distR="0">
            <wp:extent cx="4536000" cy="2743200"/>
            <wp:effectExtent l="0" t="0" r="0" b="0"/>
            <wp:docPr id="6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52503" w:rsidRDefault="00D52503" w:rsidP="002B3673">
      <w:pPr>
        <w:rPr>
          <w:rFonts w:cs="Times New Roman"/>
          <w:color w:val="000000"/>
          <w:szCs w:val="24"/>
        </w:rPr>
      </w:pPr>
    </w:p>
    <w:p w:rsidR="002B3673" w:rsidRDefault="00D450D5" w:rsidP="002B3673">
      <w:pPr>
        <w:rPr>
          <w:rFonts w:cs="Times New Roman"/>
          <w:color w:val="000000"/>
          <w:szCs w:val="24"/>
        </w:rPr>
      </w:pPr>
      <w:r>
        <w:rPr>
          <w:rFonts w:cs="Times New Roman"/>
          <w:b/>
          <w:color w:val="000000"/>
          <w:szCs w:val="24"/>
        </w:rPr>
        <w:t>Şekil 34</w:t>
      </w:r>
      <w:r w:rsidR="002B3673" w:rsidRPr="00417BA5">
        <w:rPr>
          <w:rFonts w:cs="Times New Roman"/>
          <w:b/>
          <w:color w:val="000000"/>
          <w:szCs w:val="24"/>
        </w:rPr>
        <w:t>.</w:t>
      </w:r>
      <w:r w:rsidR="002B3673" w:rsidRPr="008F16E1">
        <w:rPr>
          <w:rFonts w:cs="Times New Roman"/>
          <w:color w:val="000000"/>
          <w:szCs w:val="24"/>
        </w:rPr>
        <w:t xml:space="preserve">  MCF-7 kanser hücrelerinin normoksi</w:t>
      </w:r>
      <w:r w:rsidR="002B3673">
        <w:rPr>
          <w:rFonts w:cs="Times New Roman"/>
          <w:color w:val="000000"/>
          <w:szCs w:val="24"/>
        </w:rPr>
        <w:t xml:space="preserve"> ortamında</w:t>
      </w:r>
      <w:r w:rsidR="002B3673" w:rsidRPr="008F16E1">
        <w:rPr>
          <w:rFonts w:cs="Times New Roman"/>
          <w:color w:val="000000"/>
          <w:szCs w:val="24"/>
        </w:rPr>
        <w:t xml:space="preserve"> glukozun farklı </w:t>
      </w:r>
      <w:proofErr w:type="gramStart"/>
      <w:r w:rsidR="002B3673" w:rsidRPr="008F16E1">
        <w:rPr>
          <w:rFonts w:cs="Times New Roman"/>
          <w:color w:val="000000"/>
          <w:szCs w:val="24"/>
        </w:rPr>
        <w:t>konsantrasyonlu</w:t>
      </w:r>
      <w:proofErr w:type="gramEnd"/>
      <w:r w:rsidR="002B3673" w:rsidRPr="008F16E1">
        <w:rPr>
          <w:rFonts w:cs="Times New Roman"/>
          <w:color w:val="000000"/>
          <w:szCs w:val="24"/>
        </w:rPr>
        <w:t xml:space="preserve"> uygulama gruplarında 6, 12</w:t>
      </w:r>
      <w:r w:rsidR="002B3673">
        <w:rPr>
          <w:rFonts w:cs="Times New Roman"/>
          <w:color w:val="000000"/>
          <w:szCs w:val="24"/>
        </w:rPr>
        <w:t>,</w:t>
      </w:r>
      <w:r w:rsidR="002B3673" w:rsidRPr="008F16E1">
        <w:rPr>
          <w:rFonts w:cs="Times New Roman"/>
          <w:color w:val="000000"/>
          <w:szCs w:val="24"/>
        </w:rPr>
        <w:t xml:space="preserve"> 24</w:t>
      </w:r>
      <w:r w:rsidR="002B3673">
        <w:rPr>
          <w:rFonts w:cs="Times New Roman"/>
          <w:color w:val="000000"/>
          <w:szCs w:val="24"/>
        </w:rPr>
        <w:t xml:space="preserve"> ve 48</w:t>
      </w:r>
      <w:r w:rsidR="002B3673" w:rsidRPr="008F16E1">
        <w:rPr>
          <w:rFonts w:cs="Times New Roman"/>
          <w:color w:val="000000"/>
          <w:szCs w:val="24"/>
        </w:rPr>
        <w:t xml:space="preserve"> saat inkübasyonu sonucu elde edilen </w:t>
      </w:r>
      <w:r w:rsidR="002B3673">
        <w:rPr>
          <w:rFonts w:cs="Times New Roman"/>
          <w:color w:val="000000"/>
          <w:szCs w:val="24"/>
        </w:rPr>
        <w:t>LDHA enzim</w:t>
      </w:r>
      <w:r w:rsidR="002B3673" w:rsidRPr="008F16E1">
        <w:rPr>
          <w:rFonts w:cs="Times New Roman"/>
          <w:color w:val="000000"/>
          <w:szCs w:val="24"/>
        </w:rPr>
        <w:t xml:space="preserve"> </w:t>
      </w:r>
      <w:r w:rsidR="002B3673">
        <w:rPr>
          <w:rFonts w:cs="Times New Roman"/>
          <w:color w:val="000000"/>
          <w:szCs w:val="24"/>
        </w:rPr>
        <w:t>miktarı</w:t>
      </w:r>
      <w:r w:rsidR="002B3673" w:rsidRPr="008F16E1">
        <w:rPr>
          <w:rFonts w:cs="Times New Roman"/>
          <w:color w:val="000000"/>
          <w:szCs w:val="24"/>
        </w:rPr>
        <w:t xml:space="preserve"> düzeyleri.</w:t>
      </w:r>
    </w:p>
    <w:p w:rsidR="002B3673" w:rsidRDefault="002B3673" w:rsidP="002B3673">
      <w:pPr>
        <w:rPr>
          <w:rFonts w:cs="Times New Roman"/>
          <w:color w:val="000000"/>
          <w:szCs w:val="24"/>
        </w:rPr>
      </w:pPr>
    </w:p>
    <w:p w:rsidR="002B3673" w:rsidRDefault="002B3673" w:rsidP="002C1282">
      <w:pPr>
        <w:jc w:val="center"/>
        <w:rPr>
          <w:rFonts w:cs="Times New Roman"/>
          <w:color w:val="000000"/>
          <w:szCs w:val="24"/>
        </w:rPr>
      </w:pPr>
      <w:r>
        <w:rPr>
          <w:noProof/>
          <w:lang w:eastAsia="tr-TR"/>
        </w:rPr>
        <w:drawing>
          <wp:inline distT="0" distB="0" distL="0" distR="0">
            <wp:extent cx="4536000" cy="2743200"/>
            <wp:effectExtent l="0" t="0" r="0" b="0"/>
            <wp:docPr id="65"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B3673" w:rsidRDefault="002B3673" w:rsidP="002B3673">
      <w:pPr>
        <w:rPr>
          <w:rFonts w:cs="Times New Roman"/>
          <w:b/>
          <w:color w:val="000000"/>
          <w:szCs w:val="24"/>
        </w:rPr>
      </w:pPr>
    </w:p>
    <w:p w:rsidR="002B3673" w:rsidRDefault="002B3673" w:rsidP="002B3673">
      <w:pPr>
        <w:rPr>
          <w:rFonts w:cs="Times New Roman"/>
          <w:color w:val="000000"/>
          <w:szCs w:val="24"/>
        </w:rPr>
      </w:pPr>
      <w:r w:rsidRPr="00417BA5">
        <w:rPr>
          <w:rFonts w:cs="Times New Roman"/>
          <w:b/>
          <w:color w:val="000000"/>
          <w:szCs w:val="24"/>
        </w:rPr>
        <w:t>Şekil</w:t>
      </w:r>
      <w:r w:rsidR="002679EE">
        <w:rPr>
          <w:rFonts w:cs="Times New Roman"/>
          <w:b/>
          <w:color w:val="000000"/>
          <w:szCs w:val="24"/>
        </w:rPr>
        <w:t xml:space="preserve"> </w:t>
      </w:r>
      <w:r w:rsidR="00D450D5">
        <w:rPr>
          <w:rFonts w:cs="Times New Roman"/>
          <w:b/>
          <w:color w:val="000000"/>
          <w:szCs w:val="24"/>
        </w:rPr>
        <w:t>35</w:t>
      </w:r>
      <w:r w:rsidRPr="00417BA5">
        <w:rPr>
          <w:rFonts w:cs="Times New Roman"/>
          <w:b/>
          <w:color w:val="000000"/>
          <w:szCs w:val="24"/>
        </w:rPr>
        <w:t>.</w:t>
      </w:r>
      <w:r w:rsidRPr="008F16E1">
        <w:rPr>
          <w:rFonts w:cs="Times New Roman"/>
          <w:color w:val="000000"/>
          <w:szCs w:val="24"/>
        </w:rPr>
        <w:t xml:space="preserve">  MCF-7 kanser hücrelerinin </w:t>
      </w:r>
      <w:r>
        <w:rPr>
          <w:rFonts w:cs="Times New Roman"/>
          <w:color w:val="000000"/>
          <w:szCs w:val="24"/>
        </w:rPr>
        <w:t>hipoksi ortamında</w:t>
      </w:r>
      <w:r w:rsidRPr="008F16E1">
        <w:rPr>
          <w:rFonts w:cs="Times New Roman"/>
          <w:color w:val="000000"/>
          <w:szCs w:val="24"/>
        </w:rPr>
        <w:t xml:space="preserve"> glukozun farklı </w:t>
      </w:r>
      <w:proofErr w:type="gramStart"/>
      <w:r w:rsidRPr="008F16E1">
        <w:rPr>
          <w:rFonts w:cs="Times New Roman"/>
          <w:color w:val="000000"/>
          <w:szCs w:val="24"/>
        </w:rPr>
        <w:t>konsantrasyonlu</w:t>
      </w:r>
      <w:proofErr w:type="gramEnd"/>
      <w:r w:rsidRPr="008F16E1">
        <w:rPr>
          <w:rFonts w:cs="Times New Roman"/>
          <w:color w:val="000000"/>
          <w:szCs w:val="24"/>
        </w:rPr>
        <w:t xml:space="preserve"> uygulama gruplarında 6, 12</w:t>
      </w:r>
      <w:r>
        <w:rPr>
          <w:rFonts w:cs="Times New Roman"/>
          <w:color w:val="000000"/>
          <w:szCs w:val="24"/>
        </w:rPr>
        <w:t>,</w:t>
      </w:r>
      <w:r w:rsidRPr="008F16E1">
        <w:rPr>
          <w:rFonts w:cs="Times New Roman"/>
          <w:color w:val="000000"/>
          <w:szCs w:val="24"/>
        </w:rPr>
        <w:t xml:space="preserve"> 24</w:t>
      </w:r>
      <w:r>
        <w:rPr>
          <w:rFonts w:cs="Times New Roman"/>
          <w:color w:val="000000"/>
          <w:szCs w:val="24"/>
        </w:rPr>
        <w:t xml:space="preserve"> ve 48</w:t>
      </w:r>
      <w:r w:rsidRPr="008F16E1">
        <w:rPr>
          <w:rFonts w:cs="Times New Roman"/>
          <w:color w:val="000000"/>
          <w:szCs w:val="24"/>
        </w:rPr>
        <w:t xml:space="preserve"> saat inkübasyonu sonucu elde edilen </w:t>
      </w:r>
      <w:r>
        <w:rPr>
          <w:rFonts w:cs="Times New Roman"/>
          <w:color w:val="000000"/>
          <w:szCs w:val="24"/>
        </w:rPr>
        <w:t>LDHA enzim</w:t>
      </w:r>
      <w:r w:rsidRPr="008F16E1">
        <w:rPr>
          <w:rFonts w:cs="Times New Roman"/>
          <w:color w:val="000000"/>
          <w:szCs w:val="24"/>
        </w:rPr>
        <w:t xml:space="preserve"> </w:t>
      </w:r>
      <w:r>
        <w:rPr>
          <w:rFonts w:cs="Times New Roman"/>
          <w:color w:val="000000"/>
          <w:szCs w:val="24"/>
        </w:rPr>
        <w:t>miktarı</w:t>
      </w:r>
      <w:r w:rsidRPr="008F16E1">
        <w:rPr>
          <w:rFonts w:cs="Times New Roman"/>
          <w:color w:val="000000"/>
          <w:szCs w:val="24"/>
        </w:rPr>
        <w:t xml:space="preserve"> düzeyleri.</w:t>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Pr>
          <w:rFonts w:cs="Times New Roman"/>
          <w:color w:val="000000"/>
          <w:szCs w:val="24"/>
        </w:rPr>
        <w:t xml:space="preserve">Konsantrasyon farlılığına bağlı incelenen normoksik ortamdaki MCF-7 hücrelerinin 6. ve 48. saat inkübasyon sürelerinde </w:t>
      </w:r>
      <w:proofErr w:type="gramStart"/>
      <w:r>
        <w:rPr>
          <w:rFonts w:cs="Times New Roman"/>
          <w:color w:val="000000"/>
          <w:szCs w:val="24"/>
        </w:rPr>
        <w:t>5.5</w:t>
      </w:r>
      <w:proofErr w:type="gramEnd"/>
      <w:r>
        <w:rPr>
          <w:rFonts w:cs="Times New Roman"/>
          <w:color w:val="000000"/>
          <w:szCs w:val="24"/>
        </w:rPr>
        <w:t xml:space="preserve"> mM konsantrasyonda glukoz içermeyen ortama göre </w:t>
      </w:r>
      <w:r>
        <w:rPr>
          <w:rFonts w:cs="Times New Roman"/>
          <w:color w:val="000000"/>
          <w:szCs w:val="24"/>
        </w:rPr>
        <w:lastRenderedPageBreak/>
        <w:t xml:space="preserve">LDHA miktarının yükseldiği, 15 ve 55 mM konsantrasyonlarda ise 5.5 mM glukoz içeren ortama göre enzim miktarlarının azaldığı belirlendi (p&lt;0,001). 12. saatte 15 ve 55 mM’da glukoz içermeyen ve </w:t>
      </w:r>
      <w:proofErr w:type="gramStart"/>
      <w:r>
        <w:rPr>
          <w:rFonts w:cs="Times New Roman"/>
          <w:color w:val="000000"/>
          <w:szCs w:val="24"/>
        </w:rPr>
        <w:t>5.5</w:t>
      </w:r>
      <w:proofErr w:type="gramEnd"/>
      <w:r>
        <w:rPr>
          <w:rFonts w:cs="Times New Roman"/>
          <w:color w:val="000000"/>
          <w:szCs w:val="24"/>
        </w:rPr>
        <w:t xml:space="preserve"> mM glukoz içeren ortama göre enzim miktarı artarken, 24. saatte 5.5 mM’da LDHA miktarının kontrole göre arttığı, 15 ve 55</w:t>
      </w:r>
      <w:r w:rsidR="000B20B6">
        <w:rPr>
          <w:rFonts w:cs="Times New Roman"/>
          <w:color w:val="000000"/>
          <w:szCs w:val="24"/>
        </w:rPr>
        <w:t xml:space="preserve"> </w:t>
      </w:r>
      <w:r>
        <w:rPr>
          <w:rFonts w:cs="Times New Roman"/>
          <w:color w:val="000000"/>
          <w:szCs w:val="24"/>
        </w:rPr>
        <w:t xml:space="preserve">mM’da ise tekrar kademeli bir şekilde azaldığı görüldü (p&lt;0,001). En yüksek enzim içeriği 48.saatte </w:t>
      </w:r>
      <w:proofErr w:type="gramStart"/>
      <w:r>
        <w:rPr>
          <w:rFonts w:cs="Times New Roman"/>
          <w:color w:val="000000"/>
          <w:szCs w:val="24"/>
        </w:rPr>
        <w:t>5.5</w:t>
      </w:r>
      <w:proofErr w:type="gramEnd"/>
      <w:r>
        <w:rPr>
          <w:rFonts w:cs="Times New Roman"/>
          <w:color w:val="000000"/>
          <w:szCs w:val="24"/>
        </w:rPr>
        <w:t xml:space="preserve"> mM glukoz ortamında belirlendi. Tüm değişimler istatistiksel ol</w:t>
      </w:r>
      <w:r w:rsidR="00897312">
        <w:rPr>
          <w:rFonts w:cs="Times New Roman"/>
          <w:color w:val="000000"/>
          <w:szCs w:val="24"/>
        </w:rPr>
        <w:t xml:space="preserve">arak anlamlı bulundu  (p&lt;0,001) (Şekil 36). </w:t>
      </w:r>
    </w:p>
    <w:p w:rsidR="002B3673" w:rsidRDefault="002B3673" w:rsidP="002B3673">
      <w:pPr>
        <w:rPr>
          <w:rFonts w:cs="Times New Roman"/>
          <w:color w:val="000000"/>
          <w:szCs w:val="24"/>
        </w:rPr>
      </w:pPr>
      <w:r>
        <w:rPr>
          <w:rFonts w:cs="Times New Roman"/>
          <w:color w:val="000000"/>
          <w:szCs w:val="24"/>
        </w:rPr>
        <w:t>Hipoksik hücrelerde 6. saat inkübasyonunda 15 mM glukoz içeren ortamda en yüksek LDHA miktarı tespit edildi. Ayrıca 6.saatte 5.5 mM glukoz içeren ortama göre 15 mM glukoz ortamında  LDHA miktarının 2 kat arttığı; 6</w:t>
      </w:r>
      <w:proofErr w:type="gramStart"/>
      <w:r>
        <w:rPr>
          <w:rFonts w:cs="Times New Roman"/>
          <w:color w:val="000000"/>
          <w:szCs w:val="24"/>
        </w:rPr>
        <w:t>.,</w:t>
      </w:r>
      <w:proofErr w:type="gramEnd"/>
      <w:r>
        <w:rPr>
          <w:rFonts w:cs="Times New Roman"/>
          <w:color w:val="000000"/>
          <w:szCs w:val="24"/>
        </w:rPr>
        <w:t xml:space="preserve"> 12. ve 24. saatlerde 55 mM glukoz ortamında 15 mM’a göre enzim miktarlarında 2 kat azalma olduğu görüldü (p&lt;0,001). Tüm inkübasyon sürelerinde dozlar arası LDHA miktarları arasındaki farklılıklar istatiksel o</w:t>
      </w:r>
      <w:r w:rsidR="00897312">
        <w:rPr>
          <w:rFonts w:cs="Times New Roman"/>
          <w:color w:val="000000"/>
          <w:szCs w:val="24"/>
        </w:rPr>
        <w:t xml:space="preserve">larak anlamlı bulundu (p&lt;0,001) (Şekil 37). </w:t>
      </w:r>
    </w:p>
    <w:p w:rsidR="002B3673" w:rsidRDefault="002B3673" w:rsidP="002B3673">
      <w:pPr>
        <w:rPr>
          <w:rFonts w:cs="Times New Roman"/>
          <w:color w:val="000000"/>
          <w:szCs w:val="24"/>
        </w:rPr>
      </w:pPr>
    </w:p>
    <w:p w:rsidR="002B3673" w:rsidRDefault="00A81952" w:rsidP="002B3673">
      <w:r>
        <w:t xml:space="preserve">         </w:t>
      </w:r>
      <w:r w:rsidR="002B3673">
        <w:rPr>
          <w:noProof/>
          <w:lang w:eastAsia="tr-TR"/>
        </w:rPr>
        <w:drawing>
          <wp:inline distT="0" distB="0" distL="0" distR="0">
            <wp:extent cx="4572000" cy="2743200"/>
            <wp:effectExtent l="0" t="0" r="0" b="0"/>
            <wp:docPr id="66"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B3673" w:rsidRDefault="002B3673" w:rsidP="002B3673"/>
    <w:p w:rsidR="002B3673" w:rsidRDefault="00D450D5" w:rsidP="002B3673">
      <w:r>
        <w:rPr>
          <w:rFonts w:cs="Times New Roman"/>
          <w:b/>
          <w:color w:val="000000"/>
          <w:szCs w:val="24"/>
        </w:rPr>
        <w:t>Şekil 36</w:t>
      </w:r>
      <w:r w:rsidR="002B3673" w:rsidRPr="00417BA5">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normoksi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a LDHA</w:t>
      </w:r>
      <w:r w:rsidR="002B3673" w:rsidRPr="00EE6E59">
        <w:rPr>
          <w:rFonts w:cs="Times New Roman"/>
          <w:color w:val="000000"/>
          <w:szCs w:val="24"/>
        </w:rPr>
        <w:t xml:space="preserve"> miktarlarının karşılaştırılması.</w:t>
      </w:r>
    </w:p>
    <w:p w:rsidR="002B3673" w:rsidRDefault="002B3673" w:rsidP="002B3673"/>
    <w:p w:rsidR="002B3673" w:rsidRDefault="002B3673" w:rsidP="002B3673">
      <w:pPr>
        <w:jc w:val="center"/>
      </w:pPr>
      <w:r>
        <w:rPr>
          <w:noProof/>
          <w:lang w:eastAsia="tr-TR"/>
        </w:rPr>
        <w:lastRenderedPageBreak/>
        <w:drawing>
          <wp:inline distT="0" distB="0" distL="0" distR="0">
            <wp:extent cx="4572000" cy="2743200"/>
            <wp:effectExtent l="0" t="0" r="0" b="0"/>
            <wp:docPr id="67"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B3673" w:rsidRDefault="002B3673" w:rsidP="002B3673">
      <w:pPr>
        <w:jc w:val="center"/>
      </w:pPr>
    </w:p>
    <w:p w:rsidR="002B3673" w:rsidRDefault="00D450D5" w:rsidP="002B3673">
      <w:pPr>
        <w:rPr>
          <w:rFonts w:cs="Times New Roman"/>
          <w:color w:val="000000"/>
          <w:szCs w:val="24"/>
        </w:rPr>
      </w:pPr>
      <w:r>
        <w:rPr>
          <w:rFonts w:cs="Times New Roman"/>
          <w:b/>
          <w:color w:val="000000"/>
          <w:szCs w:val="24"/>
        </w:rPr>
        <w:t>Şekil 37</w:t>
      </w:r>
      <w:r w:rsidR="002B3673" w:rsidRPr="00417BA5">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w:t>
      </w:r>
      <w:r w:rsidR="002B3673">
        <w:rPr>
          <w:rFonts w:cs="Times New Roman"/>
          <w:color w:val="000000"/>
          <w:szCs w:val="24"/>
        </w:rPr>
        <w:t>hipoksi</w:t>
      </w:r>
      <w:r w:rsidR="002B3673" w:rsidRPr="00EE6E59">
        <w:rPr>
          <w:rFonts w:cs="Times New Roman"/>
          <w:color w:val="000000"/>
          <w:szCs w:val="24"/>
        </w:rPr>
        <w:t xml:space="preserve">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a LDHA</w:t>
      </w:r>
      <w:r w:rsidR="002B3673" w:rsidRPr="00EE6E59">
        <w:rPr>
          <w:rFonts w:cs="Times New Roman"/>
          <w:color w:val="000000"/>
          <w:szCs w:val="24"/>
        </w:rPr>
        <w:t xml:space="preserve"> miktarlarının karşılaştırılması.</w:t>
      </w:r>
    </w:p>
    <w:p w:rsidR="002B3673" w:rsidRDefault="002B3673" w:rsidP="002B3673">
      <w:pPr>
        <w:rPr>
          <w:rFonts w:cs="Times New Roman"/>
          <w:color w:val="000000"/>
          <w:szCs w:val="24"/>
        </w:rPr>
      </w:pPr>
    </w:p>
    <w:p w:rsidR="002B3673" w:rsidRDefault="002B3673" w:rsidP="002B3673">
      <w:pPr>
        <w:rPr>
          <w:rFonts w:cs="Times New Roman"/>
          <w:color w:val="000000"/>
          <w:szCs w:val="24"/>
        </w:rPr>
      </w:pPr>
    </w:p>
    <w:p w:rsidR="002B3673" w:rsidRPr="00417BA5" w:rsidRDefault="002B3673" w:rsidP="00D05475">
      <w:pPr>
        <w:pStyle w:val="Balk2"/>
        <w:rPr>
          <w:rFonts w:cs="Times New Roman"/>
          <w:color w:val="000000"/>
        </w:rPr>
      </w:pPr>
      <w:r>
        <w:rPr>
          <w:rFonts w:eastAsia="Times New Roman"/>
          <w:lang w:eastAsia="tr-TR"/>
        </w:rPr>
        <w:t>4.</w:t>
      </w:r>
      <w:r w:rsidR="00A93050">
        <w:rPr>
          <w:rFonts w:eastAsia="Times New Roman"/>
          <w:lang w:eastAsia="tr-TR"/>
        </w:rPr>
        <w:t>3</w:t>
      </w:r>
      <w:r>
        <w:rPr>
          <w:rFonts w:eastAsia="Times New Roman"/>
          <w:lang w:eastAsia="tr-TR"/>
        </w:rPr>
        <w:t>.2.</w:t>
      </w:r>
      <w:r w:rsidR="00A93050">
        <w:rPr>
          <w:rFonts w:eastAsia="Times New Roman"/>
          <w:lang w:eastAsia="tr-TR"/>
        </w:rPr>
        <w:t>2</w:t>
      </w:r>
      <w:r w:rsidR="006B7302">
        <w:rPr>
          <w:rFonts w:eastAsia="Times New Roman"/>
          <w:lang w:eastAsia="tr-TR"/>
        </w:rPr>
        <w:t xml:space="preserve"> Aynı </w:t>
      </w:r>
      <w:proofErr w:type="gramStart"/>
      <w:r w:rsidR="006B7302">
        <w:rPr>
          <w:rFonts w:eastAsia="Times New Roman"/>
          <w:lang w:eastAsia="tr-TR"/>
        </w:rPr>
        <w:t>konsantrasyonlu</w:t>
      </w:r>
      <w:proofErr w:type="gramEnd"/>
      <w:r w:rsidR="006B7302">
        <w:rPr>
          <w:rFonts w:eastAsia="Times New Roman"/>
          <w:lang w:eastAsia="tr-TR"/>
        </w:rPr>
        <w:t xml:space="preserve"> glukoz u</w:t>
      </w:r>
      <w:r>
        <w:rPr>
          <w:rFonts w:eastAsia="Times New Roman"/>
          <w:lang w:eastAsia="tr-TR"/>
        </w:rPr>
        <w:t xml:space="preserve">ygulamalarında </w:t>
      </w:r>
      <w:r w:rsidR="006B7302">
        <w:rPr>
          <w:rFonts w:eastAsia="Times New Roman"/>
          <w:lang w:eastAsia="tr-TR"/>
        </w:rPr>
        <w:t>n</w:t>
      </w:r>
      <w:r>
        <w:rPr>
          <w:rFonts w:eastAsia="Times New Roman"/>
          <w:lang w:eastAsia="tr-TR"/>
        </w:rPr>
        <w:t xml:space="preserve">ormoksik ve </w:t>
      </w:r>
      <w:r w:rsidR="006B7302">
        <w:rPr>
          <w:rFonts w:eastAsia="Times New Roman"/>
          <w:lang w:eastAsia="tr-TR"/>
        </w:rPr>
        <w:t>h</w:t>
      </w:r>
      <w:r>
        <w:rPr>
          <w:rFonts w:eastAsia="Times New Roman"/>
          <w:lang w:eastAsia="tr-TR"/>
        </w:rPr>
        <w:t xml:space="preserve">ipoksik </w:t>
      </w:r>
      <w:r w:rsidR="006B7302">
        <w:rPr>
          <w:rFonts w:eastAsia="Times New Roman"/>
          <w:lang w:eastAsia="tr-TR"/>
        </w:rPr>
        <w:t>o</w:t>
      </w:r>
      <w:r>
        <w:rPr>
          <w:rFonts w:eastAsia="Times New Roman"/>
          <w:lang w:eastAsia="tr-TR"/>
        </w:rPr>
        <w:t xml:space="preserve">rtamdaki LDHA </w:t>
      </w:r>
      <w:r w:rsidR="006B7302">
        <w:rPr>
          <w:rFonts w:eastAsia="Times New Roman"/>
          <w:lang w:eastAsia="tr-TR"/>
        </w:rPr>
        <w:t>enzim m</w:t>
      </w:r>
      <w:r>
        <w:rPr>
          <w:rFonts w:eastAsia="Times New Roman"/>
          <w:lang w:eastAsia="tr-TR"/>
        </w:rPr>
        <w:t xml:space="preserve">iktarlarının </w:t>
      </w:r>
      <w:r w:rsidR="006B7302">
        <w:rPr>
          <w:rFonts w:eastAsia="Times New Roman"/>
          <w:lang w:eastAsia="tr-TR"/>
        </w:rPr>
        <w:t>k</w:t>
      </w:r>
      <w:r w:rsidRPr="00D05475">
        <w:rPr>
          <w:szCs w:val="24"/>
        </w:rPr>
        <w:t>arşılaştırılması</w:t>
      </w:r>
    </w:p>
    <w:p w:rsidR="002B3673" w:rsidRPr="007E02BA" w:rsidRDefault="002B3673" w:rsidP="002B3673">
      <w:pPr>
        <w:rPr>
          <w:rFonts w:cs="Times New Roman"/>
          <w:color w:val="000000"/>
          <w:szCs w:val="24"/>
        </w:rPr>
      </w:pPr>
    </w:p>
    <w:p w:rsidR="002B3673" w:rsidRDefault="002B3673" w:rsidP="002B3673">
      <w:pPr>
        <w:rPr>
          <w:rFonts w:cs="Times New Roman"/>
          <w:color w:val="000000"/>
          <w:szCs w:val="24"/>
        </w:rPr>
      </w:pPr>
      <w:r>
        <w:rPr>
          <w:rFonts w:cs="Times New Roman"/>
          <w:color w:val="000000"/>
          <w:szCs w:val="24"/>
        </w:rPr>
        <w:t>T</w:t>
      </w:r>
      <w:r w:rsidRPr="00A567AE">
        <w:rPr>
          <w:rFonts w:cs="Times New Roman"/>
          <w:color w:val="000000"/>
          <w:szCs w:val="24"/>
        </w:rPr>
        <w:t>üm uygulanan glukoz dozları için her inkübasyon süresinde normoksik kontrole göre hipoksik koşullarda LDHA düzeylerinde öneml</w:t>
      </w:r>
      <w:r>
        <w:rPr>
          <w:rFonts w:cs="Times New Roman"/>
          <w:color w:val="000000"/>
          <w:szCs w:val="24"/>
        </w:rPr>
        <w:t>i farklar kaydedildi (</w:t>
      </w:r>
      <w:r w:rsidR="00156FF9">
        <w:rPr>
          <w:rFonts w:cs="Times New Roman"/>
          <w:color w:val="000000"/>
          <w:szCs w:val="24"/>
        </w:rPr>
        <w:t>p</w:t>
      </w:r>
      <w:r>
        <w:rPr>
          <w:rFonts w:cs="Times New Roman"/>
          <w:color w:val="000000"/>
          <w:szCs w:val="24"/>
        </w:rPr>
        <w:t xml:space="preserve">&lt;0,001). Özellikle 48. saat inkübasyon süresinde normoksi ortamına göre hipoksi ortamında tüm konsantrasyonlar için (O, </w:t>
      </w:r>
      <w:proofErr w:type="gramStart"/>
      <w:r>
        <w:rPr>
          <w:rFonts w:cs="Times New Roman"/>
          <w:color w:val="000000"/>
          <w:szCs w:val="24"/>
        </w:rPr>
        <w:t>5.5</w:t>
      </w:r>
      <w:proofErr w:type="gramEnd"/>
      <w:r>
        <w:rPr>
          <w:rFonts w:cs="Times New Roman"/>
          <w:color w:val="000000"/>
          <w:szCs w:val="24"/>
        </w:rPr>
        <w:t>, 15 ve 55) sırasıyla 2.3, 7, 2.2 ve 2.4 kat enzim miktarlarında azalma belirlendi (</w:t>
      </w:r>
      <w:r w:rsidR="00156FF9">
        <w:rPr>
          <w:rFonts w:cs="Times New Roman"/>
          <w:color w:val="000000"/>
          <w:szCs w:val="24"/>
        </w:rPr>
        <w:t>p &lt;</w:t>
      </w:r>
      <w:r>
        <w:rPr>
          <w:rFonts w:cs="Times New Roman"/>
          <w:color w:val="000000"/>
          <w:szCs w:val="24"/>
        </w:rPr>
        <w:t xml:space="preserve">0,001). 15 mM konsantrasyonda ise 6. saatte hipoksi ortamındaki enzim miktarı normoksiye göre </w:t>
      </w:r>
      <w:proofErr w:type="gramStart"/>
      <w:r>
        <w:rPr>
          <w:rFonts w:cs="Times New Roman"/>
          <w:color w:val="000000"/>
          <w:szCs w:val="24"/>
        </w:rPr>
        <w:t>2.2</w:t>
      </w:r>
      <w:proofErr w:type="gramEnd"/>
      <w:r>
        <w:rPr>
          <w:rFonts w:cs="Times New Roman"/>
          <w:color w:val="000000"/>
          <w:szCs w:val="24"/>
        </w:rPr>
        <w:t xml:space="preserve"> k</w:t>
      </w:r>
      <w:r w:rsidR="00897312">
        <w:rPr>
          <w:rFonts w:cs="Times New Roman"/>
          <w:color w:val="000000"/>
          <w:szCs w:val="24"/>
        </w:rPr>
        <w:t>at artış sergiledi (</w:t>
      </w:r>
      <w:r w:rsidR="00156FF9">
        <w:rPr>
          <w:rFonts w:cs="Times New Roman"/>
          <w:color w:val="000000"/>
          <w:szCs w:val="24"/>
        </w:rPr>
        <w:t>p&lt;</w:t>
      </w:r>
      <w:r w:rsidR="00897312">
        <w:rPr>
          <w:rFonts w:cs="Times New Roman"/>
          <w:color w:val="000000"/>
          <w:szCs w:val="24"/>
        </w:rPr>
        <w:t xml:space="preserve">0,001) (Şekil 38-41). </w:t>
      </w:r>
    </w:p>
    <w:p w:rsidR="002B3673" w:rsidRDefault="002B3673" w:rsidP="002B3673">
      <w:pPr>
        <w:rPr>
          <w:rFonts w:cs="Times New Roman"/>
          <w:color w:val="000000"/>
          <w:szCs w:val="24"/>
        </w:rPr>
      </w:pPr>
    </w:p>
    <w:p w:rsidR="002B3673" w:rsidRDefault="002B3673" w:rsidP="002B3673">
      <w:pPr>
        <w:jc w:val="center"/>
      </w:pPr>
      <w:r w:rsidRPr="007B1066">
        <w:rPr>
          <w:noProof/>
          <w:lang w:eastAsia="tr-TR"/>
        </w:rPr>
        <w:lastRenderedPageBreak/>
        <w:drawing>
          <wp:inline distT="0" distB="0" distL="0" distR="0">
            <wp:extent cx="4572000" cy="2743200"/>
            <wp:effectExtent l="0" t="0" r="0" b="0"/>
            <wp:docPr id="6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B3673" w:rsidRDefault="002B3673" w:rsidP="002B3673">
      <w:pPr>
        <w:jc w:val="center"/>
      </w:pPr>
    </w:p>
    <w:p w:rsidR="002B3673" w:rsidRDefault="00D450D5" w:rsidP="002B3673">
      <w:pPr>
        <w:rPr>
          <w:rFonts w:cs="Times New Roman"/>
          <w:color w:val="000000"/>
          <w:szCs w:val="24"/>
        </w:rPr>
      </w:pPr>
      <w:r>
        <w:rPr>
          <w:rFonts w:cs="Times New Roman"/>
          <w:b/>
          <w:color w:val="000000"/>
          <w:szCs w:val="24"/>
        </w:rPr>
        <w:t>Şekil 38</w:t>
      </w:r>
      <w:r w:rsidR="002B3673" w:rsidRPr="00417BA5">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0 mM glukoz </w:t>
      </w:r>
      <w:r w:rsidR="002B3673" w:rsidRPr="006A05E3">
        <w:rPr>
          <w:rFonts w:cs="Times New Roman"/>
          <w:color w:val="000000"/>
          <w:szCs w:val="24"/>
        </w:rPr>
        <w:t xml:space="preserve">uygulama gruplarında </w:t>
      </w:r>
      <w:r w:rsidR="002B3673">
        <w:rPr>
          <w:rFonts w:cs="Times New Roman"/>
          <w:color w:val="000000"/>
          <w:szCs w:val="24"/>
        </w:rPr>
        <w:t>LDHA</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 w:rsidR="002B3673" w:rsidRDefault="002B3673" w:rsidP="002B3673">
      <w:pPr>
        <w:jc w:val="center"/>
      </w:pPr>
      <w:r w:rsidRPr="007B1066">
        <w:rPr>
          <w:noProof/>
          <w:lang w:eastAsia="tr-TR"/>
        </w:rPr>
        <w:drawing>
          <wp:inline distT="0" distB="0" distL="0" distR="0">
            <wp:extent cx="4572000" cy="2743200"/>
            <wp:effectExtent l="0" t="0" r="0" b="0"/>
            <wp:docPr id="69"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B3673" w:rsidRDefault="002B3673" w:rsidP="002B3673">
      <w:pPr>
        <w:jc w:val="center"/>
      </w:pPr>
    </w:p>
    <w:p w:rsidR="002B3673" w:rsidRDefault="002B3673" w:rsidP="002B3673">
      <w:pPr>
        <w:rPr>
          <w:rFonts w:cs="Times New Roman"/>
          <w:color w:val="000000"/>
          <w:szCs w:val="24"/>
        </w:rPr>
      </w:pPr>
      <w:r w:rsidRPr="00417BA5">
        <w:rPr>
          <w:rFonts w:cs="Times New Roman"/>
          <w:b/>
          <w:color w:val="000000"/>
          <w:szCs w:val="24"/>
        </w:rPr>
        <w:t>Şe</w:t>
      </w:r>
      <w:r w:rsidR="00D450D5">
        <w:rPr>
          <w:rFonts w:cs="Times New Roman"/>
          <w:b/>
          <w:color w:val="000000"/>
          <w:szCs w:val="24"/>
        </w:rPr>
        <w:t>kil 39</w:t>
      </w:r>
      <w:r w:rsidRPr="00417BA5">
        <w:rPr>
          <w:rFonts w:cs="Times New Roman"/>
          <w:b/>
          <w:color w:val="000000"/>
          <w:szCs w:val="24"/>
        </w:rPr>
        <w:t>.</w:t>
      </w:r>
      <w:r>
        <w:rPr>
          <w:rFonts w:cs="Times New Roman"/>
          <w:color w:val="000000"/>
          <w:szCs w:val="24"/>
        </w:rPr>
        <w:t xml:space="preserve"> </w:t>
      </w:r>
      <w:r w:rsidRPr="006A05E3">
        <w:rPr>
          <w:rFonts w:cs="Times New Roman"/>
          <w:color w:val="000000"/>
          <w:szCs w:val="24"/>
        </w:rPr>
        <w:t>MCF-7 kanser hücrelerinin normoksi</w:t>
      </w:r>
      <w:r>
        <w:rPr>
          <w:rFonts w:cs="Times New Roman"/>
          <w:color w:val="000000"/>
          <w:szCs w:val="24"/>
        </w:rPr>
        <w:t>k</w:t>
      </w:r>
      <w:r w:rsidRPr="006A05E3">
        <w:rPr>
          <w:rFonts w:cs="Times New Roman"/>
          <w:color w:val="000000"/>
          <w:szCs w:val="24"/>
        </w:rPr>
        <w:t xml:space="preserve"> ve hipoksi</w:t>
      </w:r>
      <w:r>
        <w:rPr>
          <w:rFonts w:cs="Times New Roman"/>
          <w:color w:val="000000"/>
          <w:szCs w:val="24"/>
        </w:rPr>
        <w:t>k</w:t>
      </w:r>
      <w:r w:rsidRPr="006A05E3">
        <w:rPr>
          <w:rFonts w:cs="Times New Roman"/>
          <w:color w:val="000000"/>
          <w:szCs w:val="24"/>
        </w:rPr>
        <w:t xml:space="preserve"> </w:t>
      </w:r>
      <w:r>
        <w:rPr>
          <w:rFonts w:cs="Times New Roman"/>
          <w:color w:val="000000"/>
          <w:szCs w:val="24"/>
        </w:rPr>
        <w:t>ortamdaki</w:t>
      </w:r>
      <w:r w:rsidRPr="006A05E3">
        <w:rPr>
          <w:rFonts w:cs="Times New Roman"/>
          <w:color w:val="000000"/>
          <w:szCs w:val="24"/>
        </w:rPr>
        <w:t xml:space="preserve"> </w:t>
      </w:r>
      <w:r>
        <w:rPr>
          <w:rFonts w:cs="Times New Roman"/>
          <w:color w:val="000000"/>
          <w:szCs w:val="24"/>
        </w:rPr>
        <w:t xml:space="preserve">farklı inkübasyon süreli 5,5 mM glukoz </w:t>
      </w:r>
      <w:r w:rsidRPr="006A05E3">
        <w:rPr>
          <w:rFonts w:cs="Times New Roman"/>
          <w:color w:val="000000"/>
          <w:szCs w:val="24"/>
        </w:rPr>
        <w:t xml:space="preserve">uygulama gruplarında </w:t>
      </w:r>
      <w:r>
        <w:rPr>
          <w:rFonts w:cs="Times New Roman"/>
          <w:color w:val="000000"/>
          <w:szCs w:val="24"/>
        </w:rPr>
        <w:t>LDHA</w:t>
      </w:r>
      <w:r w:rsidRPr="006A05E3">
        <w:rPr>
          <w:rFonts w:cs="Times New Roman"/>
          <w:color w:val="000000"/>
          <w:szCs w:val="24"/>
        </w:rPr>
        <w:t xml:space="preserve"> </w:t>
      </w:r>
      <w:r>
        <w:rPr>
          <w:rFonts w:cs="Times New Roman"/>
          <w:color w:val="000000"/>
          <w:szCs w:val="24"/>
        </w:rPr>
        <w:t xml:space="preserve">enzim </w:t>
      </w:r>
      <w:r w:rsidRPr="006A05E3">
        <w:rPr>
          <w:rFonts w:cs="Times New Roman"/>
          <w:color w:val="000000"/>
          <w:szCs w:val="24"/>
        </w:rPr>
        <w:t>düzeylerinin karşılaştırılması. *</w:t>
      </w:r>
      <w:r w:rsidR="00156FF9">
        <w:rPr>
          <w:rFonts w:cs="Times New Roman"/>
          <w:color w:val="000000"/>
          <w:szCs w:val="24"/>
        </w:rPr>
        <w:t>p</w:t>
      </w:r>
      <w:r w:rsidRPr="006A05E3">
        <w:rPr>
          <w:rFonts w:cs="Times New Roman"/>
          <w:color w:val="000000"/>
          <w:szCs w:val="24"/>
        </w:rPr>
        <w:t>&lt; 0,001</w:t>
      </w:r>
    </w:p>
    <w:p w:rsidR="002B3673" w:rsidRDefault="002B3673" w:rsidP="002B3673"/>
    <w:p w:rsidR="002B3673" w:rsidRDefault="002B3673" w:rsidP="002B3673">
      <w:pPr>
        <w:jc w:val="center"/>
      </w:pPr>
      <w:r w:rsidRPr="007B1066">
        <w:rPr>
          <w:noProof/>
          <w:lang w:eastAsia="tr-TR"/>
        </w:rPr>
        <w:lastRenderedPageBreak/>
        <w:drawing>
          <wp:inline distT="0" distB="0" distL="0" distR="0">
            <wp:extent cx="4572000" cy="2743200"/>
            <wp:effectExtent l="0" t="0" r="0" b="0"/>
            <wp:docPr id="70"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B3673" w:rsidRDefault="002B3673" w:rsidP="002B3673">
      <w:pPr>
        <w:rPr>
          <w:rFonts w:cs="Times New Roman"/>
          <w:b/>
          <w:color w:val="000000"/>
          <w:szCs w:val="24"/>
        </w:rPr>
      </w:pPr>
    </w:p>
    <w:p w:rsidR="002B3673" w:rsidRDefault="00D450D5" w:rsidP="002B3673">
      <w:pPr>
        <w:rPr>
          <w:rFonts w:cs="Times New Roman"/>
          <w:color w:val="000000"/>
          <w:szCs w:val="24"/>
        </w:rPr>
      </w:pPr>
      <w:r>
        <w:rPr>
          <w:rFonts w:cs="Times New Roman"/>
          <w:b/>
          <w:color w:val="000000"/>
          <w:szCs w:val="24"/>
        </w:rPr>
        <w:t>Şekil 40</w:t>
      </w:r>
      <w:r w:rsidR="002B3673" w:rsidRPr="00417BA5">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15 mM glukoz </w:t>
      </w:r>
      <w:r w:rsidR="002B3673" w:rsidRPr="006A05E3">
        <w:rPr>
          <w:rFonts w:cs="Times New Roman"/>
          <w:color w:val="000000"/>
          <w:szCs w:val="24"/>
        </w:rPr>
        <w:t xml:space="preserve">uygulama gruplarında </w:t>
      </w:r>
      <w:r w:rsidR="002B3673">
        <w:rPr>
          <w:rFonts w:cs="Times New Roman"/>
          <w:color w:val="000000"/>
          <w:szCs w:val="24"/>
        </w:rPr>
        <w:t>LDHA</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 w:rsidR="002B3673" w:rsidRDefault="002B3673" w:rsidP="002B3673">
      <w:pPr>
        <w:jc w:val="center"/>
      </w:pPr>
      <w:r w:rsidRPr="007B1066">
        <w:rPr>
          <w:noProof/>
          <w:lang w:eastAsia="tr-TR"/>
        </w:rPr>
        <w:drawing>
          <wp:inline distT="0" distB="0" distL="0" distR="0">
            <wp:extent cx="4572000" cy="2743200"/>
            <wp:effectExtent l="0" t="0" r="0" b="0"/>
            <wp:docPr id="71"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B3673" w:rsidRDefault="002B3673" w:rsidP="002B3673">
      <w:pPr>
        <w:rPr>
          <w:rFonts w:cs="Times New Roman"/>
          <w:color w:val="000000"/>
          <w:szCs w:val="24"/>
        </w:rPr>
      </w:pPr>
    </w:p>
    <w:p w:rsidR="002B3673" w:rsidRDefault="00D450D5" w:rsidP="002B3673">
      <w:pPr>
        <w:rPr>
          <w:rFonts w:cs="Times New Roman"/>
          <w:color w:val="000000"/>
          <w:szCs w:val="24"/>
        </w:rPr>
      </w:pPr>
      <w:r>
        <w:rPr>
          <w:rFonts w:cs="Times New Roman"/>
          <w:b/>
          <w:color w:val="000000"/>
          <w:szCs w:val="24"/>
        </w:rPr>
        <w:t>Şekil 41</w:t>
      </w:r>
      <w:r w:rsidR="002B3673" w:rsidRPr="00417BA5">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55 mM glukoz </w:t>
      </w:r>
      <w:r w:rsidR="002B3673" w:rsidRPr="006A05E3">
        <w:rPr>
          <w:rFonts w:cs="Times New Roman"/>
          <w:color w:val="000000"/>
          <w:szCs w:val="24"/>
        </w:rPr>
        <w:t xml:space="preserve">uygulama gruplarında </w:t>
      </w:r>
      <w:r w:rsidR="002B3673">
        <w:rPr>
          <w:rFonts w:cs="Times New Roman"/>
          <w:color w:val="000000"/>
          <w:szCs w:val="24"/>
        </w:rPr>
        <w:t>LDHA</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 w:rsidR="002B3673" w:rsidRDefault="002B3673" w:rsidP="002B3673"/>
    <w:p w:rsidR="002B3673" w:rsidRDefault="002B3673" w:rsidP="002B3673"/>
    <w:p w:rsidR="002B3673" w:rsidRDefault="002B3673" w:rsidP="00D52503">
      <w:pPr>
        <w:pStyle w:val="Balk2"/>
        <w:rPr>
          <w:rFonts w:eastAsia="Times New Roman"/>
          <w:lang w:eastAsia="tr-TR"/>
        </w:rPr>
      </w:pPr>
      <w:r w:rsidRPr="00410148">
        <w:rPr>
          <w:rFonts w:eastAsia="Times New Roman"/>
          <w:lang w:eastAsia="tr-TR"/>
        </w:rPr>
        <w:lastRenderedPageBreak/>
        <w:t>4.</w:t>
      </w:r>
      <w:r w:rsidR="00A93050">
        <w:rPr>
          <w:rFonts w:eastAsia="Times New Roman"/>
          <w:lang w:eastAsia="tr-TR"/>
        </w:rPr>
        <w:t>3</w:t>
      </w:r>
      <w:r w:rsidRPr="00410148">
        <w:rPr>
          <w:rFonts w:eastAsia="Times New Roman"/>
          <w:lang w:eastAsia="tr-TR"/>
        </w:rPr>
        <w:t>.</w:t>
      </w:r>
      <w:r>
        <w:rPr>
          <w:rFonts w:eastAsia="Times New Roman"/>
          <w:lang w:eastAsia="tr-TR"/>
        </w:rPr>
        <w:t>3</w:t>
      </w:r>
      <w:r w:rsidRPr="00410148">
        <w:rPr>
          <w:rFonts w:eastAsia="Times New Roman"/>
          <w:lang w:eastAsia="tr-TR"/>
        </w:rPr>
        <w:t xml:space="preserve"> ELISA Yönteminden Elde Edilen </w:t>
      </w:r>
      <w:r>
        <w:rPr>
          <w:rFonts w:eastAsia="Times New Roman"/>
          <w:lang w:eastAsia="tr-TR"/>
        </w:rPr>
        <w:t>G6PD</w:t>
      </w:r>
      <w:r w:rsidRPr="00410148">
        <w:rPr>
          <w:rFonts w:eastAsia="Times New Roman"/>
          <w:lang w:eastAsia="tr-TR"/>
        </w:rPr>
        <w:t xml:space="preserve"> Sonuçları</w:t>
      </w:r>
    </w:p>
    <w:p w:rsidR="002B3673" w:rsidRDefault="002B3673" w:rsidP="002B3673">
      <w:pPr>
        <w:rPr>
          <w:rFonts w:eastAsia="Times New Roman"/>
          <w:b/>
          <w:szCs w:val="24"/>
          <w:lang w:eastAsia="tr-TR"/>
        </w:rPr>
      </w:pPr>
    </w:p>
    <w:p w:rsidR="002B3673" w:rsidRDefault="002B3673" w:rsidP="00D52503">
      <w:pPr>
        <w:pStyle w:val="Balk2"/>
        <w:rPr>
          <w:rFonts w:eastAsia="Times New Roman"/>
          <w:lang w:eastAsia="tr-TR"/>
        </w:rPr>
      </w:pPr>
      <w:r>
        <w:rPr>
          <w:rFonts w:eastAsia="Times New Roman"/>
          <w:lang w:eastAsia="tr-TR"/>
        </w:rPr>
        <w:t>4.</w:t>
      </w:r>
      <w:r w:rsidR="00A93050">
        <w:rPr>
          <w:rFonts w:eastAsia="Times New Roman"/>
          <w:lang w:eastAsia="tr-TR"/>
        </w:rPr>
        <w:t>3</w:t>
      </w:r>
      <w:r>
        <w:rPr>
          <w:rFonts w:eastAsia="Times New Roman"/>
          <w:lang w:eastAsia="tr-TR"/>
        </w:rPr>
        <w:t xml:space="preserve">.3.1 G6PD </w:t>
      </w:r>
      <w:r w:rsidR="006B7302">
        <w:rPr>
          <w:rFonts w:eastAsia="Times New Roman"/>
          <w:lang w:eastAsia="tr-TR"/>
        </w:rPr>
        <w:t>e</w:t>
      </w:r>
      <w:r>
        <w:rPr>
          <w:rFonts w:eastAsia="Times New Roman"/>
          <w:lang w:eastAsia="tr-TR"/>
        </w:rPr>
        <w:t xml:space="preserve">nzim </w:t>
      </w:r>
      <w:r w:rsidR="006B7302">
        <w:rPr>
          <w:rFonts w:eastAsia="Times New Roman"/>
          <w:lang w:eastAsia="tr-TR"/>
        </w:rPr>
        <w:t xml:space="preserve">miktarının zamana ve </w:t>
      </w:r>
      <w:proofErr w:type="gramStart"/>
      <w:r w:rsidR="006B7302">
        <w:rPr>
          <w:rFonts w:eastAsia="Times New Roman"/>
          <w:lang w:eastAsia="tr-TR"/>
        </w:rPr>
        <w:t>k</w:t>
      </w:r>
      <w:r>
        <w:rPr>
          <w:rFonts w:eastAsia="Times New Roman"/>
          <w:lang w:eastAsia="tr-TR"/>
        </w:rPr>
        <w:t>onsantrasyona</w:t>
      </w:r>
      <w:proofErr w:type="gramEnd"/>
      <w:r>
        <w:rPr>
          <w:rFonts w:eastAsia="Times New Roman"/>
          <w:lang w:eastAsia="tr-TR"/>
        </w:rPr>
        <w:t xml:space="preserve"> </w:t>
      </w:r>
      <w:r w:rsidR="006B7302">
        <w:rPr>
          <w:rFonts w:eastAsia="Times New Roman"/>
          <w:lang w:eastAsia="tr-TR"/>
        </w:rPr>
        <w:t>b</w:t>
      </w:r>
      <w:r>
        <w:rPr>
          <w:rFonts w:eastAsia="Times New Roman"/>
          <w:lang w:eastAsia="tr-TR"/>
        </w:rPr>
        <w:t xml:space="preserve">ağlı </w:t>
      </w:r>
      <w:r w:rsidR="006B7302">
        <w:rPr>
          <w:rFonts w:eastAsia="Times New Roman"/>
          <w:lang w:eastAsia="tr-TR"/>
        </w:rPr>
        <w:t>d</w:t>
      </w:r>
      <w:r>
        <w:rPr>
          <w:rFonts w:eastAsia="Times New Roman"/>
          <w:lang w:eastAsia="tr-TR"/>
        </w:rPr>
        <w:t>eğişimi</w:t>
      </w:r>
    </w:p>
    <w:p w:rsidR="002B3673" w:rsidRDefault="002B3673" w:rsidP="002B3673">
      <w:pPr>
        <w:rPr>
          <w:rFonts w:eastAsia="Times New Roman"/>
          <w:b/>
          <w:szCs w:val="24"/>
          <w:lang w:eastAsia="tr-TR"/>
        </w:rPr>
      </w:pPr>
    </w:p>
    <w:p w:rsidR="002B3673" w:rsidRDefault="002B3673" w:rsidP="002B3673">
      <w:pPr>
        <w:rPr>
          <w:rFonts w:cs="Times New Roman"/>
        </w:rPr>
      </w:pPr>
      <w:r w:rsidRPr="00BA37BB">
        <w:rPr>
          <w:rFonts w:cs="Times New Roman"/>
        </w:rPr>
        <w:t>Normoksik ve hipoksik koşullarda glukozun farklı dozlarına maruz bırakılan MCF-7 meme kanser hücre hattı gruplar</w:t>
      </w:r>
      <w:r>
        <w:rPr>
          <w:rFonts w:cs="Times New Roman"/>
        </w:rPr>
        <w:t xml:space="preserve">ında uygulama saatlerine ve glukoz </w:t>
      </w:r>
      <w:proofErr w:type="gramStart"/>
      <w:r>
        <w:rPr>
          <w:rFonts w:cs="Times New Roman"/>
        </w:rPr>
        <w:t>konsantrasyonuna</w:t>
      </w:r>
      <w:proofErr w:type="gramEnd"/>
      <w:r>
        <w:rPr>
          <w:rFonts w:cs="Times New Roman"/>
        </w:rPr>
        <w:t xml:space="preserve"> bağlı olarak G6PD </w:t>
      </w:r>
      <w:r w:rsidRPr="00BA37BB">
        <w:rPr>
          <w:rFonts w:cs="Times New Roman"/>
        </w:rPr>
        <w:t>düzeyle</w:t>
      </w:r>
      <w:r>
        <w:rPr>
          <w:rFonts w:cs="Times New Roman"/>
        </w:rPr>
        <w:t>rinin</w:t>
      </w:r>
      <w:r w:rsidR="009E7ACA">
        <w:rPr>
          <w:rFonts w:cs="Times New Roman"/>
        </w:rPr>
        <w:t xml:space="preserve"> (ng/mL)</w:t>
      </w:r>
      <w:r>
        <w:rPr>
          <w:rFonts w:cs="Times New Roman"/>
        </w:rPr>
        <w:t xml:space="preserve"> nası</w:t>
      </w:r>
      <w:r w:rsidR="00D450D5">
        <w:rPr>
          <w:rFonts w:cs="Times New Roman"/>
        </w:rPr>
        <w:t>l değiştiği incelendi (Tablo 10</w:t>
      </w:r>
      <w:r>
        <w:rPr>
          <w:rFonts w:cs="Times New Roman"/>
        </w:rPr>
        <w:t>).</w:t>
      </w:r>
    </w:p>
    <w:p w:rsidR="002B3673" w:rsidRDefault="002B3673" w:rsidP="002B3673">
      <w:pPr>
        <w:rPr>
          <w:rFonts w:cs="Times New Roman"/>
        </w:rPr>
      </w:pPr>
    </w:p>
    <w:p w:rsidR="002B3673" w:rsidRDefault="006E285C" w:rsidP="00D52503">
      <w:pPr>
        <w:ind w:firstLine="0"/>
        <w:rPr>
          <w:rFonts w:cs="Times New Roman"/>
          <w:color w:val="000000"/>
          <w:szCs w:val="24"/>
        </w:rPr>
      </w:pPr>
      <w:r>
        <w:rPr>
          <w:rFonts w:cs="Times New Roman"/>
          <w:b/>
        </w:rPr>
        <w:t>Tablo 10</w:t>
      </w:r>
      <w:r w:rsidR="002B3673" w:rsidRPr="00417BA5">
        <w:rPr>
          <w:rFonts w:cs="Times New Roman"/>
          <w:b/>
        </w:rPr>
        <w:t>.</w:t>
      </w:r>
      <w:r w:rsidR="002B3673">
        <w:rPr>
          <w:rFonts w:cs="Times New Roman"/>
        </w:rPr>
        <w:t xml:space="preserve"> Normoksik ve </w:t>
      </w:r>
      <w:r w:rsidR="002B3673">
        <w:rPr>
          <w:rFonts w:cs="Times New Roman"/>
          <w:color w:val="000000"/>
          <w:szCs w:val="24"/>
        </w:rPr>
        <w:t xml:space="preserve">hipoksik ortamda glukozun farklı </w:t>
      </w:r>
      <w:proofErr w:type="gramStart"/>
      <w:r w:rsidR="002B3673">
        <w:rPr>
          <w:rFonts w:cs="Times New Roman"/>
          <w:color w:val="000000"/>
          <w:szCs w:val="24"/>
        </w:rPr>
        <w:t>konsantrasyonlu</w:t>
      </w:r>
      <w:proofErr w:type="gramEnd"/>
      <w:r w:rsidR="002B3673">
        <w:rPr>
          <w:rFonts w:cs="Times New Roman"/>
          <w:color w:val="000000"/>
          <w:szCs w:val="24"/>
        </w:rPr>
        <w:t xml:space="preserve"> uygulama gruplarında 6, 12, 24 ve 48 saat inkübasyonu sonucu elde edilen G6PD enzim miktarları ve standart hata değerleri.</w:t>
      </w:r>
    </w:p>
    <w:tbl>
      <w:tblPr>
        <w:tblStyle w:val="TabloKlavuzu2"/>
        <w:tblW w:w="9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19"/>
        <w:gridCol w:w="2083"/>
        <w:gridCol w:w="1514"/>
        <w:gridCol w:w="1746"/>
        <w:gridCol w:w="2090"/>
      </w:tblGrid>
      <w:tr w:rsidR="00D52503" w:rsidRPr="00D52503" w:rsidTr="00324B03">
        <w:trPr>
          <w:trHeight w:val="299"/>
        </w:trPr>
        <w:tc>
          <w:tcPr>
            <w:tcW w:w="1619"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N</w:t>
            </w:r>
            <w:r w:rsidR="00085ACF" w:rsidRPr="00085ACF">
              <w:rPr>
                <w:rFonts w:eastAsia="Times New Roman"/>
                <w:b/>
                <w:iCs/>
                <w:color w:val="000000"/>
                <w:sz w:val="20"/>
                <w:lang w:eastAsia="tr-TR"/>
              </w:rPr>
              <w:t>ormoksi</w:t>
            </w:r>
          </w:p>
        </w:tc>
        <w:tc>
          <w:tcPr>
            <w:tcW w:w="2083"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6.S</w:t>
            </w:r>
            <w:r w:rsidR="00085ACF" w:rsidRPr="00085ACF">
              <w:rPr>
                <w:rFonts w:eastAsia="Times New Roman"/>
                <w:b/>
                <w:iCs/>
                <w:color w:val="000000"/>
                <w:sz w:val="20"/>
                <w:lang w:eastAsia="tr-TR"/>
              </w:rPr>
              <w:t>aat</w:t>
            </w:r>
          </w:p>
        </w:tc>
        <w:tc>
          <w:tcPr>
            <w:tcW w:w="1514"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12.S</w:t>
            </w:r>
            <w:r w:rsidR="00085ACF" w:rsidRPr="00085ACF">
              <w:rPr>
                <w:rFonts w:eastAsia="Times New Roman"/>
                <w:b/>
                <w:iCs/>
                <w:color w:val="000000"/>
                <w:sz w:val="20"/>
                <w:lang w:eastAsia="tr-TR"/>
              </w:rPr>
              <w:t>aat</w:t>
            </w:r>
          </w:p>
        </w:tc>
        <w:tc>
          <w:tcPr>
            <w:tcW w:w="1746"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24.S</w:t>
            </w:r>
            <w:r w:rsidR="00085ACF" w:rsidRPr="00085ACF">
              <w:rPr>
                <w:rFonts w:eastAsia="Times New Roman"/>
                <w:b/>
                <w:iCs/>
                <w:color w:val="000000"/>
                <w:sz w:val="20"/>
                <w:lang w:eastAsia="tr-TR"/>
              </w:rPr>
              <w:t>aat</w:t>
            </w:r>
          </w:p>
        </w:tc>
        <w:tc>
          <w:tcPr>
            <w:tcW w:w="2090"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48.S</w:t>
            </w:r>
            <w:r w:rsidR="00085ACF" w:rsidRPr="00085ACF">
              <w:rPr>
                <w:rFonts w:eastAsia="Times New Roman"/>
                <w:b/>
                <w:iCs/>
                <w:color w:val="000000"/>
                <w:sz w:val="20"/>
                <w:lang w:eastAsia="tr-TR"/>
              </w:rPr>
              <w:t>aat</w:t>
            </w:r>
          </w:p>
        </w:tc>
      </w:tr>
      <w:tr w:rsidR="00D52503" w:rsidRPr="00D52503" w:rsidTr="00085ACF">
        <w:trPr>
          <w:trHeight w:val="344"/>
        </w:trPr>
        <w:tc>
          <w:tcPr>
            <w:tcW w:w="1619"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18"/>
                <w:lang w:eastAsia="tr-TR"/>
              </w:rPr>
            </w:pPr>
            <w:r w:rsidRPr="00085ACF">
              <w:rPr>
                <w:rFonts w:eastAsia="Times New Roman"/>
                <w:b/>
                <w:iCs/>
                <w:color w:val="000000"/>
                <w:sz w:val="18"/>
                <w:lang w:eastAsia="tr-TR"/>
              </w:rPr>
              <w:t>0mM</w:t>
            </w:r>
          </w:p>
        </w:tc>
        <w:tc>
          <w:tcPr>
            <w:tcW w:w="2083"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10,44±0,01</w:t>
            </w:r>
            <w:r w:rsidRPr="00085ACF">
              <w:rPr>
                <w:rFonts w:eastAsia="Times New Roman"/>
                <w:iCs/>
                <w:sz w:val="18"/>
                <w:vertAlign w:val="superscript"/>
                <w:lang w:eastAsia="tr-TR"/>
              </w:rPr>
              <w:t>aA</w:t>
            </w:r>
          </w:p>
        </w:tc>
        <w:tc>
          <w:tcPr>
            <w:tcW w:w="1514"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5,57±0,01</w:t>
            </w:r>
            <w:r w:rsidRPr="00085ACF">
              <w:rPr>
                <w:rFonts w:eastAsia="Times New Roman"/>
                <w:iCs/>
                <w:sz w:val="18"/>
                <w:vertAlign w:val="superscript"/>
                <w:lang w:eastAsia="tr-TR"/>
              </w:rPr>
              <w:t>bA</w:t>
            </w:r>
          </w:p>
        </w:tc>
        <w:tc>
          <w:tcPr>
            <w:tcW w:w="1746"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7,16±0,01</w:t>
            </w:r>
            <w:r w:rsidRPr="00085ACF">
              <w:rPr>
                <w:rFonts w:eastAsia="Times New Roman"/>
                <w:iCs/>
                <w:sz w:val="18"/>
                <w:vertAlign w:val="superscript"/>
                <w:lang w:eastAsia="tr-TR"/>
              </w:rPr>
              <w:t>cA</w:t>
            </w:r>
          </w:p>
        </w:tc>
        <w:tc>
          <w:tcPr>
            <w:tcW w:w="2090"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5,68±0,01</w:t>
            </w:r>
            <w:r w:rsidRPr="00085ACF">
              <w:rPr>
                <w:rFonts w:eastAsia="Times New Roman"/>
                <w:iCs/>
                <w:sz w:val="18"/>
                <w:vertAlign w:val="superscript"/>
                <w:lang w:eastAsia="tr-TR"/>
              </w:rPr>
              <w:t>dA</w:t>
            </w:r>
          </w:p>
        </w:tc>
      </w:tr>
      <w:tr w:rsidR="00D52503" w:rsidRPr="00D52503" w:rsidTr="00085ACF">
        <w:trPr>
          <w:trHeight w:val="344"/>
        </w:trPr>
        <w:tc>
          <w:tcPr>
            <w:tcW w:w="1619" w:type="dxa"/>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18"/>
                <w:lang w:eastAsia="tr-TR"/>
              </w:rPr>
            </w:pPr>
            <w:r w:rsidRPr="00085ACF">
              <w:rPr>
                <w:rFonts w:eastAsia="Times New Roman"/>
                <w:b/>
                <w:iCs/>
                <w:color w:val="000000"/>
                <w:sz w:val="18"/>
                <w:lang w:eastAsia="tr-TR"/>
              </w:rPr>
              <w:t>5.5mM</w:t>
            </w:r>
          </w:p>
        </w:tc>
        <w:tc>
          <w:tcPr>
            <w:tcW w:w="2083"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13,44±0,003</w:t>
            </w:r>
            <w:r w:rsidRPr="00085ACF">
              <w:rPr>
                <w:rFonts w:eastAsia="Times New Roman"/>
                <w:iCs/>
                <w:sz w:val="18"/>
                <w:vertAlign w:val="superscript"/>
                <w:lang w:eastAsia="tr-TR"/>
              </w:rPr>
              <w:t>aB</w:t>
            </w:r>
          </w:p>
        </w:tc>
        <w:tc>
          <w:tcPr>
            <w:tcW w:w="1514"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6,48±0,01</w:t>
            </w:r>
            <w:r w:rsidRPr="00085ACF">
              <w:rPr>
                <w:rFonts w:eastAsia="Times New Roman"/>
                <w:iCs/>
                <w:sz w:val="18"/>
                <w:vertAlign w:val="superscript"/>
                <w:lang w:eastAsia="tr-TR"/>
              </w:rPr>
              <w:t>bB</w:t>
            </w:r>
          </w:p>
        </w:tc>
        <w:tc>
          <w:tcPr>
            <w:tcW w:w="1746"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7,75±0,01</w:t>
            </w:r>
            <w:r w:rsidRPr="00085ACF">
              <w:rPr>
                <w:rFonts w:eastAsia="Times New Roman"/>
                <w:iCs/>
                <w:sz w:val="18"/>
                <w:vertAlign w:val="superscript"/>
                <w:lang w:eastAsia="tr-TR"/>
              </w:rPr>
              <w:t>cB</w:t>
            </w:r>
          </w:p>
        </w:tc>
        <w:tc>
          <w:tcPr>
            <w:tcW w:w="2090"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9,1±0,006</w:t>
            </w:r>
            <w:r w:rsidRPr="00085ACF">
              <w:rPr>
                <w:rFonts w:eastAsia="Times New Roman"/>
                <w:iCs/>
                <w:sz w:val="18"/>
                <w:vertAlign w:val="superscript"/>
                <w:lang w:eastAsia="tr-TR"/>
              </w:rPr>
              <w:t>dB</w:t>
            </w:r>
          </w:p>
        </w:tc>
      </w:tr>
      <w:tr w:rsidR="00D52503" w:rsidRPr="00D52503" w:rsidTr="00085ACF">
        <w:trPr>
          <w:trHeight w:val="344"/>
        </w:trPr>
        <w:tc>
          <w:tcPr>
            <w:tcW w:w="1619" w:type="dxa"/>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18"/>
                <w:lang w:eastAsia="tr-TR"/>
              </w:rPr>
            </w:pPr>
            <w:r w:rsidRPr="00085ACF">
              <w:rPr>
                <w:rFonts w:eastAsia="Times New Roman"/>
                <w:b/>
                <w:iCs/>
                <w:color w:val="000000"/>
                <w:sz w:val="18"/>
                <w:lang w:eastAsia="tr-TR"/>
              </w:rPr>
              <w:t>15mM</w:t>
            </w:r>
          </w:p>
        </w:tc>
        <w:tc>
          <w:tcPr>
            <w:tcW w:w="2083"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13,2±0,004</w:t>
            </w:r>
            <w:r w:rsidRPr="00085ACF">
              <w:rPr>
                <w:rFonts w:eastAsia="Times New Roman"/>
                <w:iCs/>
                <w:sz w:val="18"/>
                <w:vertAlign w:val="superscript"/>
                <w:lang w:eastAsia="tr-TR"/>
              </w:rPr>
              <w:t>aC</w:t>
            </w:r>
          </w:p>
        </w:tc>
        <w:tc>
          <w:tcPr>
            <w:tcW w:w="1514"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8,00±0,005</w:t>
            </w:r>
            <w:r w:rsidRPr="00085ACF">
              <w:rPr>
                <w:rFonts w:eastAsia="Times New Roman"/>
                <w:iCs/>
                <w:sz w:val="18"/>
                <w:vertAlign w:val="superscript"/>
                <w:lang w:eastAsia="tr-TR"/>
              </w:rPr>
              <w:t>bC</w:t>
            </w:r>
          </w:p>
        </w:tc>
        <w:tc>
          <w:tcPr>
            <w:tcW w:w="1746"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5,84±0,055</w:t>
            </w:r>
            <w:r w:rsidRPr="00085ACF">
              <w:rPr>
                <w:rFonts w:eastAsia="Times New Roman"/>
                <w:iCs/>
                <w:sz w:val="18"/>
                <w:vertAlign w:val="superscript"/>
                <w:lang w:eastAsia="tr-TR"/>
              </w:rPr>
              <w:t>cC</w:t>
            </w:r>
          </w:p>
        </w:tc>
        <w:tc>
          <w:tcPr>
            <w:tcW w:w="2090"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7,1±0,005</w:t>
            </w:r>
            <w:r w:rsidRPr="00085ACF">
              <w:rPr>
                <w:rFonts w:eastAsia="Times New Roman"/>
                <w:iCs/>
                <w:sz w:val="18"/>
                <w:vertAlign w:val="superscript"/>
                <w:lang w:eastAsia="tr-TR"/>
              </w:rPr>
              <w:t>dC</w:t>
            </w:r>
          </w:p>
        </w:tc>
      </w:tr>
      <w:tr w:rsidR="00D52503" w:rsidRPr="00D52503" w:rsidTr="00324B03">
        <w:trPr>
          <w:trHeight w:val="344"/>
        </w:trPr>
        <w:tc>
          <w:tcPr>
            <w:tcW w:w="1619"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18"/>
                <w:lang w:eastAsia="tr-TR"/>
              </w:rPr>
            </w:pPr>
            <w:r w:rsidRPr="00085ACF">
              <w:rPr>
                <w:rFonts w:eastAsia="Times New Roman"/>
                <w:b/>
                <w:iCs/>
                <w:color w:val="000000"/>
                <w:sz w:val="18"/>
                <w:lang w:eastAsia="tr-TR"/>
              </w:rPr>
              <w:t>55mM</w:t>
            </w:r>
          </w:p>
        </w:tc>
        <w:tc>
          <w:tcPr>
            <w:tcW w:w="2083"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10,40±0,01</w:t>
            </w:r>
            <w:r w:rsidRPr="00085ACF">
              <w:rPr>
                <w:rFonts w:eastAsia="Times New Roman"/>
                <w:iCs/>
                <w:sz w:val="18"/>
                <w:vertAlign w:val="superscript"/>
                <w:lang w:eastAsia="tr-TR"/>
              </w:rPr>
              <w:t>aD</w:t>
            </w:r>
          </w:p>
        </w:tc>
        <w:tc>
          <w:tcPr>
            <w:tcW w:w="1514"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6,12±0,01</w:t>
            </w:r>
            <w:r w:rsidRPr="00085ACF">
              <w:rPr>
                <w:rFonts w:eastAsia="Times New Roman"/>
                <w:iCs/>
                <w:sz w:val="18"/>
                <w:vertAlign w:val="superscript"/>
                <w:lang w:eastAsia="tr-TR"/>
              </w:rPr>
              <w:t>bD</w:t>
            </w:r>
          </w:p>
        </w:tc>
        <w:tc>
          <w:tcPr>
            <w:tcW w:w="1746"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5,84±0,007</w:t>
            </w:r>
            <w:r w:rsidRPr="00085ACF">
              <w:rPr>
                <w:rFonts w:eastAsia="Times New Roman"/>
                <w:iCs/>
                <w:sz w:val="18"/>
                <w:vertAlign w:val="superscript"/>
                <w:lang w:eastAsia="tr-TR"/>
              </w:rPr>
              <w:t>cC</w:t>
            </w:r>
          </w:p>
        </w:tc>
        <w:tc>
          <w:tcPr>
            <w:tcW w:w="2090"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6,57±0,004</w:t>
            </w:r>
            <w:r w:rsidRPr="00085ACF">
              <w:rPr>
                <w:rFonts w:eastAsia="Times New Roman"/>
                <w:iCs/>
                <w:sz w:val="18"/>
                <w:vertAlign w:val="superscript"/>
                <w:lang w:eastAsia="tr-TR"/>
              </w:rPr>
              <w:t>dD</w:t>
            </w:r>
          </w:p>
        </w:tc>
      </w:tr>
      <w:tr w:rsidR="00D52503" w:rsidRPr="00D52503" w:rsidTr="00324B03">
        <w:trPr>
          <w:trHeight w:val="299"/>
        </w:trPr>
        <w:tc>
          <w:tcPr>
            <w:tcW w:w="1619"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20"/>
                <w:lang w:eastAsia="tr-TR"/>
              </w:rPr>
            </w:pPr>
            <w:r w:rsidRPr="00085ACF">
              <w:rPr>
                <w:rFonts w:eastAsia="Times New Roman"/>
                <w:b/>
                <w:iCs/>
                <w:color w:val="000000"/>
                <w:sz w:val="20"/>
                <w:lang w:eastAsia="tr-TR"/>
              </w:rPr>
              <w:t>H</w:t>
            </w:r>
            <w:r w:rsidR="00085ACF" w:rsidRPr="00085ACF">
              <w:rPr>
                <w:rFonts w:eastAsia="Times New Roman"/>
                <w:b/>
                <w:iCs/>
                <w:color w:val="000000"/>
                <w:sz w:val="20"/>
                <w:lang w:eastAsia="tr-TR"/>
              </w:rPr>
              <w:t>ipoksi</w:t>
            </w:r>
          </w:p>
        </w:tc>
        <w:tc>
          <w:tcPr>
            <w:tcW w:w="2083"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bCs/>
                <w:iCs/>
                <w:sz w:val="20"/>
                <w:lang w:eastAsia="tr-TR"/>
              </w:rPr>
            </w:pPr>
            <w:r w:rsidRPr="00085ACF">
              <w:rPr>
                <w:rFonts w:eastAsia="Times New Roman"/>
                <w:b/>
                <w:bCs/>
                <w:iCs/>
                <w:sz w:val="20"/>
                <w:lang w:eastAsia="tr-TR"/>
              </w:rPr>
              <w:t>6.S</w:t>
            </w:r>
            <w:r w:rsidR="00085ACF" w:rsidRPr="00085ACF">
              <w:rPr>
                <w:rFonts w:eastAsia="Times New Roman"/>
                <w:b/>
                <w:bCs/>
                <w:iCs/>
                <w:sz w:val="20"/>
                <w:lang w:eastAsia="tr-TR"/>
              </w:rPr>
              <w:t>aat</w:t>
            </w:r>
          </w:p>
        </w:tc>
        <w:tc>
          <w:tcPr>
            <w:tcW w:w="1514"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bCs/>
                <w:iCs/>
                <w:sz w:val="20"/>
                <w:lang w:eastAsia="tr-TR"/>
              </w:rPr>
            </w:pPr>
            <w:r w:rsidRPr="00085ACF">
              <w:rPr>
                <w:rFonts w:eastAsia="Times New Roman"/>
                <w:b/>
                <w:bCs/>
                <w:iCs/>
                <w:sz w:val="20"/>
                <w:lang w:eastAsia="tr-TR"/>
              </w:rPr>
              <w:t>12.S</w:t>
            </w:r>
            <w:r w:rsidR="00085ACF" w:rsidRPr="00085ACF">
              <w:rPr>
                <w:rFonts w:eastAsia="Times New Roman"/>
                <w:b/>
                <w:bCs/>
                <w:iCs/>
                <w:sz w:val="20"/>
                <w:lang w:eastAsia="tr-TR"/>
              </w:rPr>
              <w:t>aat</w:t>
            </w:r>
          </w:p>
        </w:tc>
        <w:tc>
          <w:tcPr>
            <w:tcW w:w="1746"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bCs/>
                <w:iCs/>
                <w:sz w:val="20"/>
                <w:lang w:eastAsia="tr-TR"/>
              </w:rPr>
            </w:pPr>
            <w:r w:rsidRPr="00085ACF">
              <w:rPr>
                <w:rFonts w:eastAsia="Times New Roman"/>
                <w:b/>
                <w:bCs/>
                <w:iCs/>
                <w:sz w:val="20"/>
                <w:lang w:eastAsia="tr-TR"/>
              </w:rPr>
              <w:t>24.S</w:t>
            </w:r>
            <w:r w:rsidR="00085ACF" w:rsidRPr="00085ACF">
              <w:rPr>
                <w:rFonts w:eastAsia="Times New Roman"/>
                <w:b/>
                <w:bCs/>
                <w:iCs/>
                <w:sz w:val="20"/>
                <w:lang w:eastAsia="tr-TR"/>
              </w:rPr>
              <w:t>aat</w:t>
            </w:r>
          </w:p>
        </w:tc>
        <w:tc>
          <w:tcPr>
            <w:tcW w:w="2090" w:type="dxa"/>
            <w:tcBorders>
              <w:top w:val="single" w:sz="4" w:space="0" w:color="auto"/>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bCs/>
                <w:iCs/>
                <w:sz w:val="20"/>
                <w:lang w:eastAsia="tr-TR"/>
              </w:rPr>
            </w:pPr>
            <w:r w:rsidRPr="00085ACF">
              <w:rPr>
                <w:rFonts w:eastAsia="Times New Roman"/>
                <w:b/>
                <w:bCs/>
                <w:iCs/>
                <w:sz w:val="20"/>
                <w:lang w:eastAsia="tr-TR"/>
              </w:rPr>
              <w:t>48.S</w:t>
            </w:r>
            <w:r w:rsidR="00085ACF" w:rsidRPr="00085ACF">
              <w:rPr>
                <w:rFonts w:eastAsia="Times New Roman"/>
                <w:b/>
                <w:bCs/>
                <w:iCs/>
                <w:sz w:val="20"/>
                <w:lang w:eastAsia="tr-TR"/>
              </w:rPr>
              <w:t>aat</w:t>
            </w:r>
          </w:p>
        </w:tc>
      </w:tr>
      <w:tr w:rsidR="00D52503" w:rsidRPr="00D52503" w:rsidTr="00085ACF">
        <w:trPr>
          <w:trHeight w:val="344"/>
        </w:trPr>
        <w:tc>
          <w:tcPr>
            <w:tcW w:w="1619"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18"/>
                <w:lang w:eastAsia="tr-TR"/>
              </w:rPr>
            </w:pPr>
            <w:r w:rsidRPr="00085ACF">
              <w:rPr>
                <w:rFonts w:eastAsia="Times New Roman"/>
                <w:b/>
                <w:iCs/>
                <w:color w:val="000000"/>
                <w:sz w:val="18"/>
                <w:lang w:eastAsia="tr-TR"/>
              </w:rPr>
              <w:t>0mM</w:t>
            </w:r>
          </w:p>
        </w:tc>
        <w:tc>
          <w:tcPr>
            <w:tcW w:w="2083"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7,09±0,005</w:t>
            </w:r>
            <w:r w:rsidRPr="00085ACF">
              <w:rPr>
                <w:rFonts w:eastAsia="Times New Roman"/>
                <w:iCs/>
                <w:sz w:val="18"/>
                <w:vertAlign w:val="superscript"/>
                <w:lang w:eastAsia="tr-TR"/>
              </w:rPr>
              <w:t>aA</w:t>
            </w:r>
          </w:p>
        </w:tc>
        <w:tc>
          <w:tcPr>
            <w:tcW w:w="1514"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5,12±0,01</w:t>
            </w:r>
            <w:r w:rsidRPr="00085ACF">
              <w:rPr>
                <w:rFonts w:eastAsia="Times New Roman"/>
                <w:iCs/>
                <w:sz w:val="18"/>
                <w:vertAlign w:val="superscript"/>
                <w:lang w:eastAsia="tr-TR"/>
              </w:rPr>
              <w:t>bA</w:t>
            </w:r>
          </w:p>
        </w:tc>
        <w:tc>
          <w:tcPr>
            <w:tcW w:w="1746"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4,76±0,01</w:t>
            </w:r>
            <w:r w:rsidRPr="00085ACF">
              <w:rPr>
                <w:rFonts w:eastAsia="Times New Roman"/>
                <w:iCs/>
                <w:sz w:val="18"/>
                <w:vertAlign w:val="superscript"/>
                <w:lang w:eastAsia="tr-TR"/>
              </w:rPr>
              <w:t>cA</w:t>
            </w:r>
          </w:p>
        </w:tc>
        <w:tc>
          <w:tcPr>
            <w:tcW w:w="2090" w:type="dxa"/>
            <w:tcBorders>
              <w:top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4,59±0,002</w:t>
            </w:r>
            <w:r w:rsidRPr="00085ACF">
              <w:rPr>
                <w:rFonts w:eastAsia="Times New Roman"/>
                <w:iCs/>
                <w:sz w:val="18"/>
                <w:vertAlign w:val="superscript"/>
                <w:lang w:eastAsia="tr-TR"/>
              </w:rPr>
              <w:t>dA</w:t>
            </w:r>
          </w:p>
        </w:tc>
      </w:tr>
      <w:tr w:rsidR="00D52503" w:rsidRPr="00D52503" w:rsidTr="00085ACF">
        <w:trPr>
          <w:trHeight w:val="344"/>
        </w:trPr>
        <w:tc>
          <w:tcPr>
            <w:tcW w:w="1619" w:type="dxa"/>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18"/>
                <w:lang w:eastAsia="tr-TR"/>
              </w:rPr>
            </w:pPr>
            <w:r w:rsidRPr="00085ACF">
              <w:rPr>
                <w:rFonts w:eastAsia="Times New Roman"/>
                <w:b/>
                <w:iCs/>
                <w:color w:val="000000"/>
                <w:sz w:val="18"/>
                <w:lang w:eastAsia="tr-TR"/>
              </w:rPr>
              <w:t>5.5mM</w:t>
            </w:r>
          </w:p>
        </w:tc>
        <w:tc>
          <w:tcPr>
            <w:tcW w:w="2083"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9,06±0,005</w:t>
            </w:r>
            <w:r w:rsidRPr="00085ACF">
              <w:rPr>
                <w:rFonts w:eastAsia="Times New Roman"/>
                <w:iCs/>
                <w:sz w:val="18"/>
                <w:vertAlign w:val="superscript"/>
                <w:lang w:eastAsia="tr-TR"/>
              </w:rPr>
              <w:t>aB</w:t>
            </w:r>
          </w:p>
        </w:tc>
        <w:tc>
          <w:tcPr>
            <w:tcW w:w="1514"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6,67±0,005</w:t>
            </w:r>
            <w:r w:rsidRPr="00085ACF">
              <w:rPr>
                <w:rFonts w:eastAsia="Times New Roman"/>
                <w:iCs/>
                <w:sz w:val="18"/>
                <w:vertAlign w:val="superscript"/>
                <w:lang w:eastAsia="tr-TR"/>
              </w:rPr>
              <w:t>bB</w:t>
            </w:r>
          </w:p>
        </w:tc>
        <w:tc>
          <w:tcPr>
            <w:tcW w:w="1746"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5,42±0,005</w:t>
            </w:r>
            <w:r w:rsidRPr="00085ACF">
              <w:rPr>
                <w:rFonts w:eastAsia="Times New Roman"/>
                <w:iCs/>
                <w:sz w:val="18"/>
                <w:vertAlign w:val="superscript"/>
                <w:lang w:eastAsia="tr-TR"/>
              </w:rPr>
              <w:t>cB</w:t>
            </w:r>
          </w:p>
        </w:tc>
        <w:tc>
          <w:tcPr>
            <w:tcW w:w="2090"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2,58±0,01</w:t>
            </w:r>
            <w:r w:rsidRPr="00085ACF">
              <w:rPr>
                <w:rFonts w:eastAsia="Times New Roman"/>
                <w:iCs/>
                <w:sz w:val="18"/>
                <w:vertAlign w:val="superscript"/>
                <w:lang w:eastAsia="tr-TR"/>
              </w:rPr>
              <w:t>dB</w:t>
            </w:r>
          </w:p>
        </w:tc>
      </w:tr>
      <w:tr w:rsidR="00D52503" w:rsidRPr="00D52503" w:rsidTr="009B055A">
        <w:trPr>
          <w:trHeight w:val="344"/>
        </w:trPr>
        <w:tc>
          <w:tcPr>
            <w:tcW w:w="1619" w:type="dxa"/>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18"/>
                <w:lang w:eastAsia="tr-TR"/>
              </w:rPr>
            </w:pPr>
            <w:r w:rsidRPr="00085ACF">
              <w:rPr>
                <w:rFonts w:eastAsia="Times New Roman"/>
                <w:b/>
                <w:iCs/>
                <w:color w:val="000000"/>
                <w:sz w:val="18"/>
                <w:lang w:eastAsia="tr-TR"/>
              </w:rPr>
              <w:t>15mM</w:t>
            </w:r>
          </w:p>
        </w:tc>
        <w:tc>
          <w:tcPr>
            <w:tcW w:w="2083"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8,93±0,007</w:t>
            </w:r>
            <w:r w:rsidRPr="00085ACF">
              <w:rPr>
                <w:rFonts w:eastAsia="Times New Roman"/>
                <w:iCs/>
                <w:sz w:val="18"/>
                <w:vertAlign w:val="superscript"/>
                <w:lang w:eastAsia="tr-TR"/>
              </w:rPr>
              <w:t>aC</w:t>
            </w:r>
          </w:p>
        </w:tc>
        <w:tc>
          <w:tcPr>
            <w:tcW w:w="1514"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4,96±0,01</w:t>
            </w:r>
            <w:r w:rsidRPr="00085ACF">
              <w:rPr>
                <w:rFonts w:eastAsia="Times New Roman"/>
                <w:iCs/>
                <w:sz w:val="18"/>
                <w:vertAlign w:val="superscript"/>
                <w:lang w:eastAsia="tr-TR"/>
              </w:rPr>
              <w:t>bC</w:t>
            </w:r>
          </w:p>
        </w:tc>
        <w:tc>
          <w:tcPr>
            <w:tcW w:w="1746"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5,52±0,005</w:t>
            </w:r>
            <w:r w:rsidRPr="00085ACF">
              <w:rPr>
                <w:rFonts w:eastAsia="Times New Roman"/>
                <w:iCs/>
                <w:sz w:val="18"/>
                <w:vertAlign w:val="superscript"/>
                <w:lang w:eastAsia="tr-TR"/>
              </w:rPr>
              <w:t>cC</w:t>
            </w:r>
          </w:p>
        </w:tc>
        <w:tc>
          <w:tcPr>
            <w:tcW w:w="2090" w:type="dxa"/>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5,1±0,007</w:t>
            </w:r>
            <w:r w:rsidRPr="00085ACF">
              <w:rPr>
                <w:rFonts w:eastAsia="Times New Roman"/>
                <w:iCs/>
                <w:sz w:val="18"/>
                <w:vertAlign w:val="superscript"/>
                <w:lang w:eastAsia="tr-TR"/>
              </w:rPr>
              <w:t>dC</w:t>
            </w:r>
          </w:p>
        </w:tc>
      </w:tr>
      <w:tr w:rsidR="00D52503" w:rsidRPr="00D52503" w:rsidTr="009B055A">
        <w:trPr>
          <w:trHeight w:val="344"/>
        </w:trPr>
        <w:tc>
          <w:tcPr>
            <w:tcW w:w="1619"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b/>
                <w:iCs/>
                <w:color w:val="000000"/>
                <w:sz w:val="18"/>
                <w:lang w:eastAsia="tr-TR"/>
              </w:rPr>
            </w:pPr>
            <w:r w:rsidRPr="00085ACF">
              <w:rPr>
                <w:rFonts w:eastAsia="Times New Roman"/>
                <w:b/>
                <w:iCs/>
                <w:color w:val="000000"/>
                <w:sz w:val="18"/>
                <w:lang w:eastAsia="tr-TR"/>
              </w:rPr>
              <w:t>55mM</w:t>
            </w:r>
          </w:p>
        </w:tc>
        <w:tc>
          <w:tcPr>
            <w:tcW w:w="2083"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8,65±0,01</w:t>
            </w:r>
            <w:r w:rsidRPr="00085ACF">
              <w:rPr>
                <w:rFonts w:eastAsia="Times New Roman"/>
                <w:iCs/>
                <w:sz w:val="18"/>
                <w:vertAlign w:val="superscript"/>
                <w:lang w:eastAsia="tr-TR"/>
              </w:rPr>
              <w:t>aD</w:t>
            </w:r>
          </w:p>
        </w:tc>
        <w:tc>
          <w:tcPr>
            <w:tcW w:w="1514"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3,52±0,005</w:t>
            </w:r>
            <w:r w:rsidRPr="00085ACF">
              <w:rPr>
                <w:rFonts w:eastAsia="Times New Roman"/>
                <w:iCs/>
                <w:sz w:val="18"/>
                <w:vertAlign w:val="superscript"/>
                <w:lang w:eastAsia="tr-TR"/>
              </w:rPr>
              <w:t>bD</w:t>
            </w:r>
          </w:p>
        </w:tc>
        <w:tc>
          <w:tcPr>
            <w:tcW w:w="1746"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5,77±0,005</w:t>
            </w:r>
            <w:r w:rsidRPr="00085ACF">
              <w:rPr>
                <w:rFonts w:eastAsia="Times New Roman"/>
                <w:iCs/>
                <w:sz w:val="18"/>
                <w:vertAlign w:val="superscript"/>
                <w:lang w:eastAsia="tr-TR"/>
              </w:rPr>
              <w:t>cC</w:t>
            </w:r>
          </w:p>
        </w:tc>
        <w:tc>
          <w:tcPr>
            <w:tcW w:w="2090" w:type="dxa"/>
            <w:tcBorders>
              <w:bottom w:val="single" w:sz="4" w:space="0" w:color="auto"/>
            </w:tcBorders>
            <w:shd w:val="clear" w:color="auto" w:fill="FFFFFF" w:themeFill="background1"/>
            <w:noWrap/>
            <w:hideMark/>
          </w:tcPr>
          <w:p w:rsidR="00D52503" w:rsidRPr="00085ACF" w:rsidRDefault="00D52503" w:rsidP="00085ACF">
            <w:pPr>
              <w:spacing w:line="240" w:lineRule="auto"/>
              <w:ind w:firstLine="0"/>
              <w:jc w:val="center"/>
              <w:rPr>
                <w:rFonts w:eastAsia="Times New Roman"/>
                <w:iCs/>
                <w:sz w:val="18"/>
                <w:lang w:eastAsia="tr-TR"/>
              </w:rPr>
            </w:pPr>
            <w:r w:rsidRPr="00085ACF">
              <w:rPr>
                <w:rFonts w:eastAsia="Times New Roman"/>
                <w:iCs/>
                <w:sz w:val="18"/>
                <w:lang w:eastAsia="tr-TR"/>
              </w:rPr>
              <w:t>5,5±0,01</w:t>
            </w:r>
            <w:r w:rsidRPr="00085ACF">
              <w:rPr>
                <w:rFonts w:eastAsia="Times New Roman"/>
                <w:iCs/>
                <w:sz w:val="18"/>
                <w:vertAlign w:val="superscript"/>
                <w:lang w:eastAsia="tr-TR"/>
              </w:rPr>
              <w:t>dD</w:t>
            </w:r>
          </w:p>
        </w:tc>
      </w:tr>
    </w:tbl>
    <w:p w:rsidR="00F16C5A" w:rsidRDefault="00F16C5A" w:rsidP="00D52503">
      <w:pPr>
        <w:ind w:firstLine="0"/>
        <w:jc w:val="left"/>
        <w:rPr>
          <w:rFonts w:cs="Times New Roman"/>
          <w:color w:val="000000"/>
          <w:sz w:val="18"/>
          <w:szCs w:val="18"/>
        </w:rPr>
      </w:pPr>
    </w:p>
    <w:p w:rsidR="002B3673" w:rsidRPr="00086B69" w:rsidRDefault="002B3673" w:rsidP="00D52503">
      <w:pPr>
        <w:ind w:firstLine="0"/>
        <w:jc w:val="left"/>
        <w:rPr>
          <w:rFonts w:cs="Times New Roman"/>
          <w:color w:val="000000"/>
          <w:sz w:val="18"/>
          <w:szCs w:val="18"/>
        </w:rPr>
      </w:pPr>
      <w:r w:rsidRPr="00086B69">
        <w:rPr>
          <w:rFonts w:cs="Times New Roman"/>
          <w:color w:val="000000"/>
          <w:sz w:val="18"/>
          <w:szCs w:val="18"/>
        </w:rPr>
        <w:t>abcd aynı satırda farklı harfler p&lt;0,001 düzeyinde önemi ifade etmektedir.</w:t>
      </w:r>
    </w:p>
    <w:p w:rsidR="002B3673" w:rsidRPr="00086B69" w:rsidRDefault="002B3673" w:rsidP="00D52503">
      <w:pPr>
        <w:ind w:firstLine="0"/>
        <w:jc w:val="left"/>
        <w:rPr>
          <w:rFonts w:cs="Times New Roman"/>
          <w:color w:val="000000"/>
          <w:sz w:val="18"/>
          <w:szCs w:val="18"/>
        </w:rPr>
      </w:pPr>
      <w:r w:rsidRPr="00086B69">
        <w:rPr>
          <w:rFonts w:cs="Times New Roman"/>
          <w:color w:val="000000"/>
          <w:sz w:val="18"/>
          <w:szCs w:val="18"/>
        </w:rPr>
        <w:t>ABCD aynı sütunda farklı harfler p&lt;0,001 düzeyinde önemi ifade etmektedir.</w:t>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Pr>
          <w:rFonts w:cs="Times New Roman"/>
        </w:rPr>
        <w:t>G</w:t>
      </w:r>
      <w:r w:rsidRPr="0058029E">
        <w:rPr>
          <w:rFonts w:cs="Times New Roman"/>
        </w:rPr>
        <w:t>ruplar arasında zamana bağlı farklılıklar</w:t>
      </w:r>
      <w:r>
        <w:rPr>
          <w:rFonts w:cs="Times New Roman"/>
        </w:rPr>
        <w:t>a</w:t>
      </w:r>
      <w:r w:rsidRPr="0058029E">
        <w:rPr>
          <w:rFonts w:cs="Times New Roman"/>
        </w:rPr>
        <w:t xml:space="preserve"> </w:t>
      </w:r>
      <w:r>
        <w:rPr>
          <w:rFonts w:cs="Times New Roman"/>
        </w:rPr>
        <w:t>bakıldığında</w:t>
      </w:r>
      <w:r w:rsidRPr="0058029E">
        <w:rPr>
          <w:rFonts w:cs="Times New Roman"/>
        </w:rPr>
        <w:t xml:space="preserve">, normoksik koşullarda enzim </w:t>
      </w:r>
      <w:r>
        <w:rPr>
          <w:rFonts w:cs="Times New Roman"/>
        </w:rPr>
        <w:t>miktarlarının</w:t>
      </w:r>
      <w:r w:rsidRPr="0058029E">
        <w:rPr>
          <w:rFonts w:cs="Times New Roman"/>
        </w:rPr>
        <w:t xml:space="preserve"> </w:t>
      </w:r>
      <w:r>
        <w:rPr>
          <w:rFonts w:cs="Times New Roman"/>
        </w:rPr>
        <w:t>12</w:t>
      </w:r>
      <w:r w:rsidRPr="0058029E">
        <w:rPr>
          <w:rFonts w:cs="Times New Roman"/>
        </w:rPr>
        <w:t xml:space="preserve">.saate kadar </w:t>
      </w:r>
      <w:r>
        <w:rPr>
          <w:rFonts w:cs="Times New Roman"/>
        </w:rPr>
        <w:t>azalış gösterdiği</w:t>
      </w:r>
      <w:r w:rsidRPr="0058029E">
        <w:rPr>
          <w:rFonts w:cs="Times New Roman"/>
        </w:rPr>
        <w:t xml:space="preserve">, </w:t>
      </w:r>
      <w:r>
        <w:rPr>
          <w:rFonts w:cs="Times New Roman"/>
        </w:rPr>
        <w:t xml:space="preserve">0 mM ve </w:t>
      </w:r>
      <w:proofErr w:type="gramStart"/>
      <w:r>
        <w:rPr>
          <w:rFonts w:cs="Times New Roman"/>
        </w:rPr>
        <w:t>5.5</w:t>
      </w:r>
      <w:proofErr w:type="gramEnd"/>
      <w:r>
        <w:rPr>
          <w:rFonts w:cs="Times New Roman"/>
        </w:rPr>
        <w:t xml:space="preserve"> mM glukoz uygulama gruplarında 12.saatten sonra, 15 mM ve 55 mM glukoz uygulama gruplarında ise 24.saatten sonra artış başladığı, tüm glukoz uygulama gruplarında inkübasyon süresine bağlı istatiksel olarak anlamlı değişimler olduğu görüldü  (</w:t>
      </w:r>
      <w:r w:rsidR="00897312">
        <w:rPr>
          <w:rFonts w:cs="Times New Roman"/>
          <w:color w:val="000000"/>
          <w:szCs w:val="24"/>
        </w:rPr>
        <w:t>p&lt;0,001)</w:t>
      </w:r>
      <w:r w:rsidR="00D450D5">
        <w:rPr>
          <w:rFonts w:cs="Times New Roman"/>
          <w:color w:val="000000"/>
          <w:szCs w:val="24"/>
        </w:rPr>
        <w:t xml:space="preserve"> (Tablo 10</w:t>
      </w:r>
      <w:r w:rsidR="00897312">
        <w:rPr>
          <w:rFonts w:cs="Times New Roman"/>
          <w:color w:val="000000"/>
          <w:szCs w:val="24"/>
        </w:rPr>
        <w:t xml:space="preserve">) (Şekil 42). </w:t>
      </w:r>
    </w:p>
    <w:p w:rsidR="002B3673" w:rsidRDefault="002B3673" w:rsidP="002B3673">
      <w:pPr>
        <w:rPr>
          <w:rFonts w:cs="Times New Roman"/>
          <w:color w:val="000000"/>
          <w:szCs w:val="24"/>
        </w:rPr>
      </w:pPr>
      <w:r w:rsidRPr="007A532F">
        <w:rPr>
          <w:rFonts w:cs="Times New Roman"/>
          <w:color w:val="000000"/>
          <w:szCs w:val="24"/>
        </w:rPr>
        <w:t xml:space="preserve">Hipoksik koşullarda ise </w:t>
      </w:r>
      <w:r>
        <w:rPr>
          <w:rFonts w:cs="Times New Roman"/>
          <w:color w:val="000000"/>
          <w:szCs w:val="24"/>
        </w:rPr>
        <w:t>tüm</w:t>
      </w:r>
      <w:r w:rsidRPr="007A532F">
        <w:rPr>
          <w:rFonts w:cs="Times New Roman"/>
          <w:color w:val="000000"/>
          <w:szCs w:val="24"/>
        </w:rPr>
        <w:t xml:space="preserve"> glukoz uygulama gru</w:t>
      </w:r>
      <w:r>
        <w:rPr>
          <w:rFonts w:cs="Times New Roman"/>
          <w:color w:val="000000"/>
          <w:szCs w:val="24"/>
        </w:rPr>
        <w:t>plarında</w:t>
      </w:r>
      <w:r w:rsidRPr="007A532F">
        <w:rPr>
          <w:rFonts w:cs="Times New Roman"/>
          <w:color w:val="000000"/>
          <w:szCs w:val="24"/>
        </w:rPr>
        <w:t xml:space="preserve"> </w:t>
      </w:r>
      <w:r>
        <w:rPr>
          <w:rFonts w:cs="Times New Roman"/>
          <w:color w:val="000000"/>
          <w:szCs w:val="24"/>
        </w:rPr>
        <w:t>G6PD</w:t>
      </w:r>
      <w:r w:rsidRPr="007A532F">
        <w:rPr>
          <w:rFonts w:cs="Times New Roman"/>
          <w:color w:val="000000"/>
          <w:szCs w:val="24"/>
        </w:rPr>
        <w:t xml:space="preserve"> </w:t>
      </w:r>
      <w:r>
        <w:rPr>
          <w:rFonts w:cs="Times New Roman"/>
          <w:color w:val="000000"/>
          <w:szCs w:val="24"/>
        </w:rPr>
        <w:t>enzim</w:t>
      </w:r>
      <w:r w:rsidRPr="007A532F">
        <w:rPr>
          <w:rFonts w:cs="Times New Roman"/>
          <w:color w:val="000000"/>
          <w:szCs w:val="24"/>
        </w:rPr>
        <w:t xml:space="preserve"> </w:t>
      </w:r>
      <w:r>
        <w:rPr>
          <w:rFonts w:cs="Times New Roman"/>
          <w:color w:val="000000"/>
          <w:szCs w:val="24"/>
        </w:rPr>
        <w:t>miktarlarının 12</w:t>
      </w:r>
      <w:r w:rsidRPr="007A532F">
        <w:rPr>
          <w:rFonts w:cs="Times New Roman"/>
          <w:color w:val="000000"/>
          <w:szCs w:val="24"/>
        </w:rPr>
        <w:t>.saat</w:t>
      </w:r>
      <w:r>
        <w:rPr>
          <w:rFonts w:cs="Times New Roman"/>
          <w:color w:val="000000"/>
          <w:szCs w:val="24"/>
        </w:rPr>
        <w:t>e</w:t>
      </w:r>
      <w:r w:rsidRPr="007A532F">
        <w:rPr>
          <w:rFonts w:cs="Times New Roman"/>
          <w:color w:val="000000"/>
          <w:szCs w:val="24"/>
        </w:rPr>
        <w:t xml:space="preserve"> </w:t>
      </w:r>
      <w:r>
        <w:rPr>
          <w:rFonts w:cs="Times New Roman"/>
          <w:color w:val="000000"/>
          <w:szCs w:val="24"/>
        </w:rPr>
        <w:t xml:space="preserve">kadar azaldığı, </w:t>
      </w:r>
      <w:r w:rsidRPr="007A532F">
        <w:rPr>
          <w:rFonts w:cs="Times New Roman"/>
          <w:color w:val="000000"/>
          <w:szCs w:val="24"/>
        </w:rPr>
        <w:t xml:space="preserve">15 </w:t>
      </w:r>
      <w:r>
        <w:rPr>
          <w:rFonts w:cs="Times New Roman"/>
          <w:color w:val="000000"/>
          <w:szCs w:val="24"/>
        </w:rPr>
        <w:t xml:space="preserve">ve 55 mM glukoz uygulama gruplarında 12.saatten itibaren enzim miktarında artış, </w:t>
      </w:r>
      <w:proofErr w:type="gramStart"/>
      <w:r>
        <w:rPr>
          <w:rFonts w:cs="Times New Roman"/>
          <w:color w:val="000000"/>
          <w:szCs w:val="24"/>
        </w:rPr>
        <w:t>5.5</w:t>
      </w:r>
      <w:proofErr w:type="gramEnd"/>
      <w:r>
        <w:rPr>
          <w:rFonts w:cs="Times New Roman"/>
          <w:color w:val="000000"/>
          <w:szCs w:val="24"/>
        </w:rPr>
        <w:t xml:space="preserve"> mM glukoz uygulama grubunda ise azalış</w:t>
      </w:r>
      <w:r w:rsidRPr="007A532F">
        <w:rPr>
          <w:rFonts w:cs="Times New Roman"/>
          <w:color w:val="000000"/>
          <w:szCs w:val="24"/>
        </w:rPr>
        <w:t xml:space="preserve"> </w:t>
      </w:r>
      <w:r>
        <w:rPr>
          <w:rFonts w:cs="Times New Roman"/>
          <w:color w:val="000000"/>
          <w:szCs w:val="24"/>
        </w:rPr>
        <w:t>olduğu belirlendi (p&lt;0,001).</w:t>
      </w:r>
      <w:r w:rsidRPr="007A532F">
        <w:rPr>
          <w:rFonts w:cs="Times New Roman"/>
          <w:color w:val="000000"/>
          <w:szCs w:val="24"/>
        </w:rPr>
        <w:t xml:space="preserve"> </w:t>
      </w:r>
      <w:r>
        <w:rPr>
          <w:rFonts w:cs="Times New Roman"/>
          <w:color w:val="000000"/>
          <w:szCs w:val="24"/>
        </w:rPr>
        <w:t xml:space="preserve">24.saatten 48.saate kadar 0, 15 ve 55 mM glukoz uygulama gruplarında enzim miktarında çok büyük bir değişim olmadığı görülürken, </w:t>
      </w:r>
      <w:proofErr w:type="gramStart"/>
      <w:r>
        <w:rPr>
          <w:rFonts w:cs="Times New Roman"/>
          <w:color w:val="000000"/>
          <w:szCs w:val="24"/>
        </w:rPr>
        <w:t>5.5</w:t>
      </w:r>
      <w:proofErr w:type="gramEnd"/>
      <w:r>
        <w:rPr>
          <w:rFonts w:cs="Times New Roman"/>
          <w:color w:val="000000"/>
          <w:szCs w:val="24"/>
        </w:rPr>
        <w:t xml:space="preserve"> mM uygulama grubunda ise yaklaşık 2 kat azalma kaydedildi (p&lt;0,001). </w:t>
      </w:r>
      <w:r w:rsidR="00D450D5">
        <w:rPr>
          <w:rFonts w:cs="Times New Roman"/>
          <w:color w:val="000000"/>
          <w:szCs w:val="24"/>
        </w:rPr>
        <w:t>(Tablo 10</w:t>
      </w:r>
      <w:r w:rsidR="00897312">
        <w:rPr>
          <w:rFonts w:cs="Times New Roman"/>
          <w:color w:val="000000"/>
          <w:szCs w:val="24"/>
        </w:rPr>
        <w:t xml:space="preserve">) (Şekil 43). </w:t>
      </w:r>
    </w:p>
    <w:p w:rsidR="002B3673" w:rsidRDefault="002B3673" w:rsidP="002B3673">
      <w:pPr>
        <w:jc w:val="center"/>
      </w:pPr>
      <w:r>
        <w:rPr>
          <w:noProof/>
          <w:lang w:eastAsia="tr-TR"/>
        </w:rPr>
        <w:lastRenderedPageBreak/>
        <w:drawing>
          <wp:inline distT="0" distB="0" distL="0" distR="0">
            <wp:extent cx="4657725" cy="2743200"/>
            <wp:effectExtent l="19050" t="0" r="9525" b="0"/>
            <wp:docPr id="72"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B3673" w:rsidRDefault="002B3673" w:rsidP="002B3673">
      <w:pPr>
        <w:rPr>
          <w:rFonts w:cs="Times New Roman"/>
          <w:b/>
          <w:color w:val="000000"/>
          <w:szCs w:val="24"/>
        </w:rPr>
      </w:pPr>
    </w:p>
    <w:p w:rsidR="002B3673" w:rsidRDefault="00D450D5" w:rsidP="002B3673">
      <w:pPr>
        <w:rPr>
          <w:rFonts w:cs="Times New Roman"/>
          <w:color w:val="000000"/>
          <w:szCs w:val="24"/>
        </w:rPr>
      </w:pPr>
      <w:r>
        <w:rPr>
          <w:rFonts w:cs="Times New Roman"/>
          <w:b/>
          <w:color w:val="000000"/>
          <w:szCs w:val="24"/>
        </w:rPr>
        <w:t>Şekil 42</w:t>
      </w:r>
      <w:r w:rsidR="002B3673" w:rsidRPr="00B91A42">
        <w:rPr>
          <w:rFonts w:cs="Times New Roman"/>
          <w:b/>
          <w:color w:val="000000"/>
          <w:szCs w:val="24"/>
        </w:rPr>
        <w:t>.</w:t>
      </w:r>
      <w:r w:rsidR="002B3673" w:rsidRPr="008F16E1">
        <w:rPr>
          <w:rFonts w:cs="Times New Roman"/>
          <w:color w:val="000000"/>
          <w:szCs w:val="24"/>
        </w:rPr>
        <w:t xml:space="preserve">  MCF-7 kanser hücrelerinin </w:t>
      </w:r>
      <w:r w:rsidR="002B3673">
        <w:rPr>
          <w:rFonts w:cs="Times New Roman"/>
          <w:color w:val="000000"/>
          <w:szCs w:val="24"/>
        </w:rPr>
        <w:t>normoksi</w:t>
      </w:r>
      <w:r w:rsidR="002B3673" w:rsidRPr="008F16E1">
        <w:rPr>
          <w:rFonts w:cs="Times New Roman"/>
          <w:color w:val="000000"/>
          <w:szCs w:val="24"/>
        </w:rPr>
        <w:t xml:space="preserve"> altında glukozun farklı </w:t>
      </w:r>
      <w:proofErr w:type="gramStart"/>
      <w:r w:rsidR="002B3673" w:rsidRPr="008F16E1">
        <w:rPr>
          <w:rFonts w:cs="Times New Roman"/>
          <w:color w:val="000000"/>
          <w:szCs w:val="24"/>
        </w:rPr>
        <w:t>konsantrasyonlu</w:t>
      </w:r>
      <w:proofErr w:type="gramEnd"/>
      <w:r w:rsidR="002B3673" w:rsidRPr="008F16E1">
        <w:rPr>
          <w:rFonts w:cs="Times New Roman"/>
          <w:color w:val="000000"/>
          <w:szCs w:val="24"/>
        </w:rPr>
        <w:t xml:space="preserve"> uygulama gruplarında 6, 12</w:t>
      </w:r>
      <w:r w:rsidR="002B3673">
        <w:rPr>
          <w:rFonts w:cs="Times New Roman"/>
          <w:color w:val="000000"/>
          <w:szCs w:val="24"/>
        </w:rPr>
        <w:t>,</w:t>
      </w:r>
      <w:r w:rsidR="002B3673" w:rsidRPr="008F16E1">
        <w:rPr>
          <w:rFonts w:cs="Times New Roman"/>
          <w:color w:val="000000"/>
          <w:szCs w:val="24"/>
        </w:rPr>
        <w:t xml:space="preserve"> 24</w:t>
      </w:r>
      <w:r w:rsidR="002B3673">
        <w:rPr>
          <w:rFonts w:cs="Times New Roman"/>
          <w:color w:val="000000"/>
          <w:szCs w:val="24"/>
        </w:rPr>
        <w:t xml:space="preserve"> ve 48</w:t>
      </w:r>
      <w:r w:rsidR="002B3673" w:rsidRPr="008F16E1">
        <w:rPr>
          <w:rFonts w:cs="Times New Roman"/>
          <w:color w:val="000000"/>
          <w:szCs w:val="24"/>
        </w:rPr>
        <w:t xml:space="preserve"> saat inkübasyonu sonucu elde edilen </w:t>
      </w:r>
      <w:r w:rsidR="002B3673">
        <w:rPr>
          <w:rFonts w:cs="Times New Roman"/>
          <w:color w:val="000000"/>
          <w:szCs w:val="24"/>
        </w:rPr>
        <w:t>G6PD enzim</w:t>
      </w:r>
      <w:r w:rsidR="002B3673" w:rsidRPr="008F16E1">
        <w:rPr>
          <w:rFonts w:cs="Times New Roman"/>
          <w:color w:val="000000"/>
          <w:szCs w:val="24"/>
        </w:rPr>
        <w:t xml:space="preserve"> </w:t>
      </w:r>
      <w:r w:rsidR="002B3673">
        <w:rPr>
          <w:rFonts w:cs="Times New Roman"/>
          <w:color w:val="000000"/>
          <w:szCs w:val="24"/>
        </w:rPr>
        <w:t>miktarı</w:t>
      </w:r>
      <w:r w:rsidR="002B3673" w:rsidRPr="008F16E1">
        <w:rPr>
          <w:rFonts w:cs="Times New Roman"/>
          <w:color w:val="000000"/>
          <w:szCs w:val="24"/>
        </w:rPr>
        <w:t xml:space="preserve"> düzeyleri. </w:t>
      </w:r>
    </w:p>
    <w:p w:rsidR="002B3673" w:rsidRDefault="002B3673" w:rsidP="002B3673"/>
    <w:p w:rsidR="002B3673" w:rsidRDefault="002B3673" w:rsidP="002B3673">
      <w:pPr>
        <w:jc w:val="center"/>
      </w:pPr>
      <w:r>
        <w:rPr>
          <w:noProof/>
          <w:lang w:eastAsia="tr-TR"/>
        </w:rPr>
        <w:drawing>
          <wp:inline distT="0" distB="0" distL="0" distR="0">
            <wp:extent cx="4572000" cy="2743200"/>
            <wp:effectExtent l="19050" t="0" r="19050" b="0"/>
            <wp:docPr id="73"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B3673" w:rsidRDefault="002B3673" w:rsidP="002B3673">
      <w:pPr>
        <w:jc w:val="center"/>
      </w:pPr>
    </w:p>
    <w:p w:rsidR="002B3673" w:rsidRDefault="00D450D5" w:rsidP="002B3673">
      <w:pPr>
        <w:rPr>
          <w:rFonts w:cs="Times New Roman"/>
          <w:color w:val="000000"/>
          <w:szCs w:val="24"/>
        </w:rPr>
      </w:pPr>
      <w:r>
        <w:rPr>
          <w:rFonts w:cs="Times New Roman"/>
          <w:b/>
          <w:color w:val="000000"/>
          <w:szCs w:val="24"/>
        </w:rPr>
        <w:t>Şekil 43</w:t>
      </w:r>
      <w:r w:rsidR="002B3673" w:rsidRPr="00B91A42">
        <w:rPr>
          <w:rFonts w:cs="Times New Roman"/>
          <w:b/>
          <w:color w:val="000000"/>
          <w:szCs w:val="24"/>
        </w:rPr>
        <w:t>.</w:t>
      </w:r>
      <w:r w:rsidR="002B3673" w:rsidRPr="008F16E1">
        <w:rPr>
          <w:rFonts w:cs="Times New Roman"/>
          <w:color w:val="000000"/>
          <w:szCs w:val="24"/>
        </w:rPr>
        <w:t xml:space="preserve">  MCF-7 kanser hücrelerinin </w:t>
      </w:r>
      <w:r w:rsidR="002B3673">
        <w:rPr>
          <w:rFonts w:cs="Times New Roman"/>
          <w:color w:val="000000"/>
          <w:szCs w:val="24"/>
        </w:rPr>
        <w:t>hipoksi</w:t>
      </w:r>
      <w:r w:rsidR="002B3673" w:rsidRPr="008F16E1">
        <w:rPr>
          <w:rFonts w:cs="Times New Roman"/>
          <w:color w:val="000000"/>
          <w:szCs w:val="24"/>
        </w:rPr>
        <w:t xml:space="preserve"> altında glukozun farklı </w:t>
      </w:r>
      <w:proofErr w:type="gramStart"/>
      <w:r w:rsidR="002B3673" w:rsidRPr="008F16E1">
        <w:rPr>
          <w:rFonts w:cs="Times New Roman"/>
          <w:color w:val="000000"/>
          <w:szCs w:val="24"/>
        </w:rPr>
        <w:t>konsantrasyonlu</w:t>
      </w:r>
      <w:proofErr w:type="gramEnd"/>
      <w:r w:rsidR="002B3673" w:rsidRPr="008F16E1">
        <w:rPr>
          <w:rFonts w:cs="Times New Roman"/>
          <w:color w:val="000000"/>
          <w:szCs w:val="24"/>
        </w:rPr>
        <w:t xml:space="preserve"> uygulama gruplarında 6, 12</w:t>
      </w:r>
      <w:r w:rsidR="002B3673">
        <w:rPr>
          <w:rFonts w:cs="Times New Roman"/>
          <w:color w:val="000000"/>
          <w:szCs w:val="24"/>
        </w:rPr>
        <w:t>,</w:t>
      </w:r>
      <w:r w:rsidR="002B3673" w:rsidRPr="008F16E1">
        <w:rPr>
          <w:rFonts w:cs="Times New Roman"/>
          <w:color w:val="000000"/>
          <w:szCs w:val="24"/>
        </w:rPr>
        <w:t xml:space="preserve"> 24</w:t>
      </w:r>
      <w:r w:rsidR="002B3673">
        <w:rPr>
          <w:rFonts w:cs="Times New Roman"/>
          <w:color w:val="000000"/>
          <w:szCs w:val="24"/>
        </w:rPr>
        <w:t xml:space="preserve"> ve 48</w:t>
      </w:r>
      <w:r w:rsidR="002B3673" w:rsidRPr="008F16E1">
        <w:rPr>
          <w:rFonts w:cs="Times New Roman"/>
          <w:color w:val="000000"/>
          <w:szCs w:val="24"/>
        </w:rPr>
        <w:t xml:space="preserve"> saat inkübasyonu sonucu elde edilen </w:t>
      </w:r>
      <w:r w:rsidR="002B3673">
        <w:rPr>
          <w:rFonts w:cs="Times New Roman"/>
          <w:color w:val="000000"/>
          <w:szCs w:val="24"/>
        </w:rPr>
        <w:t>G6PD enzim</w:t>
      </w:r>
      <w:r w:rsidR="002B3673" w:rsidRPr="008F16E1">
        <w:rPr>
          <w:rFonts w:cs="Times New Roman"/>
          <w:color w:val="000000"/>
          <w:szCs w:val="24"/>
        </w:rPr>
        <w:t xml:space="preserve"> </w:t>
      </w:r>
      <w:r w:rsidR="002B3673">
        <w:rPr>
          <w:rFonts w:cs="Times New Roman"/>
          <w:color w:val="000000"/>
          <w:szCs w:val="24"/>
        </w:rPr>
        <w:t>miktarı</w:t>
      </w:r>
      <w:r w:rsidR="002B3673" w:rsidRPr="008F16E1">
        <w:rPr>
          <w:rFonts w:cs="Times New Roman"/>
          <w:color w:val="000000"/>
          <w:szCs w:val="24"/>
        </w:rPr>
        <w:t xml:space="preserve"> düzeyleri. </w:t>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Pr>
          <w:rFonts w:cs="Times New Roman"/>
          <w:color w:val="000000"/>
          <w:szCs w:val="24"/>
        </w:rPr>
        <w:t xml:space="preserve">Konsantrasyonlar arası farklılıklara bakıldığında normoksik ortamda 6. ve 12.saatte </w:t>
      </w:r>
      <w:proofErr w:type="gramStart"/>
      <w:r>
        <w:rPr>
          <w:rFonts w:cs="Times New Roman"/>
          <w:color w:val="000000"/>
          <w:szCs w:val="24"/>
        </w:rPr>
        <w:t>5.5</w:t>
      </w:r>
      <w:proofErr w:type="gramEnd"/>
      <w:r>
        <w:rPr>
          <w:rFonts w:cs="Times New Roman"/>
          <w:color w:val="000000"/>
          <w:szCs w:val="24"/>
        </w:rPr>
        <w:t xml:space="preserve"> ve 15 mM’da 0 mM’a göre enzim miktarlarında artış olduğu, 55 mM’da tekrar azaldığı; 24. </w:t>
      </w:r>
      <w:r>
        <w:rPr>
          <w:rFonts w:cs="Times New Roman"/>
          <w:color w:val="000000"/>
          <w:szCs w:val="24"/>
        </w:rPr>
        <w:lastRenderedPageBreak/>
        <w:t>saatte glukozsuz ve 5.5 mM glukoz içeren ortamlarda enzim miktarlarının aynı düzeyde seyrettiği, yüksek dozlarda ise bu miktarların azaldığı; 48.saatte 5.5 mM’da kontrole göre G6PD düzeylerinde artış olup 15 ve 55 mM’da düşmeye başladığı görül</w:t>
      </w:r>
      <w:r w:rsidR="000427C0">
        <w:rPr>
          <w:rFonts w:cs="Times New Roman"/>
          <w:color w:val="000000"/>
          <w:szCs w:val="24"/>
        </w:rPr>
        <w:t>dü</w:t>
      </w:r>
      <w:r>
        <w:rPr>
          <w:rFonts w:cs="Times New Roman"/>
          <w:color w:val="000000"/>
          <w:szCs w:val="24"/>
        </w:rPr>
        <w:t>. 24. saatte yüksek dozlar arasındaki değişim dışında, tüm farklar istatiksel olarak öne</w:t>
      </w:r>
      <w:r w:rsidR="00897312">
        <w:rPr>
          <w:rFonts w:cs="Times New Roman"/>
          <w:color w:val="000000"/>
          <w:szCs w:val="24"/>
        </w:rPr>
        <w:t xml:space="preserve">mlidir (p&lt;0,001) (Şekil 44). </w:t>
      </w:r>
    </w:p>
    <w:p w:rsidR="002B3673" w:rsidRDefault="002B3673" w:rsidP="002B3673">
      <w:pPr>
        <w:rPr>
          <w:rFonts w:cs="Times New Roman"/>
          <w:color w:val="000000"/>
          <w:szCs w:val="24"/>
        </w:rPr>
      </w:pPr>
      <w:r>
        <w:rPr>
          <w:rFonts w:cs="Times New Roman"/>
          <w:color w:val="000000"/>
          <w:szCs w:val="24"/>
        </w:rPr>
        <w:t>Hipoksik ortamda konsantrasyona bağlı incelediğimiz enzim miktarlarının 6</w:t>
      </w:r>
      <w:proofErr w:type="gramStart"/>
      <w:r>
        <w:rPr>
          <w:rFonts w:cs="Times New Roman"/>
          <w:color w:val="000000"/>
          <w:szCs w:val="24"/>
        </w:rPr>
        <w:t>.,</w:t>
      </w:r>
      <w:proofErr w:type="gramEnd"/>
      <w:r>
        <w:rPr>
          <w:rFonts w:cs="Times New Roman"/>
          <w:color w:val="000000"/>
          <w:szCs w:val="24"/>
        </w:rPr>
        <w:t>12. ve 24. saatte kontrole göre 5.5 mM’da artış, 48. saatte ise 2 kat azalma olduğu, 6. ve 12. saatte yüksek dozda glukoz içeren ortamlarda enzim miktarlarında azalma, 48. saatte ise artış gerçekleştiği görül</w:t>
      </w:r>
      <w:r w:rsidR="000427C0">
        <w:rPr>
          <w:rFonts w:cs="Times New Roman"/>
          <w:color w:val="000000"/>
          <w:szCs w:val="24"/>
        </w:rPr>
        <w:t>dü.</w:t>
      </w:r>
      <w:r>
        <w:rPr>
          <w:rFonts w:cs="Times New Roman"/>
          <w:color w:val="000000"/>
          <w:szCs w:val="24"/>
        </w:rPr>
        <w:t xml:space="preserve"> 6</w:t>
      </w:r>
      <w:proofErr w:type="gramStart"/>
      <w:r>
        <w:rPr>
          <w:rFonts w:cs="Times New Roman"/>
          <w:color w:val="000000"/>
          <w:szCs w:val="24"/>
        </w:rPr>
        <w:t>.,</w:t>
      </w:r>
      <w:proofErr w:type="gramEnd"/>
      <w:r>
        <w:rPr>
          <w:rFonts w:cs="Times New Roman"/>
          <w:color w:val="000000"/>
          <w:szCs w:val="24"/>
        </w:rPr>
        <w:t xml:space="preserve"> 24. ve 48. saatlerin yüksek dozlu uygulamalarında enzim </w:t>
      </w:r>
      <w:r w:rsidR="00897312">
        <w:rPr>
          <w:rFonts w:cs="Times New Roman"/>
          <w:color w:val="000000"/>
          <w:szCs w:val="24"/>
        </w:rPr>
        <w:t xml:space="preserve">miktarları hemen hemen aynıdır (Şekil 45). </w:t>
      </w:r>
    </w:p>
    <w:p w:rsidR="002B3673" w:rsidRDefault="002B3673" w:rsidP="002B3673">
      <w:pPr>
        <w:rPr>
          <w:rFonts w:cs="Times New Roman"/>
          <w:color w:val="000000"/>
          <w:szCs w:val="24"/>
        </w:rPr>
      </w:pPr>
    </w:p>
    <w:p w:rsidR="002B3673" w:rsidRDefault="002B3673" w:rsidP="002B3673">
      <w:pPr>
        <w:jc w:val="center"/>
        <w:rPr>
          <w:rFonts w:cs="Times New Roman"/>
          <w:color w:val="000000"/>
          <w:szCs w:val="24"/>
        </w:rPr>
      </w:pPr>
      <w:r>
        <w:rPr>
          <w:noProof/>
          <w:lang w:eastAsia="tr-TR"/>
        </w:rPr>
        <w:drawing>
          <wp:inline distT="0" distB="0" distL="0" distR="0">
            <wp:extent cx="4572000" cy="2743200"/>
            <wp:effectExtent l="0" t="0" r="0" b="0"/>
            <wp:docPr id="7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B3673" w:rsidRDefault="002B3673" w:rsidP="002B3673">
      <w:pPr>
        <w:rPr>
          <w:rFonts w:cs="Times New Roman"/>
          <w:color w:val="000000"/>
          <w:szCs w:val="24"/>
        </w:rPr>
      </w:pPr>
    </w:p>
    <w:p w:rsidR="002B3673" w:rsidRDefault="00D450D5" w:rsidP="002B3673">
      <w:pPr>
        <w:rPr>
          <w:rFonts w:cs="Times New Roman"/>
          <w:color w:val="000000"/>
          <w:szCs w:val="24"/>
        </w:rPr>
      </w:pPr>
      <w:r>
        <w:rPr>
          <w:rFonts w:cs="Times New Roman"/>
          <w:b/>
          <w:color w:val="000000"/>
          <w:szCs w:val="24"/>
        </w:rPr>
        <w:t>Şekil 44</w:t>
      </w:r>
      <w:r w:rsidR="002B3673" w:rsidRPr="00B91A42">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normoksi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a G6PD</w:t>
      </w:r>
      <w:r w:rsidR="002B3673" w:rsidRPr="00EE6E59">
        <w:rPr>
          <w:rFonts w:cs="Times New Roman"/>
          <w:color w:val="000000"/>
          <w:szCs w:val="24"/>
        </w:rPr>
        <w:t xml:space="preserve"> miktarlarının karşılaştırılması.</w:t>
      </w:r>
    </w:p>
    <w:p w:rsidR="00D05475" w:rsidRDefault="00D05475" w:rsidP="002B3673">
      <w:pPr>
        <w:rPr>
          <w:rFonts w:cs="Times New Roman"/>
          <w:color w:val="000000"/>
          <w:szCs w:val="24"/>
        </w:rPr>
      </w:pPr>
    </w:p>
    <w:p w:rsidR="002B3673" w:rsidRDefault="002B3673" w:rsidP="002B3673">
      <w:pPr>
        <w:jc w:val="center"/>
      </w:pPr>
      <w:r>
        <w:rPr>
          <w:noProof/>
          <w:lang w:eastAsia="tr-TR"/>
        </w:rPr>
        <w:lastRenderedPageBreak/>
        <w:drawing>
          <wp:inline distT="0" distB="0" distL="0" distR="0">
            <wp:extent cx="4572000" cy="2743200"/>
            <wp:effectExtent l="0" t="0" r="0" b="0"/>
            <wp:docPr id="83"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B3673" w:rsidRDefault="002B3673" w:rsidP="002B3673">
      <w:pPr>
        <w:jc w:val="center"/>
      </w:pPr>
    </w:p>
    <w:p w:rsidR="002B3673" w:rsidRDefault="00D450D5" w:rsidP="002B3673">
      <w:pPr>
        <w:rPr>
          <w:rFonts w:cs="Times New Roman"/>
          <w:color w:val="000000"/>
          <w:szCs w:val="24"/>
        </w:rPr>
      </w:pPr>
      <w:r>
        <w:rPr>
          <w:rFonts w:cs="Times New Roman"/>
          <w:b/>
          <w:color w:val="000000"/>
          <w:szCs w:val="24"/>
        </w:rPr>
        <w:t>Şekil 45</w:t>
      </w:r>
      <w:r w:rsidR="002B3673" w:rsidRPr="00B91A42">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w:t>
      </w:r>
      <w:r w:rsidR="002B3673">
        <w:rPr>
          <w:rFonts w:cs="Times New Roman"/>
          <w:color w:val="000000"/>
          <w:szCs w:val="24"/>
        </w:rPr>
        <w:t>hipoksi</w:t>
      </w:r>
      <w:r w:rsidR="002B3673" w:rsidRPr="00EE6E59">
        <w:rPr>
          <w:rFonts w:cs="Times New Roman"/>
          <w:color w:val="000000"/>
          <w:szCs w:val="24"/>
        </w:rPr>
        <w:t xml:space="preserve">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a G6PD</w:t>
      </w:r>
      <w:r w:rsidR="002B3673" w:rsidRPr="00EE6E59">
        <w:rPr>
          <w:rFonts w:cs="Times New Roman"/>
          <w:color w:val="000000"/>
          <w:szCs w:val="24"/>
        </w:rPr>
        <w:t xml:space="preserve"> miktarlarının karşılaştırılması.</w:t>
      </w:r>
    </w:p>
    <w:p w:rsidR="002B3673" w:rsidRDefault="002B3673" w:rsidP="002B3673">
      <w:pPr>
        <w:rPr>
          <w:rFonts w:eastAsia="Times New Roman"/>
          <w:b/>
          <w:szCs w:val="24"/>
          <w:lang w:eastAsia="tr-TR"/>
        </w:rPr>
      </w:pPr>
    </w:p>
    <w:p w:rsidR="002B3673" w:rsidRDefault="002B3673" w:rsidP="002B3673">
      <w:pPr>
        <w:rPr>
          <w:rFonts w:eastAsia="Times New Roman"/>
          <w:b/>
          <w:szCs w:val="24"/>
          <w:lang w:eastAsia="tr-TR"/>
        </w:rPr>
      </w:pPr>
    </w:p>
    <w:p w:rsidR="002B3673" w:rsidRDefault="002B3673" w:rsidP="003D2CFB">
      <w:pPr>
        <w:pStyle w:val="Balk2"/>
        <w:rPr>
          <w:rFonts w:eastAsia="Times New Roman"/>
          <w:lang w:eastAsia="tr-TR"/>
        </w:rPr>
      </w:pPr>
      <w:r>
        <w:rPr>
          <w:rFonts w:eastAsia="Times New Roman"/>
          <w:lang w:eastAsia="tr-TR"/>
        </w:rPr>
        <w:t>4.</w:t>
      </w:r>
      <w:r w:rsidR="00A93050">
        <w:rPr>
          <w:rFonts w:eastAsia="Times New Roman"/>
          <w:lang w:eastAsia="tr-TR"/>
        </w:rPr>
        <w:t>3</w:t>
      </w:r>
      <w:r>
        <w:rPr>
          <w:rFonts w:eastAsia="Times New Roman"/>
          <w:lang w:eastAsia="tr-TR"/>
        </w:rPr>
        <w:t>.3.</w:t>
      </w:r>
      <w:r w:rsidR="00A93050">
        <w:rPr>
          <w:rFonts w:eastAsia="Times New Roman"/>
          <w:lang w:eastAsia="tr-TR"/>
        </w:rPr>
        <w:t>2</w:t>
      </w:r>
      <w:r>
        <w:rPr>
          <w:rFonts w:eastAsia="Times New Roman"/>
          <w:lang w:eastAsia="tr-TR"/>
        </w:rPr>
        <w:t xml:space="preserve"> Aynı </w:t>
      </w:r>
      <w:proofErr w:type="gramStart"/>
      <w:r w:rsidR="00790E30">
        <w:rPr>
          <w:rFonts w:eastAsia="Times New Roman"/>
          <w:lang w:eastAsia="tr-TR"/>
        </w:rPr>
        <w:t>k</w:t>
      </w:r>
      <w:r>
        <w:rPr>
          <w:rFonts w:eastAsia="Times New Roman"/>
          <w:lang w:eastAsia="tr-TR"/>
        </w:rPr>
        <w:t>onsantrasyonlu</w:t>
      </w:r>
      <w:proofErr w:type="gramEnd"/>
      <w:r>
        <w:rPr>
          <w:rFonts w:eastAsia="Times New Roman"/>
          <w:lang w:eastAsia="tr-TR"/>
        </w:rPr>
        <w:t xml:space="preserve"> </w:t>
      </w:r>
      <w:r w:rsidR="00790E30">
        <w:rPr>
          <w:rFonts w:eastAsia="Times New Roman"/>
          <w:lang w:eastAsia="tr-TR"/>
        </w:rPr>
        <w:t>g</w:t>
      </w:r>
      <w:r>
        <w:rPr>
          <w:rFonts w:eastAsia="Times New Roman"/>
          <w:lang w:eastAsia="tr-TR"/>
        </w:rPr>
        <w:t xml:space="preserve">lukoz </w:t>
      </w:r>
      <w:r w:rsidR="00790E30">
        <w:rPr>
          <w:rFonts w:eastAsia="Times New Roman"/>
          <w:lang w:eastAsia="tr-TR"/>
        </w:rPr>
        <w:t>u</w:t>
      </w:r>
      <w:r>
        <w:rPr>
          <w:rFonts w:eastAsia="Times New Roman"/>
          <w:lang w:eastAsia="tr-TR"/>
        </w:rPr>
        <w:t xml:space="preserve">ygulamalarında </w:t>
      </w:r>
      <w:r w:rsidR="00790E30">
        <w:rPr>
          <w:rFonts w:eastAsia="Times New Roman"/>
          <w:lang w:eastAsia="tr-TR"/>
        </w:rPr>
        <w:t>n</w:t>
      </w:r>
      <w:r>
        <w:rPr>
          <w:rFonts w:eastAsia="Times New Roman"/>
          <w:lang w:eastAsia="tr-TR"/>
        </w:rPr>
        <w:t xml:space="preserve">ormoksik ve </w:t>
      </w:r>
      <w:r w:rsidR="00790E30">
        <w:rPr>
          <w:rFonts w:eastAsia="Times New Roman"/>
          <w:lang w:eastAsia="tr-TR"/>
        </w:rPr>
        <w:t>h</w:t>
      </w:r>
      <w:r>
        <w:rPr>
          <w:rFonts w:eastAsia="Times New Roman"/>
          <w:lang w:eastAsia="tr-TR"/>
        </w:rPr>
        <w:t xml:space="preserve">ipoksik </w:t>
      </w:r>
      <w:r w:rsidR="00790E30">
        <w:rPr>
          <w:rFonts w:eastAsia="Times New Roman"/>
          <w:lang w:eastAsia="tr-TR"/>
        </w:rPr>
        <w:t>ortamdaki G6PD e</w:t>
      </w:r>
      <w:r>
        <w:rPr>
          <w:rFonts w:eastAsia="Times New Roman"/>
          <w:lang w:eastAsia="tr-TR"/>
        </w:rPr>
        <w:t xml:space="preserve">nzim </w:t>
      </w:r>
      <w:r w:rsidR="00790E30">
        <w:rPr>
          <w:rFonts w:eastAsia="Times New Roman"/>
          <w:lang w:eastAsia="tr-TR"/>
        </w:rPr>
        <w:t>m</w:t>
      </w:r>
      <w:r>
        <w:rPr>
          <w:rFonts w:eastAsia="Times New Roman"/>
          <w:lang w:eastAsia="tr-TR"/>
        </w:rPr>
        <w:t xml:space="preserve">iktarlarının </w:t>
      </w:r>
      <w:r w:rsidR="00790E30">
        <w:rPr>
          <w:rFonts w:eastAsia="Times New Roman"/>
          <w:lang w:eastAsia="tr-TR"/>
        </w:rPr>
        <w:t>k</w:t>
      </w:r>
      <w:r>
        <w:rPr>
          <w:rFonts w:eastAsia="Times New Roman"/>
          <w:lang w:eastAsia="tr-TR"/>
        </w:rPr>
        <w:t>arşılaştırılması</w:t>
      </w:r>
    </w:p>
    <w:p w:rsidR="002B3673" w:rsidRPr="00CC6E3F" w:rsidRDefault="002B3673" w:rsidP="002B3673">
      <w:pPr>
        <w:rPr>
          <w:rFonts w:cs="Times New Roman"/>
          <w:color w:val="000000"/>
          <w:szCs w:val="24"/>
        </w:rPr>
      </w:pPr>
    </w:p>
    <w:p w:rsidR="002B3673" w:rsidRDefault="002B3673" w:rsidP="002B3673">
      <w:pPr>
        <w:rPr>
          <w:rFonts w:cs="Times New Roman"/>
          <w:color w:val="000000"/>
          <w:szCs w:val="24"/>
        </w:rPr>
      </w:pPr>
      <w:r w:rsidRPr="00A567AE">
        <w:rPr>
          <w:rFonts w:cs="Times New Roman"/>
          <w:color w:val="000000"/>
          <w:szCs w:val="24"/>
        </w:rPr>
        <w:t>Tüm uygulanan glukoz dozları için her inkübasyon süresinde normoksik kontrole göre hipoksik koşullarda G6PD enzim düzeylerinde önemli azal</w:t>
      </w:r>
      <w:r>
        <w:rPr>
          <w:rFonts w:cs="Times New Roman"/>
          <w:color w:val="000000"/>
          <w:szCs w:val="24"/>
        </w:rPr>
        <w:t>malar kaydedildi (</w:t>
      </w:r>
      <w:r w:rsidR="00156FF9">
        <w:rPr>
          <w:rFonts w:cs="Times New Roman"/>
          <w:color w:val="000000"/>
          <w:szCs w:val="24"/>
        </w:rPr>
        <w:t>p</w:t>
      </w:r>
      <w:r>
        <w:rPr>
          <w:rFonts w:cs="Times New Roman"/>
          <w:color w:val="000000"/>
          <w:szCs w:val="24"/>
        </w:rPr>
        <w:t>&lt;0,001</w:t>
      </w:r>
      <w:r w:rsidRPr="00A567AE">
        <w:rPr>
          <w:rFonts w:cs="Times New Roman"/>
          <w:color w:val="000000"/>
          <w:szCs w:val="24"/>
        </w:rPr>
        <w:t>)</w:t>
      </w:r>
      <w:r>
        <w:rPr>
          <w:rFonts w:cs="Times New Roman"/>
          <w:color w:val="000000"/>
          <w:szCs w:val="24"/>
        </w:rPr>
        <w:t xml:space="preserve">. 0 ve 5.5 mM konsantrasyonlarında glukoz içeren ortamlarda 12. saatte enzim miktarlarında çok büyük farklar görülmezken, 15 ve 55 mM glukoz içeren ortamlarda normoksiye göre </w:t>
      </w:r>
      <w:proofErr w:type="gramStart"/>
      <w:r>
        <w:rPr>
          <w:rFonts w:cs="Times New Roman"/>
          <w:color w:val="000000"/>
          <w:szCs w:val="24"/>
        </w:rPr>
        <w:t>hipokside  sırasıyla</w:t>
      </w:r>
      <w:proofErr w:type="gramEnd"/>
      <w:r>
        <w:rPr>
          <w:rFonts w:cs="Times New Roman"/>
          <w:color w:val="000000"/>
          <w:szCs w:val="24"/>
        </w:rPr>
        <w:t xml:space="preserve"> 1.6 ve 1.7 kat azalma tespit edildi (</w:t>
      </w:r>
      <w:r w:rsidR="00156FF9">
        <w:rPr>
          <w:rFonts w:cs="Times New Roman"/>
          <w:color w:val="000000"/>
          <w:szCs w:val="24"/>
        </w:rPr>
        <w:t>p</w:t>
      </w:r>
      <w:r>
        <w:rPr>
          <w:rFonts w:cs="Times New Roman"/>
          <w:color w:val="000000"/>
          <w:szCs w:val="24"/>
        </w:rPr>
        <w:t>&lt;0,001</w:t>
      </w:r>
      <w:r w:rsidRPr="00A567AE">
        <w:rPr>
          <w:rFonts w:cs="Times New Roman"/>
          <w:color w:val="000000"/>
          <w:szCs w:val="24"/>
        </w:rPr>
        <w:t>)</w:t>
      </w:r>
      <w:r>
        <w:rPr>
          <w:rFonts w:cs="Times New Roman"/>
          <w:color w:val="000000"/>
          <w:szCs w:val="24"/>
        </w:rPr>
        <w:t xml:space="preserve">. Diğerleri ile kıyaslandığında enzim miktarındaki en büyük azalma (3,5 kat) normoksiye kıyasla hipokside </w:t>
      </w:r>
      <w:proofErr w:type="gramStart"/>
      <w:r>
        <w:rPr>
          <w:rFonts w:cs="Times New Roman"/>
          <w:color w:val="000000"/>
          <w:szCs w:val="24"/>
        </w:rPr>
        <w:t>5.5</w:t>
      </w:r>
      <w:proofErr w:type="gramEnd"/>
      <w:r>
        <w:rPr>
          <w:rFonts w:cs="Times New Roman"/>
          <w:color w:val="000000"/>
          <w:szCs w:val="24"/>
        </w:rPr>
        <w:t xml:space="preserve"> mM glukoz içeren ortamda </w:t>
      </w:r>
      <w:r w:rsidR="00800808">
        <w:rPr>
          <w:rFonts w:cs="Times New Roman"/>
          <w:color w:val="000000"/>
          <w:szCs w:val="24"/>
        </w:rPr>
        <w:t xml:space="preserve">48. saatte </w:t>
      </w:r>
      <w:r>
        <w:rPr>
          <w:rFonts w:cs="Times New Roman"/>
          <w:color w:val="000000"/>
          <w:szCs w:val="24"/>
        </w:rPr>
        <w:t>görüldü (</w:t>
      </w:r>
      <w:r w:rsidR="00156FF9">
        <w:rPr>
          <w:rFonts w:cs="Times New Roman"/>
          <w:color w:val="000000"/>
          <w:szCs w:val="24"/>
        </w:rPr>
        <w:t>p&lt;</w:t>
      </w:r>
      <w:r>
        <w:rPr>
          <w:rFonts w:cs="Times New Roman"/>
          <w:color w:val="000000"/>
          <w:szCs w:val="24"/>
        </w:rPr>
        <w:t>0,001</w:t>
      </w:r>
      <w:r w:rsidRPr="00A567AE">
        <w:rPr>
          <w:rFonts w:cs="Times New Roman"/>
          <w:color w:val="000000"/>
          <w:szCs w:val="24"/>
        </w:rPr>
        <w:t>)</w:t>
      </w:r>
      <w:r w:rsidR="0030279F">
        <w:rPr>
          <w:rFonts w:cs="Times New Roman"/>
          <w:color w:val="000000"/>
          <w:szCs w:val="24"/>
        </w:rPr>
        <w:t xml:space="preserve"> (Şekil 46-49). </w:t>
      </w:r>
    </w:p>
    <w:p w:rsidR="003D2CFB" w:rsidRDefault="003D2CFB" w:rsidP="002B3673">
      <w:pPr>
        <w:rPr>
          <w:rFonts w:cs="Times New Roman"/>
          <w:color w:val="000000"/>
          <w:szCs w:val="24"/>
        </w:rPr>
      </w:pPr>
    </w:p>
    <w:p w:rsidR="002B3673" w:rsidRDefault="002B3673" w:rsidP="002B3673">
      <w:pPr>
        <w:jc w:val="center"/>
      </w:pPr>
      <w:r w:rsidRPr="00E864C1">
        <w:rPr>
          <w:noProof/>
          <w:lang w:eastAsia="tr-TR"/>
        </w:rPr>
        <w:lastRenderedPageBreak/>
        <w:drawing>
          <wp:inline distT="0" distB="0" distL="0" distR="0">
            <wp:extent cx="4572000" cy="2743200"/>
            <wp:effectExtent l="0" t="0" r="0" b="0"/>
            <wp:docPr id="84"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B3673" w:rsidRDefault="002B3673" w:rsidP="002B3673">
      <w:pPr>
        <w:rPr>
          <w:rFonts w:cs="Times New Roman"/>
          <w:b/>
          <w:color w:val="000000"/>
          <w:szCs w:val="24"/>
        </w:rPr>
      </w:pPr>
    </w:p>
    <w:p w:rsidR="002B3673" w:rsidRDefault="00D450D5" w:rsidP="002B3673">
      <w:pPr>
        <w:rPr>
          <w:rFonts w:cs="Times New Roman"/>
          <w:color w:val="000000"/>
          <w:szCs w:val="24"/>
        </w:rPr>
      </w:pPr>
      <w:r>
        <w:rPr>
          <w:rFonts w:cs="Times New Roman"/>
          <w:b/>
          <w:color w:val="000000"/>
          <w:szCs w:val="24"/>
        </w:rPr>
        <w:t>Şekil 46</w:t>
      </w:r>
      <w:r w:rsidR="002B3673" w:rsidRPr="00B91A42">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0 mM glukoz </w:t>
      </w:r>
      <w:r w:rsidR="002B3673" w:rsidRPr="006A05E3">
        <w:rPr>
          <w:rFonts w:cs="Times New Roman"/>
          <w:color w:val="000000"/>
          <w:szCs w:val="24"/>
        </w:rPr>
        <w:t xml:space="preserve">uygulama gruplarında </w:t>
      </w:r>
      <w:r w:rsidR="002B3673">
        <w:rPr>
          <w:rFonts w:cs="Times New Roman"/>
          <w:color w:val="000000"/>
          <w:szCs w:val="24"/>
        </w:rPr>
        <w:t>G6PD</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0427C0">
        <w:rPr>
          <w:rFonts w:cs="Times New Roman"/>
          <w:color w:val="000000"/>
          <w:szCs w:val="24"/>
        </w:rPr>
        <w:t>&lt;</w:t>
      </w:r>
      <w:r w:rsidR="002B3673" w:rsidRPr="006A05E3">
        <w:rPr>
          <w:rFonts w:cs="Times New Roman"/>
          <w:color w:val="000000"/>
          <w:szCs w:val="24"/>
        </w:rPr>
        <w:t>0,001</w:t>
      </w:r>
    </w:p>
    <w:p w:rsidR="002B3673" w:rsidRDefault="002B3673" w:rsidP="002B3673"/>
    <w:p w:rsidR="002B3673" w:rsidRDefault="002B3673" w:rsidP="002B3673">
      <w:pPr>
        <w:jc w:val="center"/>
      </w:pPr>
      <w:r w:rsidRPr="006C1C53">
        <w:rPr>
          <w:noProof/>
          <w:lang w:eastAsia="tr-TR"/>
        </w:rPr>
        <w:drawing>
          <wp:inline distT="0" distB="0" distL="0" distR="0">
            <wp:extent cx="4572000" cy="2743200"/>
            <wp:effectExtent l="0" t="0" r="0" b="0"/>
            <wp:docPr id="85"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B3673" w:rsidRDefault="002B3673" w:rsidP="002B3673">
      <w:pPr>
        <w:rPr>
          <w:rFonts w:cs="Times New Roman"/>
          <w:b/>
          <w:color w:val="000000"/>
          <w:szCs w:val="24"/>
        </w:rPr>
      </w:pPr>
    </w:p>
    <w:p w:rsidR="002B3673" w:rsidRDefault="00D450D5" w:rsidP="002B3673">
      <w:pPr>
        <w:rPr>
          <w:rFonts w:cs="Times New Roman"/>
          <w:color w:val="000000"/>
          <w:szCs w:val="24"/>
        </w:rPr>
      </w:pPr>
      <w:r>
        <w:rPr>
          <w:rFonts w:cs="Times New Roman"/>
          <w:b/>
          <w:color w:val="000000"/>
          <w:szCs w:val="24"/>
        </w:rPr>
        <w:t>Şekil 47</w:t>
      </w:r>
      <w:r w:rsidR="002B3673" w:rsidRPr="00B91A42">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w:t>
      </w:r>
      <w:proofErr w:type="gramStart"/>
      <w:r w:rsidR="002B3673">
        <w:rPr>
          <w:rFonts w:cs="Times New Roman"/>
          <w:color w:val="000000"/>
          <w:szCs w:val="24"/>
        </w:rPr>
        <w:t>5</w:t>
      </w:r>
      <w:r w:rsidR="000427C0">
        <w:rPr>
          <w:rFonts w:cs="Times New Roman"/>
          <w:color w:val="000000"/>
          <w:szCs w:val="24"/>
        </w:rPr>
        <w:t>.</w:t>
      </w:r>
      <w:r w:rsidR="002B3673">
        <w:rPr>
          <w:rFonts w:cs="Times New Roman"/>
          <w:color w:val="000000"/>
          <w:szCs w:val="24"/>
        </w:rPr>
        <w:t>5</w:t>
      </w:r>
      <w:proofErr w:type="gramEnd"/>
      <w:r w:rsidR="002B3673">
        <w:rPr>
          <w:rFonts w:cs="Times New Roman"/>
          <w:color w:val="000000"/>
          <w:szCs w:val="24"/>
        </w:rPr>
        <w:t xml:space="preserve"> mM glukoz </w:t>
      </w:r>
      <w:r w:rsidR="002B3673" w:rsidRPr="006A05E3">
        <w:rPr>
          <w:rFonts w:cs="Times New Roman"/>
          <w:color w:val="000000"/>
          <w:szCs w:val="24"/>
        </w:rPr>
        <w:t xml:space="preserve">uygulama gruplarında </w:t>
      </w:r>
      <w:r w:rsidR="002B3673">
        <w:rPr>
          <w:rFonts w:cs="Times New Roman"/>
          <w:color w:val="000000"/>
          <w:szCs w:val="24"/>
        </w:rPr>
        <w:t>G6PD</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 w:rsidR="002B3673" w:rsidRDefault="002B3673" w:rsidP="002B3673">
      <w:pPr>
        <w:jc w:val="center"/>
      </w:pPr>
      <w:r w:rsidRPr="006C1C53">
        <w:rPr>
          <w:noProof/>
          <w:lang w:eastAsia="tr-TR"/>
        </w:rPr>
        <w:lastRenderedPageBreak/>
        <w:drawing>
          <wp:inline distT="0" distB="0" distL="0" distR="0">
            <wp:extent cx="4572000" cy="2743200"/>
            <wp:effectExtent l="0" t="0" r="0" b="0"/>
            <wp:docPr id="86"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B3673" w:rsidRDefault="002B3673" w:rsidP="002B3673">
      <w:pPr>
        <w:jc w:val="center"/>
      </w:pPr>
    </w:p>
    <w:p w:rsidR="002B3673" w:rsidRDefault="00D450D5" w:rsidP="002B3673">
      <w:pPr>
        <w:rPr>
          <w:rFonts w:cs="Times New Roman"/>
          <w:color w:val="000000"/>
          <w:szCs w:val="24"/>
        </w:rPr>
      </w:pPr>
      <w:r>
        <w:rPr>
          <w:rFonts w:cs="Times New Roman"/>
          <w:b/>
          <w:color w:val="000000"/>
          <w:szCs w:val="24"/>
        </w:rPr>
        <w:t>Şekil 48</w:t>
      </w:r>
      <w:r w:rsidR="002B3673" w:rsidRPr="00B91A42">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15 mM glukoz </w:t>
      </w:r>
      <w:r w:rsidR="002B3673" w:rsidRPr="006A05E3">
        <w:rPr>
          <w:rFonts w:cs="Times New Roman"/>
          <w:color w:val="000000"/>
          <w:szCs w:val="24"/>
        </w:rPr>
        <w:t xml:space="preserve">uygulama gruplarında </w:t>
      </w:r>
      <w:r w:rsidR="002B3673">
        <w:rPr>
          <w:rFonts w:cs="Times New Roman"/>
          <w:color w:val="000000"/>
          <w:szCs w:val="24"/>
        </w:rPr>
        <w:t>G6PD</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 w:rsidR="002B3673" w:rsidRDefault="002B3673" w:rsidP="002B3673">
      <w:pPr>
        <w:jc w:val="center"/>
      </w:pPr>
      <w:r w:rsidRPr="006C1C53">
        <w:rPr>
          <w:noProof/>
          <w:lang w:eastAsia="tr-TR"/>
        </w:rPr>
        <w:drawing>
          <wp:inline distT="0" distB="0" distL="0" distR="0">
            <wp:extent cx="4572000" cy="2743200"/>
            <wp:effectExtent l="0" t="0" r="0" b="0"/>
            <wp:docPr id="87"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52503" w:rsidRDefault="00D52503" w:rsidP="002B3673">
      <w:pPr>
        <w:jc w:val="center"/>
      </w:pPr>
    </w:p>
    <w:p w:rsidR="002B3673" w:rsidRDefault="00D450D5" w:rsidP="002B3673">
      <w:pPr>
        <w:rPr>
          <w:rFonts w:cs="Times New Roman"/>
          <w:color w:val="000000"/>
          <w:szCs w:val="24"/>
        </w:rPr>
      </w:pPr>
      <w:r>
        <w:rPr>
          <w:rFonts w:cs="Times New Roman"/>
          <w:b/>
          <w:color w:val="000000"/>
          <w:szCs w:val="24"/>
        </w:rPr>
        <w:t>Şekil 49</w:t>
      </w:r>
      <w:r w:rsidR="002B3673" w:rsidRPr="00B91A42">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55 mM glukoz </w:t>
      </w:r>
      <w:r w:rsidR="002B3673" w:rsidRPr="006A05E3">
        <w:rPr>
          <w:rFonts w:cs="Times New Roman"/>
          <w:color w:val="000000"/>
          <w:szCs w:val="24"/>
        </w:rPr>
        <w:t xml:space="preserve">uygulama gruplarında </w:t>
      </w:r>
      <w:r w:rsidR="002B3673">
        <w:rPr>
          <w:rFonts w:cs="Times New Roman"/>
          <w:color w:val="000000"/>
          <w:szCs w:val="24"/>
        </w:rPr>
        <w:t>G6PD</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156FF9">
        <w:rPr>
          <w:rFonts w:cs="Times New Roman"/>
          <w:color w:val="000000"/>
          <w:szCs w:val="24"/>
        </w:rPr>
        <w:t>p</w:t>
      </w:r>
      <w:r w:rsidR="002B3673"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2B3673"/>
    <w:p w:rsidR="00D52503" w:rsidRDefault="00D52503" w:rsidP="002B3673"/>
    <w:p w:rsidR="002B3673" w:rsidRDefault="002B3673" w:rsidP="003D2CFB">
      <w:pPr>
        <w:pStyle w:val="Balk2"/>
        <w:rPr>
          <w:rFonts w:eastAsia="Times New Roman"/>
          <w:lang w:eastAsia="tr-TR"/>
        </w:rPr>
      </w:pPr>
      <w:r w:rsidRPr="00410148">
        <w:rPr>
          <w:rFonts w:eastAsia="Times New Roman"/>
          <w:lang w:eastAsia="tr-TR"/>
        </w:rPr>
        <w:lastRenderedPageBreak/>
        <w:t>4.</w:t>
      </w:r>
      <w:r w:rsidR="00A93050">
        <w:rPr>
          <w:rFonts w:eastAsia="Times New Roman"/>
          <w:lang w:eastAsia="tr-TR"/>
        </w:rPr>
        <w:t>3</w:t>
      </w:r>
      <w:r w:rsidRPr="00410148">
        <w:rPr>
          <w:rFonts w:eastAsia="Times New Roman"/>
          <w:lang w:eastAsia="tr-TR"/>
        </w:rPr>
        <w:t>.</w:t>
      </w:r>
      <w:r>
        <w:rPr>
          <w:rFonts w:eastAsia="Times New Roman"/>
          <w:lang w:eastAsia="tr-TR"/>
        </w:rPr>
        <w:t>4</w:t>
      </w:r>
      <w:r w:rsidRPr="00410148">
        <w:rPr>
          <w:rFonts w:eastAsia="Times New Roman"/>
          <w:lang w:eastAsia="tr-TR"/>
        </w:rPr>
        <w:t xml:space="preserve"> ELISA Yönteminden Elde Edilen </w:t>
      </w:r>
      <w:r>
        <w:rPr>
          <w:rFonts w:eastAsia="Times New Roman"/>
          <w:lang w:eastAsia="tr-TR"/>
        </w:rPr>
        <w:t>HK2</w:t>
      </w:r>
      <w:r w:rsidRPr="00410148">
        <w:rPr>
          <w:rFonts w:eastAsia="Times New Roman"/>
          <w:lang w:eastAsia="tr-TR"/>
        </w:rPr>
        <w:t xml:space="preserve"> Sonuçları</w:t>
      </w:r>
    </w:p>
    <w:p w:rsidR="002B3673" w:rsidRDefault="002B3673" w:rsidP="002B3673">
      <w:pPr>
        <w:rPr>
          <w:rFonts w:eastAsia="Times New Roman"/>
          <w:b/>
          <w:szCs w:val="24"/>
          <w:lang w:eastAsia="tr-TR"/>
        </w:rPr>
      </w:pPr>
    </w:p>
    <w:p w:rsidR="002B3673" w:rsidRDefault="002B3673" w:rsidP="003D2CFB">
      <w:pPr>
        <w:pStyle w:val="Balk2"/>
        <w:rPr>
          <w:rFonts w:eastAsia="Times New Roman"/>
          <w:lang w:eastAsia="tr-TR"/>
        </w:rPr>
      </w:pPr>
      <w:r>
        <w:rPr>
          <w:rFonts w:eastAsia="Times New Roman"/>
          <w:lang w:eastAsia="tr-TR"/>
        </w:rPr>
        <w:t>4.</w:t>
      </w:r>
      <w:r w:rsidR="00A93050">
        <w:rPr>
          <w:rFonts w:eastAsia="Times New Roman"/>
          <w:lang w:eastAsia="tr-TR"/>
        </w:rPr>
        <w:t>3</w:t>
      </w:r>
      <w:r w:rsidR="00790E30">
        <w:rPr>
          <w:rFonts w:eastAsia="Times New Roman"/>
          <w:lang w:eastAsia="tr-TR"/>
        </w:rPr>
        <w:t>.4.1 HK2 enzim m</w:t>
      </w:r>
      <w:r>
        <w:rPr>
          <w:rFonts w:eastAsia="Times New Roman"/>
          <w:lang w:eastAsia="tr-TR"/>
        </w:rPr>
        <w:t xml:space="preserve">iktarının </w:t>
      </w:r>
      <w:r w:rsidR="00790E30">
        <w:rPr>
          <w:rFonts w:eastAsia="Times New Roman"/>
          <w:lang w:eastAsia="tr-TR"/>
        </w:rPr>
        <w:t>z</w:t>
      </w:r>
      <w:r>
        <w:rPr>
          <w:rFonts w:eastAsia="Times New Roman"/>
          <w:lang w:eastAsia="tr-TR"/>
        </w:rPr>
        <w:t>am</w:t>
      </w:r>
      <w:r w:rsidR="00790E30">
        <w:rPr>
          <w:rFonts w:eastAsia="Times New Roman"/>
          <w:lang w:eastAsia="tr-TR"/>
        </w:rPr>
        <w:t>ana göre d</w:t>
      </w:r>
      <w:r>
        <w:rPr>
          <w:rFonts w:eastAsia="Times New Roman"/>
          <w:lang w:eastAsia="tr-TR"/>
        </w:rPr>
        <w:t>eğişimi</w:t>
      </w:r>
    </w:p>
    <w:p w:rsidR="002B3673" w:rsidRDefault="002B3673" w:rsidP="002B3673">
      <w:pPr>
        <w:rPr>
          <w:rFonts w:eastAsia="Times New Roman"/>
          <w:b/>
          <w:szCs w:val="24"/>
          <w:lang w:eastAsia="tr-TR"/>
        </w:rPr>
      </w:pPr>
    </w:p>
    <w:p w:rsidR="002B3673" w:rsidRDefault="002B3673" w:rsidP="002B3673">
      <w:pPr>
        <w:rPr>
          <w:rFonts w:cs="Times New Roman"/>
        </w:rPr>
      </w:pPr>
      <w:r w:rsidRPr="00BA37BB">
        <w:rPr>
          <w:rFonts w:cs="Times New Roman"/>
        </w:rPr>
        <w:t>Normoksik ve hipoksik koşullarda glukozun farklı dozlarına maruz bırakılan MCF-7 meme kanser hücre hattı gruplar</w:t>
      </w:r>
      <w:r>
        <w:rPr>
          <w:rFonts w:cs="Times New Roman"/>
        </w:rPr>
        <w:t xml:space="preserve">ında uygulama saatlerine ve glukoz </w:t>
      </w:r>
      <w:proofErr w:type="gramStart"/>
      <w:r>
        <w:rPr>
          <w:rFonts w:cs="Times New Roman"/>
        </w:rPr>
        <w:t>konsantrasyonuna</w:t>
      </w:r>
      <w:proofErr w:type="gramEnd"/>
      <w:r>
        <w:rPr>
          <w:rFonts w:cs="Times New Roman"/>
        </w:rPr>
        <w:t xml:space="preserve"> bağlı olarak HK2 </w:t>
      </w:r>
      <w:r w:rsidRPr="00BA37BB">
        <w:rPr>
          <w:rFonts w:cs="Times New Roman"/>
        </w:rPr>
        <w:t>düzeyle</w:t>
      </w:r>
      <w:r>
        <w:rPr>
          <w:rFonts w:cs="Times New Roman"/>
        </w:rPr>
        <w:t xml:space="preserve">rinin </w:t>
      </w:r>
      <w:r w:rsidR="009E7ACA">
        <w:rPr>
          <w:rFonts w:cs="Times New Roman"/>
        </w:rPr>
        <w:t xml:space="preserve">(pg/mL) </w:t>
      </w:r>
      <w:r>
        <w:rPr>
          <w:rFonts w:cs="Times New Roman"/>
        </w:rPr>
        <w:t>nasıl değiştiği incelendi (T</w:t>
      </w:r>
      <w:r w:rsidR="00D450D5">
        <w:rPr>
          <w:rFonts w:cs="Times New Roman"/>
        </w:rPr>
        <w:t>ablo 11</w:t>
      </w:r>
      <w:r>
        <w:rPr>
          <w:rFonts w:cs="Times New Roman"/>
        </w:rPr>
        <w:t xml:space="preserve">). </w:t>
      </w:r>
    </w:p>
    <w:p w:rsidR="002B3673" w:rsidRDefault="002B3673" w:rsidP="002B3673">
      <w:pPr>
        <w:rPr>
          <w:rFonts w:cs="Times New Roman"/>
        </w:rPr>
      </w:pPr>
    </w:p>
    <w:p w:rsidR="002B3673" w:rsidRPr="00C63AC0" w:rsidRDefault="00D450D5" w:rsidP="00967259">
      <w:pPr>
        <w:ind w:firstLine="0"/>
        <w:rPr>
          <w:rFonts w:cs="Times New Roman"/>
          <w:b/>
          <w:color w:val="000000"/>
          <w:sz w:val="22"/>
          <w:szCs w:val="24"/>
        </w:rPr>
      </w:pPr>
      <w:r>
        <w:rPr>
          <w:rFonts w:cs="Times New Roman"/>
          <w:b/>
        </w:rPr>
        <w:t>Tablo 11</w:t>
      </w:r>
      <w:r w:rsidR="002B3673" w:rsidRPr="00B91A42">
        <w:rPr>
          <w:rFonts w:cs="Times New Roman"/>
          <w:b/>
        </w:rPr>
        <w:t>.</w:t>
      </w:r>
      <w:r w:rsidR="002B3673">
        <w:rPr>
          <w:rFonts w:cs="Times New Roman"/>
        </w:rPr>
        <w:t xml:space="preserve"> Normoksik ve </w:t>
      </w:r>
      <w:r w:rsidR="002B3673">
        <w:rPr>
          <w:rFonts w:cs="Times New Roman"/>
          <w:color w:val="000000"/>
          <w:szCs w:val="24"/>
        </w:rPr>
        <w:t xml:space="preserve">hipoksik ortamda glukozun farklı </w:t>
      </w:r>
      <w:proofErr w:type="gramStart"/>
      <w:r w:rsidR="002B3673">
        <w:rPr>
          <w:rFonts w:cs="Times New Roman"/>
          <w:color w:val="000000"/>
          <w:szCs w:val="24"/>
        </w:rPr>
        <w:t>konsantrasyonlu</w:t>
      </w:r>
      <w:proofErr w:type="gramEnd"/>
      <w:r w:rsidR="002B3673">
        <w:rPr>
          <w:rFonts w:cs="Times New Roman"/>
          <w:color w:val="000000"/>
          <w:szCs w:val="24"/>
        </w:rPr>
        <w:t xml:space="preserve"> uygulama gruplarında 6, 12, 24 ve 48 saat inkübasyonu sonucu elde edilen HK2 enzim miktarları ve standart hata değerleri.</w:t>
      </w:r>
    </w:p>
    <w:tbl>
      <w:tblPr>
        <w:tblStyle w:val="TabloKlavuzu2"/>
        <w:tblW w:w="8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1794"/>
        <w:gridCol w:w="1795"/>
        <w:gridCol w:w="1795"/>
        <w:gridCol w:w="1795"/>
      </w:tblGrid>
      <w:tr w:rsidR="002827AB" w:rsidRPr="00C63AC0" w:rsidTr="00324B03">
        <w:trPr>
          <w:trHeight w:val="300"/>
        </w:trPr>
        <w:tc>
          <w:tcPr>
            <w:tcW w:w="1686" w:type="dxa"/>
            <w:tcBorders>
              <w:top w:val="single" w:sz="4" w:space="0" w:color="auto"/>
              <w:bottom w:val="single" w:sz="4" w:space="0" w:color="auto"/>
            </w:tcBorders>
            <w:noWrap/>
            <w:hideMark/>
          </w:tcPr>
          <w:p w:rsidR="002827AB" w:rsidRPr="00C63AC0" w:rsidRDefault="002827AB" w:rsidP="002827AB">
            <w:pPr>
              <w:spacing w:line="240" w:lineRule="auto"/>
              <w:ind w:firstLine="0"/>
              <w:jc w:val="center"/>
              <w:rPr>
                <w:rFonts w:eastAsia="Times New Roman"/>
                <w:b/>
                <w:iCs/>
                <w:color w:val="000000"/>
                <w:sz w:val="20"/>
                <w:lang w:eastAsia="tr-TR"/>
              </w:rPr>
            </w:pPr>
            <w:r w:rsidRPr="00C63AC0">
              <w:rPr>
                <w:rFonts w:eastAsia="Times New Roman"/>
                <w:b/>
                <w:iCs/>
                <w:color w:val="000000"/>
                <w:sz w:val="20"/>
                <w:lang w:eastAsia="tr-TR"/>
              </w:rPr>
              <w:t>N</w:t>
            </w:r>
            <w:r w:rsidR="00C63AC0" w:rsidRPr="00C63AC0">
              <w:rPr>
                <w:rFonts w:eastAsia="Times New Roman"/>
                <w:b/>
                <w:iCs/>
                <w:color w:val="000000"/>
                <w:sz w:val="20"/>
                <w:lang w:eastAsia="tr-TR"/>
              </w:rPr>
              <w:t>ormoksi</w:t>
            </w:r>
          </w:p>
        </w:tc>
        <w:tc>
          <w:tcPr>
            <w:tcW w:w="1794" w:type="dxa"/>
            <w:tcBorders>
              <w:top w:val="single" w:sz="4" w:space="0" w:color="auto"/>
              <w:bottom w:val="single" w:sz="4" w:space="0" w:color="auto"/>
            </w:tcBorders>
            <w:noWrap/>
            <w:hideMark/>
          </w:tcPr>
          <w:p w:rsidR="002827AB" w:rsidRPr="00C63AC0" w:rsidRDefault="002827AB" w:rsidP="001B5AA1">
            <w:pPr>
              <w:spacing w:line="240" w:lineRule="auto"/>
              <w:ind w:firstLine="0"/>
              <w:jc w:val="center"/>
              <w:rPr>
                <w:rFonts w:eastAsia="Times New Roman"/>
                <w:b/>
                <w:iCs/>
                <w:color w:val="000000"/>
                <w:sz w:val="20"/>
                <w:lang w:eastAsia="tr-TR"/>
              </w:rPr>
            </w:pPr>
            <w:r w:rsidRPr="00C63AC0">
              <w:rPr>
                <w:rFonts w:eastAsia="Times New Roman"/>
                <w:b/>
                <w:iCs/>
                <w:color w:val="000000"/>
                <w:sz w:val="20"/>
                <w:lang w:eastAsia="tr-TR"/>
              </w:rPr>
              <w:t>6.S</w:t>
            </w:r>
            <w:r w:rsidR="00C63AC0" w:rsidRPr="00C63AC0">
              <w:rPr>
                <w:rFonts w:eastAsia="Times New Roman"/>
                <w:b/>
                <w:iCs/>
                <w:color w:val="000000"/>
                <w:sz w:val="20"/>
                <w:lang w:eastAsia="tr-TR"/>
              </w:rPr>
              <w:t>aat</w:t>
            </w:r>
          </w:p>
        </w:tc>
        <w:tc>
          <w:tcPr>
            <w:tcW w:w="1795" w:type="dxa"/>
            <w:tcBorders>
              <w:top w:val="single" w:sz="4" w:space="0" w:color="auto"/>
              <w:bottom w:val="single" w:sz="4" w:space="0" w:color="auto"/>
            </w:tcBorders>
            <w:noWrap/>
            <w:hideMark/>
          </w:tcPr>
          <w:p w:rsidR="002827AB" w:rsidRPr="00C63AC0" w:rsidRDefault="002827AB" w:rsidP="001B5AA1">
            <w:pPr>
              <w:spacing w:line="240" w:lineRule="auto"/>
              <w:ind w:firstLine="0"/>
              <w:jc w:val="center"/>
              <w:rPr>
                <w:rFonts w:eastAsia="Times New Roman"/>
                <w:b/>
                <w:iCs/>
                <w:color w:val="000000"/>
                <w:sz w:val="20"/>
                <w:lang w:eastAsia="tr-TR"/>
              </w:rPr>
            </w:pPr>
            <w:r w:rsidRPr="00C63AC0">
              <w:rPr>
                <w:rFonts w:eastAsia="Times New Roman"/>
                <w:b/>
                <w:iCs/>
                <w:color w:val="000000"/>
                <w:sz w:val="20"/>
                <w:lang w:eastAsia="tr-TR"/>
              </w:rPr>
              <w:t>12.S</w:t>
            </w:r>
            <w:r w:rsidR="00C63AC0" w:rsidRPr="00C63AC0">
              <w:rPr>
                <w:rFonts w:eastAsia="Times New Roman"/>
                <w:b/>
                <w:iCs/>
                <w:color w:val="000000"/>
                <w:sz w:val="20"/>
                <w:lang w:eastAsia="tr-TR"/>
              </w:rPr>
              <w:t>aat</w:t>
            </w:r>
          </w:p>
        </w:tc>
        <w:tc>
          <w:tcPr>
            <w:tcW w:w="1795" w:type="dxa"/>
            <w:tcBorders>
              <w:top w:val="single" w:sz="4" w:space="0" w:color="auto"/>
              <w:bottom w:val="single" w:sz="4" w:space="0" w:color="auto"/>
            </w:tcBorders>
            <w:noWrap/>
            <w:hideMark/>
          </w:tcPr>
          <w:p w:rsidR="002827AB" w:rsidRPr="00C63AC0" w:rsidRDefault="002827AB" w:rsidP="001B5AA1">
            <w:pPr>
              <w:spacing w:line="240" w:lineRule="auto"/>
              <w:ind w:firstLine="0"/>
              <w:jc w:val="center"/>
              <w:rPr>
                <w:rFonts w:eastAsia="Times New Roman"/>
                <w:b/>
                <w:iCs/>
                <w:color w:val="000000"/>
                <w:sz w:val="20"/>
                <w:lang w:eastAsia="tr-TR"/>
              </w:rPr>
            </w:pPr>
            <w:r w:rsidRPr="00C63AC0">
              <w:rPr>
                <w:rFonts w:eastAsia="Times New Roman"/>
                <w:b/>
                <w:iCs/>
                <w:color w:val="000000"/>
                <w:sz w:val="20"/>
                <w:lang w:eastAsia="tr-TR"/>
              </w:rPr>
              <w:t>24.S</w:t>
            </w:r>
            <w:r w:rsidR="00C63AC0" w:rsidRPr="00C63AC0">
              <w:rPr>
                <w:rFonts w:eastAsia="Times New Roman"/>
                <w:b/>
                <w:iCs/>
                <w:color w:val="000000"/>
                <w:sz w:val="20"/>
                <w:lang w:eastAsia="tr-TR"/>
              </w:rPr>
              <w:t>aat</w:t>
            </w:r>
          </w:p>
        </w:tc>
        <w:tc>
          <w:tcPr>
            <w:tcW w:w="1795" w:type="dxa"/>
            <w:tcBorders>
              <w:top w:val="single" w:sz="4" w:space="0" w:color="auto"/>
              <w:bottom w:val="single" w:sz="4" w:space="0" w:color="auto"/>
            </w:tcBorders>
            <w:noWrap/>
            <w:hideMark/>
          </w:tcPr>
          <w:p w:rsidR="002827AB" w:rsidRPr="00C63AC0" w:rsidRDefault="002827AB" w:rsidP="001B5AA1">
            <w:pPr>
              <w:spacing w:line="240" w:lineRule="auto"/>
              <w:ind w:firstLine="0"/>
              <w:jc w:val="center"/>
              <w:rPr>
                <w:rFonts w:eastAsia="Times New Roman"/>
                <w:b/>
                <w:iCs/>
                <w:color w:val="000000"/>
                <w:sz w:val="20"/>
                <w:lang w:eastAsia="tr-TR"/>
              </w:rPr>
            </w:pPr>
            <w:r w:rsidRPr="00C63AC0">
              <w:rPr>
                <w:rFonts w:eastAsia="Times New Roman"/>
                <w:b/>
                <w:iCs/>
                <w:color w:val="000000"/>
                <w:sz w:val="20"/>
                <w:lang w:eastAsia="tr-TR"/>
              </w:rPr>
              <w:t>48.S</w:t>
            </w:r>
            <w:r w:rsidR="00C63AC0" w:rsidRPr="00C63AC0">
              <w:rPr>
                <w:rFonts w:eastAsia="Times New Roman"/>
                <w:b/>
                <w:iCs/>
                <w:color w:val="000000"/>
                <w:sz w:val="20"/>
                <w:lang w:eastAsia="tr-TR"/>
              </w:rPr>
              <w:t>aat</w:t>
            </w:r>
          </w:p>
        </w:tc>
      </w:tr>
      <w:tr w:rsidR="002827AB" w:rsidRPr="002827AB" w:rsidTr="00C63AC0">
        <w:trPr>
          <w:trHeight w:val="300"/>
        </w:trPr>
        <w:tc>
          <w:tcPr>
            <w:tcW w:w="1686" w:type="dxa"/>
            <w:tcBorders>
              <w:top w:val="single" w:sz="4" w:space="0" w:color="auto"/>
            </w:tcBorders>
            <w:noWrap/>
            <w:hideMark/>
          </w:tcPr>
          <w:p w:rsidR="002827AB" w:rsidRPr="00C63AC0" w:rsidRDefault="002827AB" w:rsidP="002827AB">
            <w:pPr>
              <w:spacing w:line="240" w:lineRule="auto"/>
              <w:ind w:firstLine="0"/>
              <w:jc w:val="center"/>
              <w:rPr>
                <w:rFonts w:eastAsia="Times New Roman"/>
                <w:b/>
                <w:iCs/>
                <w:sz w:val="18"/>
                <w:lang w:eastAsia="tr-TR"/>
              </w:rPr>
            </w:pPr>
            <w:r w:rsidRPr="00C63AC0">
              <w:rPr>
                <w:rFonts w:eastAsia="Times New Roman"/>
                <w:b/>
                <w:iCs/>
                <w:sz w:val="18"/>
                <w:lang w:eastAsia="tr-TR"/>
              </w:rPr>
              <w:t>0mM</w:t>
            </w:r>
          </w:p>
        </w:tc>
        <w:tc>
          <w:tcPr>
            <w:tcW w:w="1794" w:type="dxa"/>
            <w:tcBorders>
              <w:top w:val="single" w:sz="4" w:space="0" w:color="auto"/>
            </w:tcBorders>
            <w:noWrap/>
            <w:hideMark/>
          </w:tcPr>
          <w:p w:rsidR="002827AB" w:rsidRPr="00C63AC0" w:rsidRDefault="002827AB" w:rsidP="001B5AA1">
            <w:pPr>
              <w:spacing w:line="240" w:lineRule="auto"/>
              <w:ind w:firstLine="0"/>
              <w:jc w:val="center"/>
              <w:rPr>
                <w:rFonts w:eastAsia="Times New Roman"/>
                <w:iCs/>
                <w:sz w:val="18"/>
                <w:lang w:eastAsia="tr-TR"/>
              </w:rPr>
            </w:pPr>
            <w:r w:rsidRPr="00C63AC0">
              <w:rPr>
                <w:rFonts w:eastAsia="Times New Roman"/>
                <w:iCs/>
                <w:sz w:val="18"/>
                <w:lang w:eastAsia="tr-TR"/>
              </w:rPr>
              <w:t>206</w:t>
            </w:r>
            <w:r w:rsidRPr="00C63AC0">
              <w:rPr>
                <w:rFonts w:eastAsia="Times New Roman"/>
                <w:sz w:val="18"/>
                <w:lang w:eastAsia="tr-TR"/>
              </w:rPr>
              <w:t>±</w:t>
            </w:r>
            <w:r w:rsidR="002D6393" w:rsidRPr="00C63AC0">
              <w:rPr>
                <w:rFonts w:eastAsia="Times New Roman"/>
                <w:sz w:val="18"/>
                <w:lang w:eastAsia="tr-TR"/>
              </w:rPr>
              <w:t>0,55</w:t>
            </w:r>
            <w:r w:rsidRPr="00C63AC0">
              <w:rPr>
                <w:rFonts w:eastAsia="Times New Roman"/>
                <w:iCs/>
                <w:sz w:val="18"/>
                <w:vertAlign w:val="superscript"/>
                <w:lang w:eastAsia="tr-TR"/>
              </w:rPr>
              <w:t>aA</w:t>
            </w:r>
          </w:p>
        </w:tc>
        <w:tc>
          <w:tcPr>
            <w:tcW w:w="1795" w:type="dxa"/>
            <w:tcBorders>
              <w:top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208±0,56</w:t>
            </w:r>
            <w:r w:rsidR="002827AB" w:rsidRPr="00C63AC0">
              <w:rPr>
                <w:rFonts w:eastAsia="Times New Roman"/>
                <w:iCs/>
                <w:sz w:val="18"/>
                <w:vertAlign w:val="superscript"/>
                <w:lang w:eastAsia="tr-TR"/>
              </w:rPr>
              <w:t>aA</w:t>
            </w:r>
          </w:p>
        </w:tc>
        <w:tc>
          <w:tcPr>
            <w:tcW w:w="1795" w:type="dxa"/>
            <w:tcBorders>
              <w:top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212±0,71</w:t>
            </w:r>
            <w:r w:rsidR="002827AB" w:rsidRPr="00C63AC0">
              <w:rPr>
                <w:rFonts w:eastAsia="Times New Roman"/>
                <w:iCs/>
                <w:sz w:val="18"/>
                <w:vertAlign w:val="superscript"/>
                <w:lang w:eastAsia="tr-TR"/>
              </w:rPr>
              <w:t>aA</w:t>
            </w:r>
          </w:p>
        </w:tc>
        <w:tc>
          <w:tcPr>
            <w:tcW w:w="1795" w:type="dxa"/>
            <w:tcBorders>
              <w:top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210±0,55</w:t>
            </w:r>
            <w:r w:rsidR="002827AB" w:rsidRPr="00C63AC0">
              <w:rPr>
                <w:rFonts w:eastAsia="Times New Roman"/>
                <w:iCs/>
                <w:sz w:val="18"/>
                <w:vertAlign w:val="superscript"/>
                <w:lang w:eastAsia="tr-TR"/>
              </w:rPr>
              <w:t>aA</w:t>
            </w:r>
          </w:p>
        </w:tc>
      </w:tr>
      <w:tr w:rsidR="002827AB" w:rsidRPr="002827AB" w:rsidTr="00C63AC0">
        <w:trPr>
          <w:trHeight w:val="300"/>
        </w:trPr>
        <w:tc>
          <w:tcPr>
            <w:tcW w:w="1686" w:type="dxa"/>
            <w:noWrap/>
            <w:hideMark/>
          </w:tcPr>
          <w:p w:rsidR="002827AB" w:rsidRPr="00C63AC0" w:rsidRDefault="002827AB" w:rsidP="002827AB">
            <w:pPr>
              <w:spacing w:line="240" w:lineRule="auto"/>
              <w:ind w:firstLine="0"/>
              <w:jc w:val="center"/>
              <w:rPr>
                <w:rFonts w:eastAsia="Times New Roman"/>
                <w:b/>
                <w:iCs/>
                <w:sz w:val="18"/>
                <w:lang w:eastAsia="tr-TR"/>
              </w:rPr>
            </w:pPr>
            <w:r w:rsidRPr="00C63AC0">
              <w:rPr>
                <w:rFonts w:eastAsia="Times New Roman"/>
                <w:b/>
                <w:iCs/>
                <w:sz w:val="18"/>
                <w:lang w:eastAsia="tr-TR"/>
              </w:rPr>
              <w:t>5.5mM</w:t>
            </w:r>
          </w:p>
        </w:tc>
        <w:tc>
          <w:tcPr>
            <w:tcW w:w="1794"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196±0,59</w:t>
            </w:r>
            <w:r w:rsidR="002827AB" w:rsidRPr="00C63AC0">
              <w:rPr>
                <w:rFonts w:eastAsia="Times New Roman"/>
                <w:iCs/>
                <w:sz w:val="18"/>
                <w:vertAlign w:val="superscript"/>
                <w:lang w:eastAsia="tr-TR"/>
              </w:rPr>
              <w:t>aB</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160±0,55</w:t>
            </w:r>
            <w:r w:rsidR="002827AB" w:rsidRPr="00C63AC0">
              <w:rPr>
                <w:rFonts w:eastAsia="Times New Roman"/>
                <w:iCs/>
                <w:sz w:val="18"/>
                <w:vertAlign w:val="superscript"/>
                <w:lang w:eastAsia="tr-TR"/>
              </w:rPr>
              <w:t>bB</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118±0,53</w:t>
            </w:r>
            <w:r w:rsidR="002827AB" w:rsidRPr="00C63AC0">
              <w:rPr>
                <w:rFonts w:eastAsia="Times New Roman"/>
                <w:iCs/>
                <w:sz w:val="18"/>
                <w:vertAlign w:val="superscript"/>
                <w:lang w:eastAsia="tr-TR"/>
              </w:rPr>
              <w:t>cB</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126±0,57</w:t>
            </w:r>
            <w:r w:rsidR="002827AB" w:rsidRPr="00C63AC0">
              <w:rPr>
                <w:rFonts w:eastAsia="Times New Roman"/>
                <w:iCs/>
                <w:sz w:val="18"/>
                <w:vertAlign w:val="superscript"/>
                <w:lang w:eastAsia="tr-TR"/>
              </w:rPr>
              <w:t>dB</w:t>
            </w:r>
          </w:p>
        </w:tc>
      </w:tr>
      <w:tr w:rsidR="002827AB" w:rsidRPr="002827AB" w:rsidTr="00C63AC0">
        <w:trPr>
          <w:trHeight w:val="300"/>
        </w:trPr>
        <w:tc>
          <w:tcPr>
            <w:tcW w:w="1686" w:type="dxa"/>
            <w:noWrap/>
            <w:hideMark/>
          </w:tcPr>
          <w:p w:rsidR="002827AB" w:rsidRPr="00C63AC0" w:rsidRDefault="002827AB" w:rsidP="002827AB">
            <w:pPr>
              <w:spacing w:line="240" w:lineRule="auto"/>
              <w:ind w:firstLine="0"/>
              <w:jc w:val="center"/>
              <w:rPr>
                <w:rFonts w:eastAsia="Times New Roman"/>
                <w:b/>
                <w:iCs/>
                <w:sz w:val="18"/>
                <w:lang w:eastAsia="tr-TR"/>
              </w:rPr>
            </w:pPr>
            <w:r w:rsidRPr="00C63AC0">
              <w:rPr>
                <w:rFonts w:eastAsia="Times New Roman"/>
                <w:b/>
                <w:iCs/>
                <w:sz w:val="18"/>
                <w:lang w:eastAsia="tr-TR"/>
              </w:rPr>
              <w:t>15mM</w:t>
            </w:r>
          </w:p>
        </w:tc>
        <w:tc>
          <w:tcPr>
            <w:tcW w:w="1794"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92±</w:t>
            </w:r>
            <w:r w:rsidR="008A6A80" w:rsidRPr="00C63AC0">
              <w:rPr>
                <w:rFonts w:eastAsia="Times New Roman"/>
                <w:iCs/>
                <w:sz w:val="18"/>
                <w:lang w:eastAsia="tr-TR"/>
              </w:rPr>
              <w:t>0,5</w:t>
            </w:r>
            <w:r w:rsidRPr="00C63AC0">
              <w:rPr>
                <w:rFonts w:eastAsia="Times New Roman"/>
                <w:iCs/>
                <w:sz w:val="18"/>
                <w:lang w:eastAsia="tr-TR"/>
              </w:rPr>
              <w:t>4</w:t>
            </w:r>
            <w:r w:rsidR="002827AB" w:rsidRPr="00C63AC0">
              <w:rPr>
                <w:rFonts w:eastAsia="Times New Roman"/>
                <w:iCs/>
                <w:sz w:val="18"/>
                <w:vertAlign w:val="superscript"/>
                <w:lang w:eastAsia="tr-TR"/>
              </w:rPr>
              <w:t>aC</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246±0,57</w:t>
            </w:r>
            <w:r w:rsidR="002827AB" w:rsidRPr="00C63AC0">
              <w:rPr>
                <w:rFonts w:eastAsia="Times New Roman"/>
                <w:iCs/>
                <w:sz w:val="18"/>
                <w:vertAlign w:val="superscript"/>
                <w:lang w:eastAsia="tr-TR"/>
              </w:rPr>
              <w:t>bC</w:t>
            </w:r>
          </w:p>
        </w:tc>
        <w:tc>
          <w:tcPr>
            <w:tcW w:w="1795" w:type="dxa"/>
            <w:noWrap/>
            <w:hideMark/>
          </w:tcPr>
          <w:p w:rsidR="002827AB" w:rsidRPr="00C63AC0" w:rsidRDefault="002D6393" w:rsidP="009E6235">
            <w:pPr>
              <w:spacing w:line="240" w:lineRule="auto"/>
              <w:ind w:firstLine="0"/>
              <w:jc w:val="center"/>
              <w:rPr>
                <w:rFonts w:eastAsia="Times New Roman"/>
                <w:iCs/>
                <w:sz w:val="18"/>
                <w:lang w:eastAsia="tr-TR"/>
              </w:rPr>
            </w:pPr>
            <w:r w:rsidRPr="00C63AC0">
              <w:rPr>
                <w:rFonts w:eastAsia="Times New Roman"/>
                <w:iCs/>
                <w:sz w:val="18"/>
                <w:lang w:eastAsia="tr-TR"/>
              </w:rPr>
              <w:t>62±0,52</w:t>
            </w:r>
            <w:r w:rsidR="009E6235" w:rsidRPr="00C63AC0">
              <w:rPr>
                <w:rFonts w:eastAsia="Times New Roman"/>
                <w:iCs/>
                <w:sz w:val="18"/>
                <w:vertAlign w:val="superscript"/>
                <w:lang w:eastAsia="tr-TR"/>
              </w:rPr>
              <w:t>c</w:t>
            </w:r>
            <w:r w:rsidR="002827AB" w:rsidRPr="00C63AC0">
              <w:rPr>
                <w:rFonts w:eastAsia="Times New Roman"/>
                <w:iCs/>
                <w:sz w:val="18"/>
                <w:vertAlign w:val="superscript"/>
                <w:lang w:eastAsia="tr-TR"/>
              </w:rPr>
              <w:t>C</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240±0,59</w:t>
            </w:r>
            <w:r w:rsidR="002827AB" w:rsidRPr="00C63AC0">
              <w:rPr>
                <w:rFonts w:eastAsia="Times New Roman"/>
                <w:iCs/>
                <w:sz w:val="18"/>
                <w:vertAlign w:val="superscript"/>
                <w:lang w:eastAsia="tr-TR"/>
              </w:rPr>
              <w:t>bC</w:t>
            </w:r>
          </w:p>
        </w:tc>
      </w:tr>
      <w:tr w:rsidR="002827AB" w:rsidRPr="002827AB" w:rsidTr="00324B03">
        <w:trPr>
          <w:trHeight w:val="300"/>
        </w:trPr>
        <w:tc>
          <w:tcPr>
            <w:tcW w:w="1686" w:type="dxa"/>
            <w:tcBorders>
              <w:bottom w:val="single" w:sz="4" w:space="0" w:color="auto"/>
            </w:tcBorders>
            <w:noWrap/>
            <w:hideMark/>
          </w:tcPr>
          <w:p w:rsidR="002827AB" w:rsidRPr="00C63AC0" w:rsidRDefault="002827AB" w:rsidP="002827AB">
            <w:pPr>
              <w:spacing w:line="240" w:lineRule="auto"/>
              <w:ind w:firstLine="0"/>
              <w:jc w:val="center"/>
              <w:rPr>
                <w:rFonts w:eastAsia="Times New Roman"/>
                <w:b/>
                <w:iCs/>
                <w:sz w:val="18"/>
                <w:lang w:eastAsia="tr-TR"/>
              </w:rPr>
            </w:pPr>
            <w:r w:rsidRPr="00C63AC0">
              <w:rPr>
                <w:rFonts w:eastAsia="Times New Roman"/>
                <w:b/>
                <w:iCs/>
                <w:sz w:val="18"/>
                <w:lang w:eastAsia="tr-TR"/>
              </w:rPr>
              <w:t>55mM</w:t>
            </w:r>
          </w:p>
        </w:tc>
        <w:tc>
          <w:tcPr>
            <w:tcW w:w="1794" w:type="dxa"/>
            <w:tcBorders>
              <w:bottom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154±0,54</w:t>
            </w:r>
            <w:r w:rsidR="002827AB" w:rsidRPr="00C63AC0">
              <w:rPr>
                <w:rFonts w:eastAsia="Times New Roman"/>
                <w:iCs/>
                <w:sz w:val="18"/>
                <w:vertAlign w:val="superscript"/>
                <w:lang w:eastAsia="tr-TR"/>
              </w:rPr>
              <w:t>aD</w:t>
            </w:r>
          </w:p>
        </w:tc>
        <w:tc>
          <w:tcPr>
            <w:tcW w:w="1795" w:type="dxa"/>
            <w:tcBorders>
              <w:bottom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288±0,58</w:t>
            </w:r>
            <w:r w:rsidR="002827AB" w:rsidRPr="00C63AC0">
              <w:rPr>
                <w:rFonts w:eastAsia="Times New Roman"/>
                <w:iCs/>
                <w:sz w:val="18"/>
                <w:vertAlign w:val="superscript"/>
                <w:lang w:eastAsia="tr-TR"/>
              </w:rPr>
              <w:t>bD</w:t>
            </w:r>
          </w:p>
        </w:tc>
        <w:tc>
          <w:tcPr>
            <w:tcW w:w="1795" w:type="dxa"/>
            <w:tcBorders>
              <w:bottom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126±0,61</w:t>
            </w:r>
            <w:r w:rsidR="002827AB" w:rsidRPr="00C63AC0">
              <w:rPr>
                <w:rFonts w:eastAsia="Times New Roman"/>
                <w:iCs/>
                <w:sz w:val="18"/>
                <w:vertAlign w:val="superscript"/>
                <w:lang w:eastAsia="tr-TR"/>
              </w:rPr>
              <w:t>cD</w:t>
            </w:r>
          </w:p>
        </w:tc>
        <w:tc>
          <w:tcPr>
            <w:tcW w:w="1795" w:type="dxa"/>
            <w:tcBorders>
              <w:bottom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232±0,78</w:t>
            </w:r>
            <w:r w:rsidR="009E6235" w:rsidRPr="00C63AC0">
              <w:rPr>
                <w:rFonts w:eastAsia="Times New Roman"/>
                <w:iCs/>
                <w:sz w:val="18"/>
                <w:vertAlign w:val="superscript"/>
                <w:lang w:eastAsia="tr-TR"/>
              </w:rPr>
              <w:t>d</w:t>
            </w:r>
            <w:r w:rsidR="002827AB" w:rsidRPr="00C63AC0">
              <w:rPr>
                <w:rFonts w:eastAsia="Times New Roman"/>
                <w:iCs/>
                <w:sz w:val="18"/>
                <w:vertAlign w:val="superscript"/>
                <w:lang w:eastAsia="tr-TR"/>
              </w:rPr>
              <w:t>D</w:t>
            </w:r>
          </w:p>
        </w:tc>
      </w:tr>
      <w:tr w:rsidR="002827AB" w:rsidRPr="002827AB" w:rsidTr="00324B03">
        <w:trPr>
          <w:trHeight w:val="300"/>
        </w:trPr>
        <w:tc>
          <w:tcPr>
            <w:tcW w:w="1686" w:type="dxa"/>
            <w:tcBorders>
              <w:top w:val="single" w:sz="4" w:space="0" w:color="auto"/>
              <w:bottom w:val="single" w:sz="4" w:space="0" w:color="auto"/>
            </w:tcBorders>
            <w:noWrap/>
            <w:hideMark/>
          </w:tcPr>
          <w:p w:rsidR="002827AB" w:rsidRPr="00C63AC0" w:rsidRDefault="002827AB" w:rsidP="002827AB">
            <w:pPr>
              <w:spacing w:line="240" w:lineRule="auto"/>
              <w:ind w:firstLine="0"/>
              <w:jc w:val="center"/>
              <w:rPr>
                <w:rFonts w:eastAsia="Times New Roman"/>
                <w:b/>
                <w:iCs/>
                <w:sz w:val="20"/>
                <w:lang w:eastAsia="tr-TR"/>
              </w:rPr>
            </w:pPr>
            <w:r w:rsidRPr="00C63AC0">
              <w:rPr>
                <w:rFonts w:eastAsia="Times New Roman"/>
                <w:b/>
                <w:iCs/>
                <w:sz w:val="20"/>
                <w:lang w:eastAsia="tr-TR"/>
              </w:rPr>
              <w:t>H</w:t>
            </w:r>
            <w:r w:rsidR="00C63AC0" w:rsidRPr="00C63AC0">
              <w:rPr>
                <w:rFonts w:eastAsia="Times New Roman"/>
                <w:b/>
                <w:iCs/>
                <w:sz w:val="20"/>
                <w:lang w:eastAsia="tr-TR"/>
              </w:rPr>
              <w:t>ipoksi</w:t>
            </w:r>
          </w:p>
        </w:tc>
        <w:tc>
          <w:tcPr>
            <w:tcW w:w="1794" w:type="dxa"/>
            <w:tcBorders>
              <w:top w:val="single" w:sz="4" w:space="0" w:color="auto"/>
              <w:bottom w:val="single" w:sz="4" w:space="0" w:color="auto"/>
            </w:tcBorders>
            <w:noWrap/>
            <w:hideMark/>
          </w:tcPr>
          <w:p w:rsidR="002827AB" w:rsidRPr="00C63AC0" w:rsidRDefault="002827AB" w:rsidP="001B5AA1">
            <w:pPr>
              <w:spacing w:line="240" w:lineRule="auto"/>
              <w:ind w:firstLine="0"/>
              <w:jc w:val="center"/>
              <w:rPr>
                <w:rFonts w:eastAsia="Times New Roman"/>
                <w:b/>
                <w:bCs/>
                <w:iCs/>
                <w:sz w:val="20"/>
                <w:lang w:eastAsia="tr-TR"/>
              </w:rPr>
            </w:pPr>
            <w:r w:rsidRPr="00C63AC0">
              <w:rPr>
                <w:rFonts w:eastAsia="Times New Roman"/>
                <w:b/>
                <w:bCs/>
                <w:iCs/>
                <w:sz w:val="20"/>
                <w:lang w:eastAsia="tr-TR"/>
              </w:rPr>
              <w:t>6.S</w:t>
            </w:r>
            <w:r w:rsidR="00C63AC0" w:rsidRPr="00C63AC0">
              <w:rPr>
                <w:rFonts w:eastAsia="Times New Roman"/>
                <w:b/>
                <w:bCs/>
                <w:iCs/>
                <w:sz w:val="20"/>
                <w:lang w:eastAsia="tr-TR"/>
              </w:rPr>
              <w:t>aat</w:t>
            </w:r>
          </w:p>
        </w:tc>
        <w:tc>
          <w:tcPr>
            <w:tcW w:w="1795" w:type="dxa"/>
            <w:tcBorders>
              <w:top w:val="single" w:sz="4" w:space="0" w:color="auto"/>
              <w:bottom w:val="single" w:sz="4" w:space="0" w:color="auto"/>
            </w:tcBorders>
            <w:noWrap/>
            <w:hideMark/>
          </w:tcPr>
          <w:p w:rsidR="002827AB" w:rsidRPr="00C63AC0" w:rsidRDefault="002827AB" w:rsidP="001B5AA1">
            <w:pPr>
              <w:spacing w:line="240" w:lineRule="auto"/>
              <w:ind w:firstLine="0"/>
              <w:jc w:val="center"/>
              <w:rPr>
                <w:rFonts w:eastAsia="Times New Roman"/>
                <w:b/>
                <w:bCs/>
                <w:iCs/>
                <w:sz w:val="20"/>
                <w:lang w:eastAsia="tr-TR"/>
              </w:rPr>
            </w:pPr>
            <w:r w:rsidRPr="00C63AC0">
              <w:rPr>
                <w:rFonts w:eastAsia="Times New Roman"/>
                <w:b/>
                <w:bCs/>
                <w:iCs/>
                <w:sz w:val="20"/>
                <w:lang w:eastAsia="tr-TR"/>
              </w:rPr>
              <w:t>12.S</w:t>
            </w:r>
            <w:r w:rsidR="00C63AC0" w:rsidRPr="00C63AC0">
              <w:rPr>
                <w:rFonts w:eastAsia="Times New Roman"/>
                <w:b/>
                <w:bCs/>
                <w:iCs/>
                <w:sz w:val="20"/>
                <w:lang w:eastAsia="tr-TR"/>
              </w:rPr>
              <w:t>aat</w:t>
            </w:r>
          </w:p>
        </w:tc>
        <w:tc>
          <w:tcPr>
            <w:tcW w:w="1795" w:type="dxa"/>
            <w:tcBorders>
              <w:top w:val="single" w:sz="4" w:space="0" w:color="auto"/>
              <w:bottom w:val="single" w:sz="4" w:space="0" w:color="auto"/>
            </w:tcBorders>
            <w:noWrap/>
            <w:hideMark/>
          </w:tcPr>
          <w:p w:rsidR="002827AB" w:rsidRPr="00C63AC0" w:rsidRDefault="002827AB" w:rsidP="001B5AA1">
            <w:pPr>
              <w:spacing w:line="240" w:lineRule="auto"/>
              <w:ind w:firstLine="0"/>
              <w:jc w:val="center"/>
              <w:rPr>
                <w:rFonts w:eastAsia="Times New Roman"/>
                <w:b/>
                <w:bCs/>
                <w:iCs/>
                <w:sz w:val="20"/>
                <w:lang w:eastAsia="tr-TR"/>
              </w:rPr>
            </w:pPr>
            <w:r w:rsidRPr="00C63AC0">
              <w:rPr>
                <w:rFonts w:eastAsia="Times New Roman"/>
                <w:b/>
                <w:bCs/>
                <w:iCs/>
                <w:sz w:val="20"/>
                <w:lang w:eastAsia="tr-TR"/>
              </w:rPr>
              <w:t>24.S</w:t>
            </w:r>
            <w:r w:rsidR="00C63AC0" w:rsidRPr="00C63AC0">
              <w:rPr>
                <w:rFonts w:eastAsia="Times New Roman"/>
                <w:b/>
                <w:bCs/>
                <w:iCs/>
                <w:sz w:val="20"/>
                <w:lang w:eastAsia="tr-TR"/>
              </w:rPr>
              <w:t>aat</w:t>
            </w:r>
          </w:p>
        </w:tc>
        <w:tc>
          <w:tcPr>
            <w:tcW w:w="1795" w:type="dxa"/>
            <w:tcBorders>
              <w:top w:val="single" w:sz="4" w:space="0" w:color="auto"/>
              <w:bottom w:val="single" w:sz="4" w:space="0" w:color="auto"/>
            </w:tcBorders>
            <w:noWrap/>
            <w:hideMark/>
          </w:tcPr>
          <w:p w:rsidR="002827AB" w:rsidRPr="00C63AC0" w:rsidRDefault="002827AB" w:rsidP="001B5AA1">
            <w:pPr>
              <w:spacing w:line="240" w:lineRule="auto"/>
              <w:ind w:firstLine="0"/>
              <w:jc w:val="center"/>
              <w:rPr>
                <w:rFonts w:eastAsia="Times New Roman"/>
                <w:b/>
                <w:bCs/>
                <w:iCs/>
                <w:sz w:val="20"/>
                <w:lang w:eastAsia="tr-TR"/>
              </w:rPr>
            </w:pPr>
            <w:r w:rsidRPr="00C63AC0">
              <w:rPr>
                <w:rFonts w:eastAsia="Times New Roman"/>
                <w:b/>
                <w:bCs/>
                <w:iCs/>
                <w:sz w:val="20"/>
                <w:lang w:eastAsia="tr-TR"/>
              </w:rPr>
              <w:t>48.S</w:t>
            </w:r>
            <w:r w:rsidR="00C63AC0" w:rsidRPr="00C63AC0">
              <w:rPr>
                <w:rFonts w:eastAsia="Times New Roman"/>
                <w:b/>
                <w:bCs/>
                <w:iCs/>
                <w:sz w:val="20"/>
                <w:lang w:eastAsia="tr-TR"/>
              </w:rPr>
              <w:t>aat</w:t>
            </w:r>
          </w:p>
        </w:tc>
      </w:tr>
      <w:tr w:rsidR="002827AB" w:rsidRPr="002827AB" w:rsidTr="00C63AC0">
        <w:trPr>
          <w:trHeight w:val="300"/>
        </w:trPr>
        <w:tc>
          <w:tcPr>
            <w:tcW w:w="1686" w:type="dxa"/>
            <w:tcBorders>
              <w:top w:val="single" w:sz="4" w:space="0" w:color="auto"/>
            </w:tcBorders>
            <w:noWrap/>
            <w:hideMark/>
          </w:tcPr>
          <w:p w:rsidR="002827AB" w:rsidRPr="00C63AC0" w:rsidRDefault="002827AB" w:rsidP="002827AB">
            <w:pPr>
              <w:spacing w:line="240" w:lineRule="auto"/>
              <w:ind w:firstLine="0"/>
              <w:jc w:val="center"/>
              <w:rPr>
                <w:rFonts w:eastAsia="Times New Roman"/>
                <w:b/>
                <w:iCs/>
                <w:sz w:val="18"/>
                <w:lang w:eastAsia="tr-TR"/>
              </w:rPr>
            </w:pPr>
            <w:r w:rsidRPr="00C63AC0">
              <w:rPr>
                <w:rFonts w:eastAsia="Times New Roman"/>
                <w:b/>
                <w:iCs/>
                <w:sz w:val="18"/>
                <w:lang w:eastAsia="tr-TR"/>
              </w:rPr>
              <w:t>0mM</w:t>
            </w:r>
          </w:p>
        </w:tc>
        <w:tc>
          <w:tcPr>
            <w:tcW w:w="1794" w:type="dxa"/>
            <w:tcBorders>
              <w:top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130±</w:t>
            </w:r>
            <w:r w:rsidR="008A6A80" w:rsidRPr="00C63AC0">
              <w:rPr>
                <w:rFonts w:eastAsia="Times New Roman"/>
                <w:iCs/>
                <w:sz w:val="18"/>
                <w:lang w:eastAsia="tr-TR"/>
              </w:rPr>
              <w:t>0,5</w:t>
            </w:r>
            <w:r w:rsidRPr="00C63AC0">
              <w:rPr>
                <w:rFonts w:eastAsia="Times New Roman"/>
                <w:iCs/>
                <w:sz w:val="18"/>
                <w:lang w:eastAsia="tr-TR"/>
              </w:rPr>
              <w:t>8</w:t>
            </w:r>
            <w:r w:rsidR="002827AB" w:rsidRPr="00C63AC0">
              <w:rPr>
                <w:rFonts w:eastAsia="Times New Roman"/>
                <w:iCs/>
                <w:sz w:val="18"/>
                <w:vertAlign w:val="superscript"/>
                <w:lang w:eastAsia="tr-TR"/>
              </w:rPr>
              <w:t>aA</w:t>
            </w:r>
          </w:p>
        </w:tc>
        <w:tc>
          <w:tcPr>
            <w:tcW w:w="1795" w:type="dxa"/>
            <w:tcBorders>
              <w:top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278±</w:t>
            </w:r>
            <w:r w:rsidR="008A6A80" w:rsidRPr="00C63AC0">
              <w:rPr>
                <w:rFonts w:eastAsia="Times New Roman"/>
                <w:iCs/>
                <w:sz w:val="18"/>
                <w:lang w:eastAsia="tr-TR"/>
              </w:rPr>
              <w:t>0,5</w:t>
            </w:r>
            <w:r w:rsidRPr="00C63AC0">
              <w:rPr>
                <w:rFonts w:eastAsia="Times New Roman"/>
                <w:iCs/>
                <w:sz w:val="18"/>
                <w:lang w:eastAsia="tr-TR"/>
              </w:rPr>
              <w:t>4</w:t>
            </w:r>
            <w:r w:rsidR="002827AB" w:rsidRPr="00C63AC0">
              <w:rPr>
                <w:rFonts w:eastAsia="Times New Roman"/>
                <w:iCs/>
                <w:sz w:val="18"/>
                <w:vertAlign w:val="superscript"/>
                <w:lang w:eastAsia="tr-TR"/>
              </w:rPr>
              <w:t>A</w:t>
            </w:r>
          </w:p>
        </w:tc>
        <w:tc>
          <w:tcPr>
            <w:tcW w:w="1795" w:type="dxa"/>
            <w:tcBorders>
              <w:top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106±0,58</w:t>
            </w:r>
            <w:r w:rsidR="002827AB" w:rsidRPr="00C63AC0">
              <w:rPr>
                <w:rFonts w:eastAsia="Times New Roman"/>
                <w:iCs/>
                <w:sz w:val="18"/>
                <w:vertAlign w:val="superscript"/>
                <w:lang w:eastAsia="tr-TR"/>
              </w:rPr>
              <w:t>cA</w:t>
            </w:r>
          </w:p>
        </w:tc>
        <w:tc>
          <w:tcPr>
            <w:tcW w:w="1795" w:type="dxa"/>
            <w:tcBorders>
              <w:top w:val="single" w:sz="4" w:space="0" w:color="auto"/>
            </w:tcBorders>
            <w:noWrap/>
            <w:hideMark/>
          </w:tcPr>
          <w:p w:rsidR="002827AB" w:rsidRPr="00C63AC0" w:rsidRDefault="002D6393" w:rsidP="001B5AA1">
            <w:pPr>
              <w:spacing w:line="240" w:lineRule="auto"/>
              <w:ind w:firstLine="0"/>
              <w:jc w:val="center"/>
              <w:rPr>
                <w:rFonts w:eastAsia="Times New Roman"/>
                <w:iCs/>
                <w:sz w:val="18"/>
                <w:vertAlign w:val="superscript"/>
                <w:lang w:eastAsia="tr-TR"/>
              </w:rPr>
            </w:pPr>
            <w:r w:rsidRPr="00C63AC0">
              <w:rPr>
                <w:rFonts w:eastAsia="Times New Roman"/>
                <w:iCs/>
                <w:sz w:val="18"/>
                <w:lang w:eastAsia="tr-TR"/>
              </w:rPr>
              <w:t>198±0,77</w:t>
            </w:r>
            <w:r w:rsidR="002827AB" w:rsidRPr="00C63AC0">
              <w:rPr>
                <w:rFonts w:eastAsia="Times New Roman"/>
                <w:iCs/>
                <w:sz w:val="18"/>
                <w:vertAlign w:val="superscript"/>
                <w:lang w:eastAsia="tr-TR"/>
              </w:rPr>
              <w:t>dA</w:t>
            </w:r>
          </w:p>
        </w:tc>
      </w:tr>
      <w:tr w:rsidR="002827AB" w:rsidRPr="002827AB" w:rsidTr="00C63AC0">
        <w:trPr>
          <w:trHeight w:val="300"/>
        </w:trPr>
        <w:tc>
          <w:tcPr>
            <w:tcW w:w="1686" w:type="dxa"/>
            <w:noWrap/>
            <w:hideMark/>
          </w:tcPr>
          <w:p w:rsidR="002827AB" w:rsidRPr="00C63AC0" w:rsidRDefault="002827AB" w:rsidP="002827AB">
            <w:pPr>
              <w:spacing w:line="240" w:lineRule="auto"/>
              <w:ind w:firstLine="0"/>
              <w:jc w:val="center"/>
              <w:rPr>
                <w:rFonts w:eastAsia="Times New Roman"/>
                <w:b/>
                <w:iCs/>
                <w:sz w:val="18"/>
                <w:lang w:eastAsia="tr-TR"/>
              </w:rPr>
            </w:pPr>
            <w:r w:rsidRPr="00C63AC0">
              <w:rPr>
                <w:rFonts w:eastAsia="Times New Roman"/>
                <w:b/>
                <w:iCs/>
                <w:sz w:val="18"/>
                <w:lang w:eastAsia="tr-TR"/>
              </w:rPr>
              <w:t>5.5mM</w:t>
            </w:r>
          </w:p>
        </w:tc>
        <w:tc>
          <w:tcPr>
            <w:tcW w:w="1794"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102±</w:t>
            </w:r>
            <w:r w:rsidR="008A6A80" w:rsidRPr="00C63AC0">
              <w:rPr>
                <w:rFonts w:eastAsia="Times New Roman"/>
                <w:iCs/>
                <w:sz w:val="18"/>
                <w:lang w:eastAsia="tr-TR"/>
              </w:rPr>
              <w:t>0,5</w:t>
            </w:r>
            <w:r w:rsidRPr="00C63AC0">
              <w:rPr>
                <w:rFonts w:eastAsia="Times New Roman"/>
                <w:iCs/>
                <w:sz w:val="18"/>
                <w:lang w:eastAsia="tr-TR"/>
              </w:rPr>
              <w:t>5</w:t>
            </w:r>
            <w:r w:rsidR="002827AB" w:rsidRPr="00C63AC0">
              <w:rPr>
                <w:rFonts w:eastAsia="Times New Roman"/>
                <w:iCs/>
                <w:sz w:val="18"/>
                <w:vertAlign w:val="superscript"/>
                <w:lang w:eastAsia="tr-TR"/>
              </w:rPr>
              <w:t>aB</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134±0,55</w:t>
            </w:r>
            <w:r w:rsidR="002827AB" w:rsidRPr="00C63AC0">
              <w:rPr>
                <w:rFonts w:eastAsia="Times New Roman"/>
                <w:iCs/>
                <w:sz w:val="18"/>
                <w:vertAlign w:val="superscript"/>
                <w:lang w:eastAsia="tr-TR"/>
              </w:rPr>
              <w:t>bB</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208±</w:t>
            </w:r>
            <w:r w:rsidR="008A6A80" w:rsidRPr="00C63AC0">
              <w:rPr>
                <w:rFonts w:eastAsia="Times New Roman"/>
                <w:iCs/>
                <w:sz w:val="18"/>
                <w:lang w:eastAsia="tr-TR"/>
              </w:rPr>
              <w:t>0,5</w:t>
            </w:r>
            <w:r w:rsidRPr="00C63AC0">
              <w:rPr>
                <w:rFonts w:eastAsia="Times New Roman"/>
                <w:iCs/>
                <w:sz w:val="18"/>
                <w:lang w:eastAsia="tr-TR"/>
              </w:rPr>
              <w:t>8</w:t>
            </w:r>
            <w:r w:rsidR="002827AB" w:rsidRPr="00C63AC0">
              <w:rPr>
                <w:rFonts w:eastAsia="Times New Roman"/>
                <w:iCs/>
                <w:sz w:val="18"/>
                <w:vertAlign w:val="superscript"/>
                <w:lang w:eastAsia="tr-TR"/>
              </w:rPr>
              <w:t>cB</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196±0,66</w:t>
            </w:r>
            <w:r w:rsidR="002827AB" w:rsidRPr="00C63AC0">
              <w:rPr>
                <w:rFonts w:eastAsia="Times New Roman"/>
                <w:iCs/>
                <w:sz w:val="18"/>
                <w:vertAlign w:val="superscript"/>
                <w:lang w:eastAsia="tr-TR"/>
              </w:rPr>
              <w:t>dA</w:t>
            </w:r>
          </w:p>
        </w:tc>
      </w:tr>
      <w:tr w:rsidR="002827AB" w:rsidRPr="002827AB" w:rsidTr="009B055A">
        <w:trPr>
          <w:trHeight w:val="300"/>
        </w:trPr>
        <w:tc>
          <w:tcPr>
            <w:tcW w:w="1686" w:type="dxa"/>
            <w:noWrap/>
            <w:hideMark/>
          </w:tcPr>
          <w:p w:rsidR="002827AB" w:rsidRPr="00C63AC0" w:rsidRDefault="002827AB" w:rsidP="002827AB">
            <w:pPr>
              <w:spacing w:line="240" w:lineRule="auto"/>
              <w:ind w:firstLine="0"/>
              <w:jc w:val="center"/>
              <w:rPr>
                <w:rFonts w:eastAsia="Times New Roman"/>
                <w:b/>
                <w:iCs/>
                <w:sz w:val="18"/>
                <w:lang w:eastAsia="tr-TR"/>
              </w:rPr>
            </w:pPr>
            <w:r w:rsidRPr="00C63AC0">
              <w:rPr>
                <w:rFonts w:eastAsia="Times New Roman"/>
                <w:b/>
                <w:iCs/>
                <w:sz w:val="18"/>
                <w:lang w:eastAsia="tr-TR"/>
              </w:rPr>
              <w:t>15mM</w:t>
            </w:r>
          </w:p>
        </w:tc>
        <w:tc>
          <w:tcPr>
            <w:tcW w:w="1794"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130±0,45</w:t>
            </w:r>
            <w:r w:rsidR="002827AB" w:rsidRPr="00C63AC0">
              <w:rPr>
                <w:rFonts w:eastAsia="Times New Roman"/>
                <w:iCs/>
                <w:sz w:val="18"/>
                <w:vertAlign w:val="superscript"/>
                <w:lang w:eastAsia="tr-TR"/>
              </w:rPr>
              <w:t>aA</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66±0,54</w:t>
            </w:r>
            <w:r w:rsidR="002827AB" w:rsidRPr="00C63AC0">
              <w:rPr>
                <w:rFonts w:eastAsia="Times New Roman"/>
                <w:iCs/>
                <w:sz w:val="18"/>
                <w:vertAlign w:val="superscript"/>
                <w:lang w:eastAsia="tr-TR"/>
              </w:rPr>
              <w:t>bC</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188±0,57</w:t>
            </w:r>
            <w:r w:rsidR="009E6235" w:rsidRPr="00C63AC0">
              <w:rPr>
                <w:rFonts w:eastAsia="Times New Roman"/>
                <w:iCs/>
                <w:sz w:val="18"/>
                <w:vertAlign w:val="superscript"/>
                <w:lang w:eastAsia="tr-TR"/>
              </w:rPr>
              <w:t>c</w:t>
            </w:r>
            <w:r w:rsidR="002827AB" w:rsidRPr="00C63AC0">
              <w:rPr>
                <w:rFonts w:eastAsia="Times New Roman"/>
                <w:iCs/>
                <w:sz w:val="18"/>
                <w:vertAlign w:val="superscript"/>
                <w:lang w:eastAsia="tr-TR"/>
              </w:rPr>
              <w:t>C</w:t>
            </w:r>
          </w:p>
        </w:tc>
        <w:tc>
          <w:tcPr>
            <w:tcW w:w="1795" w:type="dxa"/>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146±0,</w:t>
            </w:r>
            <w:r w:rsidR="008A6A80" w:rsidRPr="00C63AC0">
              <w:rPr>
                <w:rFonts w:eastAsia="Times New Roman"/>
                <w:iCs/>
                <w:sz w:val="18"/>
                <w:lang w:eastAsia="tr-TR"/>
              </w:rPr>
              <w:t>5</w:t>
            </w:r>
            <w:r w:rsidRPr="00C63AC0">
              <w:rPr>
                <w:rFonts w:eastAsia="Times New Roman"/>
                <w:iCs/>
                <w:sz w:val="18"/>
                <w:lang w:eastAsia="tr-TR"/>
              </w:rPr>
              <w:t>6</w:t>
            </w:r>
            <w:r w:rsidR="002827AB" w:rsidRPr="00C63AC0">
              <w:rPr>
                <w:rFonts w:eastAsia="Times New Roman"/>
                <w:iCs/>
                <w:sz w:val="18"/>
                <w:vertAlign w:val="superscript"/>
                <w:lang w:eastAsia="tr-TR"/>
              </w:rPr>
              <w:t>dB</w:t>
            </w:r>
          </w:p>
        </w:tc>
      </w:tr>
      <w:tr w:rsidR="002827AB" w:rsidRPr="002827AB" w:rsidTr="009B055A">
        <w:trPr>
          <w:trHeight w:val="300"/>
        </w:trPr>
        <w:tc>
          <w:tcPr>
            <w:tcW w:w="1686" w:type="dxa"/>
            <w:tcBorders>
              <w:bottom w:val="single" w:sz="4" w:space="0" w:color="auto"/>
            </w:tcBorders>
            <w:noWrap/>
            <w:hideMark/>
          </w:tcPr>
          <w:p w:rsidR="002827AB" w:rsidRPr="00C63AC0" w:rsidRDefault="002827AB" w:rsidP="002827AB">
            <w:pPr>
              <w:spacing w:line="240" w:lineRule="auto"/>
              <w:ind w:firstLine="0"/>
              <w:jc w:val="center"/>
              <w:rPr>
                <w:rFonts w:eastAsia="Times New Roman"/>
                <w:b/>
                <w:iCs/>
                <w:sz w:val="18"/>
                <w:lang w:eastAsia="tr-TR"/>
              </w:rPr>
            </w:pPr>
            <w:r w:rsidRPr="00C63AC0">
              <w:rPr>
                <w:rFonts w:eastAsia="Times New Roman"/>
                <w:b/>
                <w:iCs/>
                <w:sz w:val="18"/>
                <w:lang w:eastAsia="tr-TR"/>
              </w:rPr>
              <w:t>55mM</w:t>
            </w:r>
          </w:p>
        </w:tc>
        <w:tc>
          <w:tcPr>
            <w:tcW w:w="1794" w:type="dxa"/>
            <w:tcBorders>
              <w:bottom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236±</w:t>
            </w:r>
            <w:r w:rsidR="008A6A80" w:rsidRPr="00C63AC0">
              <w:rPr>
                <w:rFonts w:eastAsia="Times New Roman"/>
                <w:iCs/>
                <w:sz w:val="18"/>
                <w:lang w:eastAsia="tr-TR"/>
              </w:rPr>
              <w:t>0,5</w:t>
            </w:r>
            <w:r w:rsidRPr="00C63AC0">
              <w:rPr>
                <w:rFonts w:eastAsia="Times New Roman"/>
                <w:iCs/>
                <w:sz w:val="18"/>
                <w:lang w:eastAsia="tr-TR"/>
              </w:rPr>
              <w:t>6</w:t>
            </w:r>
            <w:r w:rsidR="002827AB" w:rsidRPr="00C63AC0">
              <w:rPr>
                <w:rFonts w:eastAsia="Times New Roman"/>
                <w:iCs/>
                <w:sz w:val="18"/>
                <w:vertAlign w:val="superscript"/>
                <w:lang w:eastAsia="tr-TR"/>
              </w:rPr>
              <w:t>aC</w:t>
            </w:r>
          </w:p>
        </w:tc>
        <w:tc>
          <w:tcPr>
            <w:tcW w:w="1795" w:type="dxa"/>
            <w:tcBorders>
              <w:bottom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100±0,</w:t>
            </w:r>
            <w:r w:rsidR="008A6A80" w:rsidRPr="00C63AC0">
              <w:rPr>
                <w:rFonts w:eastAsia="Times New Roman"/>
                <w:iCs/>
                <w:sz w:val="18"/>
                <w:lang w:eastAsia="tr-TR"/>
              </w:rPr>
              <w:t>5</w:t>
            </w:r>
            <w:r w:rsidRPr="00C63AC0">
              <w:rPr>
                <w:rFonts w:eastAsia="Times New Roman"/>
                <w:iCs/>
                <w:sz w:val="18"/>
                <w:lang w:eastAsia="tr-TR"/>
              </w:rPr>
              <w:t>0</w:t>
            </w:r>
            <w:r w:rsidR="009E6235" w:rsidRPr="00C63AC0">
              <w:rPr>
                <w:rFonts w:eastAsia="Times New Roman"/>
                <w:iCs/>
                <w:sz w:val="18"/>
                <w:vertAlign w:val="superscript"/>
                <w:lang w:eastAsia="tr-TR"/>
              </w:rPr>
              <w:t>b</w:t>
            </w:r>
            <w:r w:rsidR="002827AB" w:rsidRPr="00C63AC0">
              <w:rPr>
                <w:rFonts w:eastAsia="Times New Roman"/>
                <w:iCs/>
                <w:sz w:val="18"/>
                <w:vertAlign w:val="superscript"/>
                <w:lang w:eastAsia="tr-TR"/>
              </w:rPr>
              <w:t>D</w:t>
            </w:r>
          </w:p>
        </w:tc>
        <w:tc>
          <w:tcPr>
            <w:tcW w:w="1795" w:type="dxa"/>
            <w:tcBorders>
              <w:bottom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152±</w:t>
            </w:r>
            <w:r w:rsidR="008A6A80" w:rsidRPr="00C63AC0">
              <w:rPr>
                <w:rFonts w:eastAsia="Times New Roman"/>
                <w:iCs/>
                <w:sz w:val="18"/>
                <w:lang w:eastAsia="tr-TR"/>
              </w:rPr>
              <w:t>0,5</w:t>
            </w:r>
            <w:r w:rsidRPr="00C63AC0">
              <w:rPr>
                <w:rFonts w:eastAsia="Times New Roman"/>
                <w:iCs/>
                <w:sz w:val="18"/>
                <w:lang w:eastAsia="tr-TR"/>
              </w:rPr>
              <w:t>1</w:t>
            </w:r>
            <w:r w:rsidR="002827AB" w:rsidRPr="00C63AC0">
              <w:rPr>
                <w:rFonts w:eastAsia="Times New Roman"/>
                <w:iCs/>
                <w:sz w:val="18"/>
                <w:vertAlign w:val="superscript"/>
                <w:lang w:eastAsia="tr-TR"/>
              </w:rPr>
              <w:t>cD</w:t>
            </w:r>
          </w:p>
        </w:tc>
        <w:tc>
          <w:tcPr>
            <w:tcW w:w="1795" w:type="dxa"/>
            <w:tcBorders>
              <w:bottom w:val="single" w:sz="4" w:space="0" w:color="auto"/>
            </w:tcBorders>
            <w:noWrap/>
            <w:hideMark/>
          </w:tcPr>
          <w:p w:rsidR="002827AB" w:rsidRPr="00C63AC0" w:rsidRDefault="002D6393" w:rsidP="001B5AA1">
            <w:pPr>
              <w:spacing w:line="240" w:lineRule="auto"/>
              <w:ind w:firstLine="0"/>
              <w:jc w:val="center"/>
              <w:rPr>
                <w:rFonts w:eastAsia="Times New Roman"/>
                <w:iCs/>
                <w:sz w:val="18"/>
                <w:lang w:eastAsia="tr-TR"/>
              </w:rPr>
            </w:pPr>
            <w:r w:rsidRPr="00C63AC0">
              <w:rPr>
                <w:rFonts w:eastAsia="Times New Roman"/>
                <w:iCs/>
                <w:sz w:val="18"/>
                <w:lang w:eastAsia="tr-TR"/>
              </w:rPr>
              <w:t>250±</w:t>
            </w:r>
            <w:r w:rsidR="008A6A80" w:rsidRPr="00C63AC0">
              <w:rPr>
                <w:rFonts w:eastAsia="Times New Roman"/>
                <w:iCs/>
                <w:sz w:val="18"/>
                <w:lang w:eastAsia="tr-TR"/>
              </w:rPr>
              <w:t>0,5</w:t>
            </w:r>
            <w:r w:rsidRPr="00C63AC0">
              <w:rPr>
                <w:rFonts w:eastAsia="Times New Roman"/>
                <w:iCs/>
                <w:sz w:val="18"/>
                <w:lang w:eastAsia="tr-TR"/>
              </w:rPr>
              <w:t>1</w:t>
            </w:r>
            <w:r w:rsidR="002827AB" w:rsidRPr="00C63AC0">
              <w:rPr>
                <w:rFonts w:eastAsia="Times New Roman"/>
                <w:iCs/>
                <w:sz w:val="18"/>
                <w:vertAlign w:val="superscript"/>
                <w:lang w:eastAsia="tr-TR"/>
              </w:rPr>
              <w:t>dC</w:t>
            </w:r>
          </w:p>
        </w:tc>
      </w:tr>
    </w:tbl>
    <w:p w:rsidR="002B3673" w:rsidRPr="001B5AA1" w:rsidRDefault="002B3673" w:rsidP="00F16C5A">
      <w:pPr>
        <w:spacing w:before="120"/>
        <w:ind w:firstLine="0"/>
        <w:rPr>
          <w:rFonts w:cs="Times New Roman"/>
          <w:color w:val="000000"/>
          <w:sz w:val="18"/>
          <w:szCs w:val="24"/>
        </w:rPr>
      </w:pPr>
      <w:r w:rsidRPr="001B5AA1">
        <w:rPr>
          <w:rFonts w:cs="Times New Roman"/>
          <w:color w:val="000000"/>
          <w:sz w:val="18"/>
          <w:szCs w:val="24"/>
        </w:rPr>
        <w:t>abcd aynı satırda farklı harfler p&lt;0,001 düzeyinde önemi ifade etmektedir.</w:t>
      </w:r>
    </w:p>
    <w:p w:rsidR="002B3673" w:rsidRPr="001B5AA1" w:rsidRDefault="002B3673" w:rsidP="002827AB">
      <w:pPr>
        <w:ind w:firstLine="0"/>
        <w:rPr>
          <w:rFonts w:cs="Times New Roman"/>
          <w:color w:val="000000"/>
          <w:sz w:val="18"/>
          <w:szCs w:val="24"/>
        </w:rPr>
      </w:pPr>
      <w:r w:rsidRPr="001B5AA1">
        <w:rPr>
          <w:rFonts w:cs="Times New Roman"/>
          <w:color w:val="000000"/>
          <w:sz w:val="18"/>
          <w:szCs w:val="24"/>
        </w:rPr>
        <w:t>ABCD aynı sütunda farklı harfler p&lt;0,001 düzeyinde önemi ifade etmektedir.</w:t>
      </w:r>
    </w:p>
    <w:p w:rsidR="002B3673" w:rsidRPr="006D020B" w:rsidRDefault="002B3673" w:rsidP="002B3673">
      <w:pPr>
        <w:rPr>
          <w:rFonts w:cs="Times New Roman"/>
          <w:color w:val="000000"/>
          <w:szCs w:val="24"/>
        </w:rPr>
      </w:pPr>
    </w:p>
    <w:p w:rsidR="002B3673" w:rsidRPr="00FF7530" w:rsidRDefault="002B3673" w:rsidP="002B3673">
      <w:pPr>
        <w:rPr>
          <w:rFonts w:cs="Times New Roman"/>
        </w:rPr>
      </w:pPr>
      <w:r>
        <w:rPr>
          <w:rFonts w:cs="Times New Roman"/>
        </w:rPr>
        <w:t>G</w:t>
      </w:r>
      <w:r w:rsidRPr="0058029E">
        <w:rPr>
          <w:rFonts w:cs="Times New Roman"/>
        </w:rPr>
        <w:t>ruplar arasında zamana bağlı farklılıklar</w:t>
      </w:r>
      <w:r>
        <w:rPr>
          <w:rFonts w:cs="Times New Roman"/>
        </w:rPr>
        <w:t>a</w:t>
      </w:r>
      <w:r w:rsidRPr="0058029E">
        <w:rPr>
          <w:rFonts w:cs="Times New Roman"/>
        </w:rPr>
        <w:t xml:space="preserve"> </w:t>
      </w:r>
      <w:r>
        <w:rPr>
          <w:rFonts w:cs="Times New Roman"/>
        </w:rPr>
        <w:t>bakıldığında</w:t>
      </w:r>
      <w:r w:rsidRPr="0058029E">
        <w:rPr>
          <w:rFonts w:cs="Times New Roman"/>
        </w:rPr>
        <w:t xml:space="preserve">, normoksik koşullarda enzim </w:t>
      </w:r>
      <w:r>
        <w:rPr>
          <w:rFonts w:cs="Times New Roman"/>
        </w:rPr>
        <w:t>miktarlarının</w:t>
      </w:r>
      <w:r w:rsidRPr="0058029E">
        <w:rPr>
          <w:rFonts w:cs="Times New Roman"/>
        </w:rPr>
        <w:t xml:space="preserve"> </w:t>
      </w:r>
      <w:r>
        <w:rPr>
          <w:rFonts w:cs="Times New Roman"/>
        </w:rPr>
        <w:t xml:space="preserve">0 mM </w:t>
      </w:r>
      <w:proofErr w:type="gramStart"/>
      <w:r>
        <w:rPr>
          <w:rFonts w:cs="Times New Roman"/>
        </w:rPr>
        <w:t>konsantrasyonunda</w:t>
      </w:r>
      <w:proofErr w:type="gramEnd"/>
      <w:r>
        <w:rPr>
          <w:rFonts w:cs="Times New Roman"/>
        </w:rPr>
        <w:t xml:space="preserve"> glukoz içeren ortamda inkübasyona bağlı anlamlı bi</w:t>
      </w:r>
      <w:r w:rsidR="003F789F">
        <w:rPr>
          <w:rFonts w:cs="Times New Roman"/>
        </w:rPr>
        <w:t>r değişim göstermediği (p&gt;0,05);</w:t>
      </w:r>
      <w:r>
        <w:rPr>
          <w:rFonts w:cs="Times New Roman"/>
        </w:rPr>
        <w:t xml:space="preserve"> 15 ve 55 mM konsantrasyonlarında glukoz içeren uygulama gruplarında genel itibariyle enzim miktarında 6. saatten 12. saate kadar artış, 12. saatten 24</w:t>
      </w:r>
      <w:r w:rsidRPr="0058029E">
        <w:rPr>
          <w:rFonts w:cs="Times New Roman"/>
        </w:rPr>
        <w:t>.</w:t>
      </w:r>
      <w:r>
        <w:rPr>
          <w:rFonts w:cs="Times New Roman"/>
        </w:rPr>
        <w:t xml:space="preserve"> </w:t>
      </w:r>
      <w:r w:rsidRPr="0058029E">
        <w:rPr>
          <w:rFonts w:cs="Times New Roman"/>
        </w:rPr>
        <w:t xml:space="preserve">saate kadar </w:t>
      </w:r>
      <w:r>
        <w:rPr>
          <w:rFonts w:cs="Times New Roman"/>
        </w:rPr>
        <w:t>azalış</w:t>
      </w:r>
      <w:r w:rsidRPr="0058029E">
        <w:rPr>
          <w:rFonts w:cs="Times New Roman"/>
        </w:rPr>
        <w:t xml:space="preserve">, </w:t>
      </w:r>
      <w:r>
        <w:rPr>
          <w:rFonts w:cs="Times New Roman"/>
        </w:rPr>
        <w:t xml:space="preserve">24. saatten 48.saate kadar ise tekrar bir artış olduğu belirlendi </w:t>
      </w:r>
      <w:r>
        <w:rPr>
          <w:rFonts w:cs="Times New Roman"/>
          <w:color w:val="000000"/>
          <w:szCs w:val="24"/>
        </w:rPr>
        <w:t>(p&lt;0,001</w:t>
      </w:r>
      <w:r w:rsidRPr="002A52C1">
        <w:rPr>
          <w:rFonts w:cs="Times New Roman"/>
          <w:color w:val="000000"/>
          <w:szCs w:val="24"/>
        </w:rPr>
        <w:t>).</w:t>
      </w:r>
      <w:r>
        <w:rPr>
          <w:rFonts w:cs="Times New Roman"/>
        </w:rPr>
        <w:t xml:space="preserve"> 15 mM </w:t>
      </w:r>
      <w:proofErr w:type="gramStart"/>
      <w:r>
        <w:rPr>
          <w:rFonts w:cs="Times New Roman"/>
        </w:rPr>
        <w:t>konsantrasyonunda</w:t>
      </w:r>
      <w:proofErr w:type="gramEnd"/>
      <w:r>
        <w:rPr>
          <w:rFonts w:cs="Times New Roman"/>
        </w:rPr>
        <w:t xml:space="preserve"> glukoz içeren uygulama gruplarında 12. ve 48. saatler arasında istatiksel bir fark gözlenmedi </w:t>
      </w:r>
      <w:r>
        <w:rPr>
          <w:rFonts w:cs="Times New Roman"/>
          <w:color w:val="000000"/>
          <w:szCs w:val="24"/>
        </w:rPr>
        <w:t>(p&gt;0,001</w:t>
      </w:r>
      <w:r w:rsidRPr="002A52C1">
        <w:rPr>
          <w:rFonts w:cs="Times New Roman"/>
          <w:color w:val="000000"/>
          <w:szCs w:val="24"/>
        </w:rPr>
        <w:t>).</w:t>
      </w:r>
      <w:r>
        <w:rPr>
          <w:rFonts w:cs="Times New Roman"/>
        </w:rPr>
        <w:t xml:space="preserve"> 5</w:t>
      </w:r>
      <w:r w:rsidR="000427C0">
        <w:rPr>
          <w:rFonts w:cs="Times New Roman"/>
        </w:rPr>
        <w:t>.</w:t>
      </w:r>
      <w:r>
        <w:rPr>
          <w:rFonts w:cs="Times New Roman"/>
        </w:rPr>
        <w:t xml:space="preserve">5 mM </w:t>
      </w:r>
      <w:proofErr w:type="gramStart"/>
      <w:r>
        <w:rPr>
          <w:rFonts w:cs="Times New Roman"/>
        </w:rPr>
        <w:t>konsantrasyonunda</w:t>
      </w:r>
      <w:proofErr w:type="gramEnd"/>
      <w:r>
        <w:rPr>
          <w:rFonts w:cs="Times New Roman"/>
        </w:rPr>
        <w:t xml:space="preserve"> glukoz içeren ortamda 6. saatten 24. saate kadar enzim miktarında anlamlı bir azalma olduğu (</w:t>
      </w:r>
      <w:r w:rsidRPr="004B6262">
        <w:rPr>
          <w:rFonts w:cs="Times New Roman"/>
        </w:rPr>
        <w:t>p&lt;0,001)</w:t>
      </w:r>
      <w:r>
        <w:rPr>
          <w:rFonts w:cs="Times New Roman"/>
        </w:rPr>
        <w:t xml:space="preserve">, 24. saatten 48.saate kadar ise enzim miktarının tekrar </w:t>
      </w:r>
      <w:r w:rsidR="0030279F">
        <w:rPr>
          <w:rFonts w:cs="Times New Roman"/>
        </w:rPr>
        <w:t xml:space="preserve">yükseldiği kaydedildi (p&lt;0,001) </w:t>
      </w:r>
      <w:r w:rsidR="003F789F">
        <w:rPr>
          <w:rFonts w:cs="Times New Roman"/>
        </w:rPr>
        <w:t xml:space="preserve"> (Tablo </w:t>
      </w:r>
      <w:r w:rsidR="00D450D5">
        <w:rPr>
          <w:rFonts w:cs="Times New Roman"/>
        </w:rPr>
        <w:t>11</w:t>
      </w:r>
      <w:r w:rsidR="0030279F">
        <w:rPr>
          <w:rFonts w:cs="Times New Roman"/>
        </w:rPr>
        <w:t xml:space="preserve">) (Şekil 50). </w:t>
      </w:r>
    </w:p>
    <w:p w:rsidR="002B3673" w:rsidRDefault="002B3673" w:rsidP="002B3673">
      <w:pPr>
        <w:rPr>
          <w:rFonts w:cs="Times New Roman"/>
          <w:color w:val="000000"/>
          <w:szCs w:val="24"/>
        </w:rPr>
      </w:pPr>
      <w:r w:rsidRPr="00A17096">
        <w:rPr>
          <w:rFonts w:cs="Times New Roman"/>
          <w:color w:val="000000"/>
          <w:szCs w:val="24"/>
        </w:rPr>
        <w:t xml:space="preserve">Hipoksik koşullarda ise </w:t>
      </w:r>
      <w:r>
        <w:rPr>
          <w:rFonts w:cs="Times New Roman"/>
          <w:color w:val="000000"/>
          <w:szCs w:val="24"/>
        </w:rPr>
        <w:t>normoksiden farklı olarak 0 mM glukoz uygulama grupların</w:t>
      </w:r>
      <w:r w:rsidRPr="00A17096">
        <w:rPr>
          <w:rFonts w:cs="Times New Roman"/>
          <w:color w:val="000000"/>
          <w:szCs w:val="24"/>
        </w:rPr>
        <w:t>da HK2 enzim miktarlarının 6.saatten</w:t>
      </w:r>
      <w:r>
        <w:rPr>
          <w:rFonts w:cs="Times New Roman"/>
          <w:color w:val="000000"/>
          <w:szCs w:val="24"/>
        </w:rPr>
        <w:t xml:space="preserve"> 12.saate kadar artış</w:t>
      </w:r>
      <w:r w:rsidRPr="00A17096">
        <w:rPr>
          <w:rFonts w:cs="Times New Roman"/>
          <w:color w:val="000000"/>
          <w:szCs w:val="24"/>
        </w:rPr>
        <w:t xml:space="preserve">, 12.saatten 24. saate kadar </w:t>
      </w:r>
      <w:r>
        <w:rPr>
          <w:rFonts w:cs="Times New Roman"/>
          <w:color w:val="000000"/>
          <w:szCs w:val="24"/>
        </w:rPr>
        <w:t>azalış</w:t>
      </w:r>
      <w:r w:rsidRPr="00A17096">
        <w:rPr>
          <w:rFonts w:cs="Times New Roman"/>
          <w:color w:val="000000"/>
          <w:szCs w:val="24"/>
        </w:rPr>
        <w:t xml:space="preserve"> ve </w:t>
      </w:r>
      <w:r>
        <w:rPr>
          <w:rFonts w:cs="Times New Roman"/>
          <w:color w:val="000000"/>
          <w:szCs w:val="24"/>
        </w:rPr>
        <w:t xml:space="preserve">24. </w:t>
      </w:r>
      <w:r>
        <w:rPr>
          <w:rFonts w:cs="Times New Roman"/>
          <w:color w:val="000000"/>
          <w:szCs w:val="24"/>
        </w:rPr>
        <w:lastRenderedPageBreak/>
        <w:t xml:space="preserve">saatten </w:t>
      </w:r>
      <w:r w:rsidRPr="00A17096">
        <w:rPr>
          <w:rFonts w:cs="Times New Roman"/>
          <w:color w:val="000000"/>
          <w:szCs w:val="24"/>
        </w:rPr>
        <w:t xml:space="preserve">48.saate kadar tekrar </w:t>
      </w:r>
      <w:r>
        <w:rPr>
          <w:rFonts w:cs="Times New Roman"/>
          <w:color w:val="000000"/>
          <w:szCs w:val="24"/>
        </w:rPr>
        <w:t>artış</w:t>
      </w:r>
      <w:r w:rsidRPr="00A17096">
        <w:rPr>
          <w:rFonts w:cs="Times New Roman"/>
          <w:color w:val="000000"/>
          <w:szCs w:val="24"/>
        </w:rPr>
        <w:t xml:space="preserve"> </w:t>
      </w:r>
      <w:r>
        <w:rPr>
          <w:rFonts w:cs="Times New Roman"/>
          <w:color w:val="000000"/>
          <w:szCs w:val="24"/>
        </w:rPr>
        <w:t xml:space="preserve">gösterdiği belirlendi </w:t>
      </w:r>
      <w:r w:rsidRPr="00A17096">
        <w:rPr>
          <w:rFonts w:cs="Times New Roman"/>
          <w:color w:val="000000"/>
          <w:szCs w:val="24"/>
        </w:rPr>
        <w:t>(p&lt;0,0</w:t>
      </w:r>
      <w:r>
        <w:rPr>
          <w:rFonts w:cs="Times New Roman"/>
          <w:color w:val="000000"/>
          <w:szCs w:val="24"/>
        </w:rPr>
        <w:t>01). 5.5 mM glukoz uygulama grupları</w:t>
      </w:r>
      <w:r w:rsidRPr="00A17096">
        <w:rPr>
          <w:rFonts w:cs="Times New Roman"/>
          <w:color w:val="000000"/>
          <w:szCs w:val="24"/>
        </w:rPr>
        <w:t xml:space="preserve">nda ise 6.saatten 24.saate kadar enzim miktarında </w:t>
      </w:r>
      <w:r>
        <w:rPr>
          <w:rFonts w:cs="Times New Roman"/>
          <w:color w:val="000000"/>
          <w:szCs w:val="24"/>
        </w:rPr>
        <w:t>kademeli bir artış gerçekleştiği görüldü (p&lt;0,001</w:t>
      </w:r>
      <w:r w:rsidRPr="00A17096">
        <w:rPr>
          <w:rFonts w:cs="Times New Roman"/>
          <w:color w:val="000000"/>
          <w:szCs w:val="24"/>
        </w:rPr>
        <w:t>). 15 ve 55 mM glukoz uygulama gruplarında 6. saatten 12.saate k</w:t>
      </w:r>
      <w:r>
        <w:rPr>
          <w:rFonts w:cs="Times New Roman"/>
          <w:color w:val="000000"/>
          <w:szCs w:val="24"/>
        </w:rPr>
        <w:t xml:space="preserve">adar enzim miktarlarında bir azalış, </w:t>
      </w:r>
      <w:r w:rsidRPr="00A17096">
        <w:rPr>
          <w:rFonts w:cs="Times New Roman"/>
          <w:color w:val="000000"/>
          <w:szCs w:val="24"/>
        </w:rPr>
        <w:t>12. saatten 48.s</w:t>
      </w:r>
      <w:r>
        <w:rPr>
          <w:rFonts w:cs="Times New Roman"/>
          <w:color w:val="000000"/>
          <w:szCs w:val="24"/>
        </w:rPr>
        <w:t xml:space="preserve">aate kadar ise tekrar bir artış izlendi (p&lt;0,001). </w:t>
      </w:r>
      <w:r w:rsidR="003F789F">
        <w:rPr>
          <w:rFonts w:cs="Times New Roman"/>
          <w:color w:val="000000"/>
          <w:szCs w:val="24"/>
        </w:rPr>
        <w:t xml:space="preserve">(Tablo </w:t>
      </w:r>
      <w:r w:rsidR="00D450D5">
        <w:rPr>
          <w:rFonts w:cs="Times New Roman"/>
          <w:color w:val="000000"/>
          <w:szCs w:val="24"/>
        </w:rPr>
        <w:t>11</w:t>
      </w:r>
      <w:r w:rsidR="0030279F">
        <w:rPr>
          <w:rFonts w:cs="Times New Roman"/>
          <w:color w:val="000000"/>
          <w:szCs w:val="24"/>
        </w:rPr>
        <w:t xml:space="preserve">) (Şekil 51). </w:t>
      </w:r>
    </w:p>
    <w:p w:rsidR="002B3673" w:rsidRDefault="002B3673" w:rsidP="002B3673">
      <w:pPr>
        <w:rPr>
          <w:rFonts w:cs="Times New Roman"/>
          <w:color w:val="000000"/>
          <w:szCs w:val="24"/>
        </w:rPr>
      </w:pPr>
    </w:p>
    <w:p w:rsidR="002B3673" w:rsidRDefault="002B3673" w:rsidP="001B5AA1">
      <w:pPr>
        <w:jc w:val="center"/>
        <w:rPr>
          <w:rFonts w:cs="Times New Roman"/>
          <w:color w:val="000000"/>
          <w:szCs w:val="24"/>
        </w:rPr>
      </w:pPr>
      <w:r>
        <w:rPr>
          <w:noProof/>
          <w:lang w:eastAsia="tr-TR"/>
        </w:rPr>
        <w:drawing>
          <wp:inline distT="0" distB="0" distL="0" distR="0">
            <wp:extent cx="4572000" cy="2484000"/>
            <wp:effectExtent l="0" t="0" r="0" b="0"/>
            <wp:docPr id="8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B3673" w:rsidRDefault="002B3673" w:rsidP="002B3673">
      <w:pPr>
        <w:jc w:val="center"/>
        <w:rPr>
          <w:rFonts w:cs="Times New Roman"/>
          <w:color w:val="000000"/>
          <w:szCs w:val="24"/>
        </w:rPr>
      </w:pPr>
    </w:p>
    <w:p w:rsidR="002B3673" w:rsidRDefault="004A5FAC" w:rsidP="002B3673">
      <w:pPr>
        <w:rPr>
          <w:rFonts w:cs="Times New Roman"/>
          <w:color w:val="000000"/>
          <w:szCs w:val="24"/>
        </w:rPr>
      </w:pPr>
      <w:r>
        <w:rPr>
          <w:rFonts w:cs="Times New Roman"/>
          <w:b/>
          <w:color w:val="000000"/>
          <w:szCs w:val="24"/>
        </w:rPr>
        <w:t>Şekil 50</w:t>
      </w:r>
      <w:r w:rsidR="002B3673" w:rsidRPr="00BD4D26">
        <w:rPr>
          <w:rFonts w:cs="Times New Roman"/>
          <w:b/>
          <w:color w:val="000000"/>
          <w:szCs w:val="24"/>
        </w:rPr>
        <w:t>.</w:t>
      </w:r>
      <w:r w:rsidR="002B3673" w:rsidRPr="008F16E1">
        <w:rPr>
          <w:rFonts w:cs="Times New Roman"/>
          <w:color w:val="000000"/>
          <w:szCs w:val="24"/>
        </w:rPr>
        <w:t xml:space="preserve">  MCF-7 kanser hücrelerinin </w:t>
      </w:r>
      <w:r w:rsidR="002B3673">
        <w:rPr>
          <w:rFonts w:cs="Times New Roman"/>
          <w:color w:val="000000"/>
          <w:szCs w:val="24"/>
        </w:rPr>
        <w:t>normoksi</w:t>
      </w:r>
      <w:r w:rsidR="002B3673" w:rsidRPr="008F16E1">
        <w:rPr>
          <w:rFonts w:cs="Times New Roman"/>
          <w:color w:val="000000"/>
          <w:szCs w:val="24"/>
        </w:rPr>
        <w:t xml:space="preserve"> altında glukozun farklı </w:t>
      </w:r>
      <w:proofErr w:type="gramStart"/>
      <w:r w:rsidR="002B3673" w:rsidRPr="008F16E1">
        <w:rPr>
          <w:rFonts w:cs="Times New Roman"/>
          <w:color w:val="000000"/>
          <w:szCs w:val="24"/>
        </w:rPr>
        <w:t>konsantrasyonlu</w:t>
      </w:r>
      <w:proofErr w:type="gramEnd"/>
      <w:r w:rsidR="002B3673" w:rsidRPr="008F16E1">
        <w:rPr>
          <w:rFonts w:cs="Times New Roman"/>
          <w:color w:val="000000"/>
          <w:szCs w:val="24"/>
        </w:rPr>
        <w:t xml:space="preserve"> uygulama gruplarında 6, 12</w:t>
      </w:r>
      <w:r w:rsidR="002B3673">
        <w:rPr>
          <w:rFonts w:cs="Times New Roman"/>
          <w:color w:val="000000"/>
          <w:szCs w:val="24"/>
        </w:rPr>
        <w:t>,</w:t>
      </w:r>
      <w:r w:rsidR="002B3673" w:rsidRPr="008F16E1">
        <w:rPr>
          <w:rFonts w:cs="Times New Roman"/>
          <w:color w:val="000000"/>
          <w:szCs w:val="24"/>
        </w:rPr>
        <w:t xml:space="preserve"> 24</w:t>
      </w:r>
      <w:r w:rsidR="002B3673">
        <w:rPr>
          <w:rFonts w:cs="Times New Roman"/>
          <w:color w:val="000000"/>
          <w:szCs w:val="24"/>
        </w:rPr>
        <w:t xml:space="preserve"> ve 48</w:t>
      </w:r>
      <w:r w:rsidR="002B3673" w:rsidRPr="008F16E1">
        <w:rPr>
          <w:rFonts w:cs="Times New Roman"/>
          <w:color w:val="000000"/>
          <w:szCs w:val="24"/>
        </w:rPr>
        <w:t xml:space="preserve"> saat inkübasyonu sonucu elde edilen </w:t>
      </w:r>
      <w:r w:rsidR="002B3673">
        <w:rPr>
          <w:rFonts w:cs="Times New Roman"/>
          <w:color w:val="000000"/>
          <w:szCs w:val="24"/>
        </w:rPr>
        <w:t>HK2 enzim</w:t>
      </w:r>
      <w:r w:rsidR="002B3673" w:rsidRPr="008F16E1">
        <w:rPr>
          <w:rFonts w:cs="Times New Roman"/>
          <w:color w:val="000000"/>
          <w:szCs w:val="24"/>
        </w:rPr>
        <w:t xml:space="preserve"> </w:t>
      </w:r>
      <w:r w:rsidR="002B3673">
        <w:rPr>
          <w:rFonts w:cs="Times New Roman"/>
          <w:color w:val="000000"/>
          <w:szCs w:val="24"/>
        </w:rPr>
        <w:t>miktarı</w:t>
      </w:r>
      <w:r w:rsidR="002B3673" w:rsidRPr="008F16E1">
        <w:rPr>
          <w:rFonts w:cs="Times New Roman"/>
          <w:color w:val="000000"/>
          <w:szCs w:val="24"/>
        </w:rPr>
        <w:t xml:space="preserve"> düzeyleri. </w:t>
      </w:r>
    </w:p>
    <w:p w:rsidR="002B3673" w:rsidRPr="002C2205" w:rsidRDefault="002B3673" w:rsidP="002B3673">
      <w:pPr>
        <w:rPr>
          <w:rFonts w:cs="Times New Roman"/>
          <w:color w:val="000000"/>
          <w:szCs w:val="24"/>
        </w:rPr>
      </w:pPr>
    </w:p>
    <w:p w:rsidR="002B3673" w:rsidRDefault="002B3673" w:rsidP="002B3673">
      <w:pPr>
        <w:jc w:val="center"/>
        <w:rPr>
          <w:rFonts w:cs="Times New Roman"/>
          <w:color w:val="000000"/>
          <w:szCs w:val="24"/>
        </w:rPr>
      </w:pPr>
      <w:r w:rsidRPr="002C2205">
        <w:rPr>
          <w:rFonts w:cs="Times New Roman"/>
          <w:noProof/>
          <w:lang w:eastAsia="tr-TR"/>
        </w:rPr>
        <w:drawing>
          <wp:inline distT="0" distB="0" distL="0" distR="0">
            <wp:extent cx="4572000" cy="2484000"/>
            <wp:effectExtent l="0" t="0" r="0" b="0"/>
            <wp:docPr id="89"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B3673" w:rsidRPr="002C2205" w:rsidRDefault="002B3673" w:rsidP="002B3673">
      <w:pPr>
        <w:jc w:val="center"/>
        <w:rPr>
          <w:rFonts w:cs="Times New Roman"/>
          <w:color w:val="000000"/>
          <w:szCs w:val="24"/>
        </w:rPr>
      </w:pPr>
    </w:p>
    <w:p w:rsidR="002B3673" w:rsidRDefault="004A5FAC" w:rsidP="002B3673">
      <w:pPr>
        <w:rPr>
          <w:rFonts w:cs="Times New Roman"/>
          <w:color w:val="000000"/>
          <w:szCs w:val="24"/>
        </w:rPr>
      </w:pPr>
      <w:r>
        <w:rPr>
          <w:rFonts w:cs="Times New Roman"/>
          <w:b/>
          <w:color w:val="000000"/>
          <w:szCs w:val="24"/>
        </w:rPr>
        <w:lastRenderedPageBreak/>
        <w:t>Şekil 51</w:t>
      </w:r>
      <w:r w:rsidR="002B3673" w:rsidRPr="00BD4D26">
        <w:rPr>
          <w:rFonts w:cs="Times New Roman"/>
          <w:b/>
          <w:color w:val="000000"/>
          <w:szCs w:val="24"/>
        </w:rPr>
        <w:t>.</w:t>
      </w:r>
      <w:r w:rsidR="002B3673">
        <w:rPr>
          <w:rFonts w:cs="Times New Roman"/>
          <w:color w:val="000000"/>
          <w:szCs w:val="24"/>
        </w:rPr>
        <w:t xml:space="preserve"> </w:t>
      </w:r>
      <w:r w:rsidR="002B3673" w:rsidRPr="008F16E1">
        <w:rPr>
          <w:rFonts w:cs="Times New Roman"/>
          <w:color w:val="000000"/>
          <w:szCs w:val="24"/>
        </w:rPr>
        <w:t xml:space="preserve">MCF-7 kanser hücrelerinin </w:t>
      </w:r>
      <w:r w:rsidR="002B3673">
        <w:rPr>
          <w:rFonts w:cs="Times New Roman"/>
          <w:color w:val="000000"/>
          <w:szCs w:val="24"/>
        </w:rPr>
        <w:t>hipoksi</w:t>
      </w:r>
      <w:r w:rsidR="002B3673" w:rsidRPr="008F16E1">
        <w:rPr>
          <w:rFonts w:cs="Times New Roman"/>
          <w:color w:val="000000"/>
          <w:szCs w:val="24"/>
        </w:rPr>
        <w:t xml:space="preserve"> altında glukozun farklı </w:t>
      </w:r>
      <w:proofErr w:type="gramStart"/>
      <w:r w:rsidR="002B3673" w:rsidRPr="008F16E1">
        <w:rPr>
          <w:rFonts w:cs="Times New Roman"/>
          <w:color w:val="000000"/>
          <w:szCs w:val="24"/>
        </w:rPr>
        <w:t>konsantrasyonlu</w:t>
      </w:r>
      <w:proofErr w:type="gramEnd"/>
      <w:r w:rsidR="002B3673" w:rsidRPr="008F16E1">
        <w:rPr>
          <w:rFonts w:cs="Times New Roman"/>
          <w:color w:val="000000"/>
          <w:szCs w:val="24"/>
        </w:rPr>
        <w:t xml:space="preserve"> uygulama gruplarında 6, 12</w:t>
      </w:r>
      <w:r w:rsidR="002B3673">
        <w:rPr>
          <w:rFonts w:cs="Times New Roman"/>
          <w:color w:val="000000"/>
          <w:szCs w:val="24"/>
        </w:rPr>
        <w:t>,</w:t>
      </w:r>
      <w:r w:rsidR="002B3673" w:rsidRPr="008F16E1">
        <w:rPr>
          <w:rFonts w:cs="Times New Roman"/>
          <w:color w:val="000000"/>
          <w:szCs w:val="24"/>
        </w:rPr>
        <w:t xml:space="preserve"> 24</w:t>
      </w:r>
      <w:r w:rsidR="002B3673">
        <w:rPr>
          <w:rFonts w:cs="Times New Roman"/>
          <w:color w:val="000000"/>
          <w:szCs w:val="24"/>
        </w:rPr>
        <w:t xml:space="preserve"> ve 48</w:t>
      </w:r>
      <w:r w:rsidR="002B3673" w:rsidRPr="008F16E1">
        <w:rPr>
          <w:rFonts w:cs="Times New Roman"/>
          <w:color w:val="000000"/>
          <w:szCs w:val="24"/>
        </w:rPr>
        <w:t xml:space="preserve"> saat inkübasyonu sonucu elde edilen </w:t>
      </w:r>
      <w:r w:rsidR="002B3673">
        <w:rPr>
          <w:rFonts w:cs="Times New Roman"/>
          <w:color w:val="000000"/>
          <w:szCs w:val="24"/>
        </w:rPr>
        <w:t>HK2 enzim</w:t>
      </w:r>
      <w:r w:rsidR="002B3673" w:rsidRPr="008F16E1">
        <w:rPr>
          <w:rFonts w:cs="Times New Roman"/>
          <w:color w:val="000000"/>
          <w:szCs w:val="24"/>
        </w:rPr>
        <w:t xml:space="preserve"> </w:t>
      </w:r>
      <w:r w:rsidR="002B3673">
        <w:rPr>
          <w:rFonts w:cs="Times New Roman"/>
          <w:color w:val="000000"/>
          <w:szCs w:val="24"/>
        </w:rPr>
        <w:t>miktarı</w:t>
      </w:r>
      <w:r w:rsidR="002B3673" w:rsidRPr="008F16E1">
        <w:rPr>
          <w:rFonts w:cs="Times New Roman"/>
          <w:color w:val="000000"/>
          <w:szCs w:val="24"/>
        </w:rPr>
        <w:t xml:space="preserve"> düzeyleri. </w:t>
      </w:r>
    </w:p>
    <w:p w:rsidR="002B3673" w:rsidRDefault="002B3673" w:rsidP="002B3673">
      <w:pPr>
        <w:rPr>
          <w:rFonts w:cs="Times New Roman"/>
          <w:color w:val="000000"/>
          <w:szCs w:val="24"/>
        </w:rPr>
      </w:pPr>
      <w:r>
        <w:rPr>
          <w:rFonts w:cs="Times New Roman"/>
          <w:color w:val="000000"/>
          <w:szCs w:val="24"/>
        </w:rPr>
        <w:t>Konsantrasyon far</w:t>
      </w:r>
      <w:r w:rsidR="003F789F">
        <w:rPr>
          <w:rFonts w:cs="Times New Roman"/>
          <w:color w:val="000000"/>
          <w:szCs w:val="24"/>
        </w:rPr>
        <w:t>k</w:t>
      </w:r>
      <w:r>
        <w:rPr>
          <w:rFonts w:cs="Times New Roman"/>
          <w:color w:val="000000"/>
          <w:szCs w:val="24"/>
        </w:rPr>
        <w:t>lılığına bağlı incelenen normoksik</w:t>
      </w:r>
      <w:r w:rsidR="000427C0">
        <w:rPr>
          <w:rFonts w:cs="Times New Roman"/>
          <w:color w:val="000000"/>
          <w:szCs w:val="24"/>
        </w:rPr>
        <w:t xml:space="preserve"> ortamdaki MCF-7 hücrelerinin </w:t>
      </w:r>
      <w:proofErr w:type="gramStart"/>
      <w:r w:rsidR="000427C0">
        <w:rPr>
          <w:rFonts w:cs="Times New Roman"/>
          <w:color w:val="000000"/>
          <w:szCs w:val="24"/>
        </w:rPr>
        <w:t>5.</w:t>
      </w:r>
      <w:r>
        <w:rPr>
          <w:rFonts w:cs="Times New Roman"/>
          <w:color w:val="000000"/>
          <w:szCs w:val="24"/>
        </w:rPr>
        <w:t>5</w:t>
      </w:r>
      <w:proofErr w:type="gramEnd"/>
      <w:r>
        <w:rPr>
          <w:rFonts w:cs="Times New Roman"/>
          <w:color w:val="000000"/>
          <w:szCs w:val="24"/>
        </w:rPr>
        <w:t xml:space="preserve"> mM glukoz içeren ortamda glukozsuz ortama göre tüm inkübasyon sürelerinde HK2 düzeylerinde anlamlı bir azalma olduğu, 15 mM glukoz ihtiva eden ortamda 6. ve 24. saatlerde bu anlamlı azalmanın devam ettiği, 12. ve 48. saatlerde ise 0 ve 5</w:t>
      </w:r>
      <w:r w:rsidR="000427C0">
        <w:rPr>
          <w:rFonts w:cs="Times New Roman"/>
          <w:color w:val="000000"/>
          <w:szCs w:val="24"/>
        </w:rPr>
        <w:t>.</w:t>
      </w:r>
      <w:r>
        <w:rPr>
          <w:rFonts w:cs="Times New Roman"/>
          <w:color w:val="000000"/>
          <w:szCs w:val="24"/>
        </w:rPr>
        <w:t>5 mM ortamlarına göre enzim miktarının yükseldiği görüldü (p&lt;0,001). En yüksek enzim içeriği ise 12.saat de 55 mM glukoz ortamında belirlendi. Tüm değişimler istatistiksel ol</w:t>
      </w:r>
      <w:r w:rsidR="0030279F">
        <w:rPr>
          <w:rFonts w:cs="Times New Roman"/>
          <w:color w:val="000000"/>
          <w:szCs w:val="24"/>
        </w:rPr>
        <w:t xml:space="preserve">arak anlamlı bulundu  (p&lt;0,001) (Şekil 52). </w:t>
      </w:r>
    </w:p>
    <w:p w:rsidR="002B3673" w:rsidRDefault="002B3673" w:rsidP="002B3673">
      <w:pPr>
        <w:rPr>
          <w:rFonts w:cs="Times New Roman"/>
          <w:color w:val="000000"/>
          <w:szCs w:val="24"/>
        </w:rPr>
      </w:pPr>
      <w:r w:rsidRPr="00FD5682">
        <w:rPr>
          <w:rFonts w:cs="Times New Roman"/>
          <w:color w:val="000000"/>
          <w:szCs w:val="24"/>
        </w:rPr>
        <w:t xml:space="preserve">Hipoksik hücrelerde 0 mM glukoz ortamında 12. saat inkübasyonunda en yüksek HK2 miktarı tespit edildi. 6. ve 12.  saatlerde 5.5 mM glukoz </w:t>
      </w:r>
      <w:proofErr w:type="gramStart"/>
      <w:r w:rsidRPr="00FD5682">
        <w:rPr>
          <w:rFonts w:cs="Times New Roman"/>
          <w:color w:val="000000"/>
          <w:szCs w:val="24"/>
        </w:rPr>
        <w:t>ortamında  0</w:t>
      </w:r>
      <w:proofErr w:type="gramEnd"/>
      <w:r w:rsidRPr="00FD5682">
        <w:rPr>
          <w:rFonts w:cs="Times New Roman"/>
          <w:color w:val="000000"/>
          <w:szCs w:val="24"/>
        </w:rPr>
        <w:t xml:space="preserve"> mM’a göre enzim miktarlarında anlamlı bir azalma, 24. saatte ise artış</w:t>
      </w:r>
      <w:r>
        <w:rPr>
          <w:rFonts w:cs="Times New Roman"/>
          <w:color w:val="000000"/>
          <w:szCs w:val="24"/>
        </w:rPr>
        <w:t xml:space="preserve"> görüldü (p&lt;0,001</w:t>
      </w:r>
      <w:r w:rsidRPr="00FD5682">
        <w:rPr>
          <w:rFonts w:cs="Times New Roman"/>
          <w:color w:val="000000"/>
          <w:szCs w:val="24"/>
        </w:rPr>
        <w:t>). 15 m</w:t>
      </w:r>
      <w:r>
        <w:rPr>
          <w:rFonts w:cs="Times New Roman"/>
          <w:color w:val="000000"/>
          <w:szCs w:val="24"/>
        </w:rPr>
        <w:t>M</w:t>
      </w:r>
      <w:r w:rsidRPr="00FD5682">
        <w:rPr>
          <w:rFonts w:cs="Times New Roman"/>
          <w:color w:val="000000"/>
          <w:szCs w:val="24"/>
        </w:rPr>
        <w:t xml:space="preserve"> glukoz ortamında </w:t>
      </w:r>
      <w:proofErr w:type="gramStart"/>
      <w:r w:rsidRPr="00FD5682">
        <w:rPr>
          <w:rFonts w:cs="Times New Roman"/>
          <w:color w:val="000000"/>
          <w:szCs w:val="24"/>
        </w:rPr>
        <w:t>5</w:t>
      </w:r>
      <w:r w:rsidR="000427C0">
        <w:rPr>
          <w:rFonts w:cs="Times New Roman"/>
          <w:color w:val="000000"/>
          <w:szCs w:val="24"/>
        </w:rPr>
        <w:t>.</w:t>
      </w:r>
      <w:r w:rsidRPr="00FD5682">
        <w:rPr>
          <w:rFonts w:cs="Times New Roman"/>
          <w:color w:val="000000"/>
          <w:szCs w:val="24"/>
        </w:rPr>
        <w:t>5</w:t>
      </w:r>
      <w:proofErr w:type="gramEnd"/>
      <w:r w:rsidRPr="00FD5682">
        <w:rPr>
          <w:rFonts w:cs="Times New Roman"/>
          <w:color w:val="000000"/>
          <w:szCs w:val="24"/>
        </w:rPr>
        <w:t xml:space="preserve"> m</w:t>
      </w:r>
      <w:r>
        <w:rPr>
          <w:rFonts w:cs="Times New Roman"/>
          <w:color w:val="000000"/>
          <w:szCs w:val="24"/>
        </w:rPr>
        <w:t>M</w:t>
      </w:r>
      <w:r w:rsidRPr="00FD5682">
        <w:rPr>
          <w:rFonts w:cs="Times New Roman"/>
          <w:color w:val="000000"/>
          <w:szCs w:val="24"/>
        </w:rPr>
        <w:t xml:space="preserve"> glukoz iç</w:t>
      </w:r>
      <w:r>
        <w:rPr>
          <w:rFonts w:cs="Times New Roman"/>
          <w:color w:val="000000"/>
          <w:szCs w:val="24"/>
        </w:rPr>
        <w:t>e</w:t>
      </w:r>
      <w:r w:rsidRPr="00FD5682">
        <w:rPr>
          <w:rFonts w:cs="Times New Roman"/>
          <w:color w:val="000000"/>
          <w:szCs w:val="24"/>
        </w:rPr>
        <w:t xml:space="preserve">ren ortama göre 6. </w:t>
      </w:r>
      <w:r>
        <w:rPr>
          <w:rFonts w:cs="Times New Roman"/>
          <w:color w:val="000000"/>
          <w:szCs w:val="24"/>
        </w:rPr>
        <w:t>s</w:t>
      </w:r>
      <w:r w:rsidRPr="00FD5682">
        <w:rPr>
          <w:rFonts w:cs="Times New Roman"/>
          <w:color w:val="000000"/>
          <w:szCs w:val="24"/>
        </w:rPr>
        <w:t xml:space="preserve">aatte enzim miktarında artış olurken, diğer inkübasyon sürelerinde hem glukozsuz </w:t>
      </w:r>
      <w:r>
        <w:rPr>
          <w:rFonts w:cs="Times New Roman"/>
          <w:color w:val="000000"/>
          <w:szCs w:val="24"/>
        </w:rPr>
        <w:t xml:space="preserve">ortamlara </w:t>
      </w:r>
      <w:r w:rsidRPr="00FD5682">
        <w:rPr>
          <w:rFonts w:cs="Times New Roman"/>
          <w:color w:val="000000"/>
          <w:szCs w:val="24"/>
        </w:rPr>
        <w:t>hem de 5</w:t>
      </w:r>
      <w:r w:rsidR="000427C0">
        <w:rPr>
          <w:rFonts w:cs="Times New Roman"/>
          <w:color w:val="000000"/>
          <w:szCs w:val="24"/>
        </w:rPr>
        <w:t>.</w:t>
      </w:r>
      <w:r w:rsidRPr="00FD5682">
        <w:rPr>
          <w:rFonts w:cs="Times New Roman"/>
          <w:color w:val="000000"/>
          <w:szCs w:val="24"/>
        </w:rPr>
        <w:t>5 mM glukoz içeren ortamlara göre enzim düzeyl</w:t>
      </w:r>
      <w:r>
        <w:rPr>
          <w:rFonts w:cs="Times New Roman"/>
          <w:color w:val="000000"/>
          <w:szCs w:val="24"/>
        </w:rPr>
        <w:t>eri anlamlı ölçüde düştü (p&lt;0,001</w:t>
      </w:r>
      <w:r w:rsidRPr="00FD5682">
        <w:rPr>
          <w:rFonts w:cs="Times New Roman"/>
          <w:color w:val="000000"/>
          <w:szCs w:val="24"/>
        </w:rPr>
        <w:t>).</w:t>
      </w:r>
      <w:r>
        <w:rPr>
          <w:rFonts w:cs="Times New Roman"/>
          <w:color w:val="000000"/>
          <w:szCs w:val="24"/>
        </w:rPr>
        <w:t xml:space="preserve"> 55 mM glukoz ortamında 6. ve 48. saatlerde tüm </w:t>
      </w:r>
      <w:proofErr w:type="gramStart"/>
      <w:r>
        <w:rPr>
          <w:rFonts w:cs="Times New Roman"/>
          <w:color w:val="000000"/>
          <w:szCs w:val="24"/>
        </w:rPr>
        <w:t>konsantrasyonlara</w:t>
      </w:r>
      <w:proofErr w:type="gramEnd"/>
      <w:r>
        <w:rPr>
          <w:rFonts w:cs="Times New Roman"/>
          <w:color w:val="000000"/>
          <w:szCs w:val="24"/>
        </w:rPr>
        <w:t xml:space="preserve"> göre önemli ölçüde enzim miktarlarında bir yükselme olup, 15 mM glukoz ortamına göre 12. saatte anlamlı bir artış, 24. saatte ise anlamlı bir azalış kaydedildi (p&lt;0</w:t>
      </w:r>
      <w:r w:rsidR="0030279F">
        <w:rPr>
          <w:rFonts w:cs="Times New Roman"/>
          <w:color w:val="000000"/>
          <w:szCs w:val="24"/>
        </w:rPr>
        <w:t xml:space="preserve">,001) (Şekil 53). </w:t>
      </w:r>
    </w:p>
    <w:p w:rsidR="002B3673" w:rsidRDefault="002B3673" w:rsidP="002B3673">
      <w:pPr>
        <w:rPr>
          <w:rFonts w:cs="Times New Roman"/>
          <w:color w:val="000000"/>
          <w:szCs w:val="24"/>
        </w:rPr>
      </w:pPr>
    </w:p>
    <w:p w:rsidR="002B3673" w:rsidRDefault="002B3673" w:rsidP="002B3673">
      <w:pPr>
        <w:jc w:val="center"/>
        <w:rPr>
          <w:rFonts w:cs="Times New Roman"/>
          <w:color w:val="000000"/>
          <w:szCs w:val="24"/>
        </w:rPr>
      </w:pPr>
      <w:r>
        <w:rPr>
          <w:noProof/>
          <w:lang w:eastAsia="tr-TR"/>
        </w:rPr>
        <w:drawing>
          <wp:inline distT="0" distB="0" distL="0" distR="0">
            <wp:extent cx="4572000" cy="2743200"/>
            <wp:effectExtent l="0" t="0" r="0" b="0"/>
            <wp:docPr id="90" name="Grafik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B3673" w:rsidRDefault="002B3673" w:rsidP="002B3673">
      <w:pPr>
        <w:rPr>
          <w:rFonts w:cs="Times New Roman"/>
          <w:b/>
          <w:color w:val="000000"/>
          <w:szCs w:val="24"/>
        </w:rPr>
      </w:pPr>
    </w:p>
    <w:p w:rsidR="002B3673" w:rsidRDefault="004A5FAC" w:rsidP="002B3673">
      <w:pPr>
        <w:rPr>
          <w:rFonts w:cs="Times New Roman"/>
          <w:color w:val="000000"/>
          <w:szCs w:val="24"/>
        </w:rPr>
      </w:pPr>
      <w:r>
        <w:rPr>
          <w:rFonts w:cs="Times New Roman"/>
          <w:b/>
          <w:color w:val="000000"/>
          <w:szCs w:val="24"/>
        </w:rPr>
        <w:lastRenderedPageBreak/>
        <w:t>Şekil 52</w:t>
      </w:r>
      <w:r w:rsidR="002B3673" w:rsidRPr="002367F3">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normoksi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a HK2</w:t>
      </w:r>
      <w:r w:rsidR="002B3673" w:rsidRPr="00EE6E59">
        <w:rPr>
          <w:rFonts w:cs="Times New Roman"/>
          <w:color w:val="000000"/>
          <w:szCs w:val="24"/>
        </w:rPr>
        <w:t xml:space="preserve"> miktarlarının karşılaştırılması.</w:t>
      </w:r>
    </w:p>
    <w:p w:rsidR="002B3673" w:rsidRDefault="002B3673" w:rsidP="002B3673">
      <w:pPr>
        <w:rPr>
          <w:rFonts w:cs="Times New Roman"/>
          <w:color w:val="000000"/>
          <w:szCs w:val="24"/>
        </w:rPr>
      </w:pPr>
    </w:p>
    <w:p w:rsidR="002B3673" w:rsidRDefault="002B3673" w:rsidP="002B3673">
      <w:pPr>
        <w:jc w:val="center"/>
        <w:rPr>
          <w:rFonts w:cs="Times New Roman"/>
          <w:color w:val="000000"/>
          <w:szCs w:val="24"/>
        </w:rPr>
      </w:pPr>
      <w:r>
        <w:rPr>
          <w:noProof/>
          <w:lang w:eastAsia="tr-TR"/>
        </w:rPr>
        <w:drawing>
          <wp:inline distT="0" distB="0" distL="0" distR="0">
            <wp:extent cx="4572000" cy="2743200"/>
            <wp:effectExtent l="0" t="0" r="0" b="0"/>
            <wp:docPr id="305" name="Grafik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D2CFB" w:rsidRDefault="003D2CFB" w:rsidP="002B3673">
      <w:pPr>
        <w:jc w:val="center"/>
        <w:rPr>
          <w:rFonts w:cs="Times New Roman"/>
          <w:color w:val="000000"/>
          <w:szCs w:val="24"/>
        </w:rPr>
      </w:pPr>
    </w:p>
    <w:p w:rsidR="002B3673" w:rsidRDefault="004A5FAC" w:rsidP="002B3673">
      <w:pPr>
        <w:rPr>
          <w:rFonts w:cs="Times New Roman"/>
          <w:color w:val="000000"/>
          <w:szCs w:val="24"/>
        </w:rPr>
      </w:pPr>
      <w:r>
        <w:rPr>
          <w:rFonts w:cs="Times New Roman"/>
          <w:b/>
          <w:color w:val="000000"/>
          <w:szCs w:val="24"/>
        </w:rPr>
        <w:t>Şekil 53</w:t>
      </w:r>
      <w:r w:rsidR="002B3673" w:rsidRPr="002367F3">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w:t>
      </w:r>
      <w:r w:rsidR="002B3673">
        <w:rPr>
          <w:rFonts w:cs="Times New Roman"/>
          <w:color w:val="000000"/>
          <w:szCs w:val="24"/>
        </w:rPr>
        <w:t>hipoksi</w:t>
      </w:r>
      <w:r w:rsidR="002B3673" w:rsidRPr="00EE6E59">
        <w:rPr>
          <w:rFonts w:cs="Times New Roman"/>
          <w:color w:val="000000"/>
          <w:szCs w:val="24"/>
        </w:rPr>
        <w:t xml:space="preserve">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a HK2</w:t>
      </w:r>
      <w:r w:rsidR="002B3673" w:rsidRPr="00EE6E59">
        <w:rPr>
          <w:rFonts w:cs="Times New Roman"/>
          <w:color w:val="000000"/>
          <w:szCs w:val="24"/>
        </w:rPr>
        <w:t xml:space="preserve"> miktarlarının karşılaştırılması.</w:t>
      </w:r>
    </w:p>
    <w:p w:rsidR="002B3673" w:rsidRDefault="002B3673" w:rsidP="002B3673">
      <w:pPr>
        <w:rPr>
          <w:rFonts w:cs="Times New Roman"/>
          <w:color w:val="000000"/>
          <w:szCs w:val="24"/>
        </w:rPr>
      </w:pPr>
    </w:p>
    <w:p w:rsidR="002B3673" w:rsidRDefault="002B3673" w:rsidP="002B3673">
      <w:pPr>
        <w:rPr>
          <w:rFonts w:cs="Times New Roman"/>
          <w:color w:val="000000"/>
          <w:szCs w:val="24"/>
        </w:rPr>
      </w:pPr>
    </w:p>
    <w:p w:rsidR="002B3673" w:rsidRDefault="002B3673" w:rsidP="003D2CFB">
      <w:pPr>
        <w:pStyle w:val="Balk2"/>
        <w:rPr>
          <w:rFonts w:eastAsia="Times New Roman"/>
          <w:lang w:eastAsia="tr-TR"/>
        </w:rPr>
      </w:pPr>
      <w:r>
        <w:rPr>
          <w:rFonts w:eastAsia="Times New Roman"/>
          <w:lang w:eastAsia="tr-TR"/>
        </w:rPr>
        <w:t>4.</w:t>
      </w:r>
      <w:r w:rsidR="00A93050">
        <w:rPr>
          <w:rFonts w:eastAsia="Times New Roman"/>
          <w:lang w:eastAsia="tr-TR"/>
        </w:rPr>
        <w:t>3</w:t>
      </w:r>
      <w:r>
        <w:rPr>
          <w:rFonts w:eastAsia="Times New Roman"/>
          <w:lang w:eastAsia="tr-TR"/>
        </w:rPr>
        <w:t>.4.</w:t>
      </w:r>
      <w:r w:rsidR="00A93050">
        <w:rPr>
          <w:rFonts w:eastAsia="Times New Roman"/>
          <w:lang w:eastAsia="tr-TR"/>
        </w:rPr>
        <w:t>2</w:t>
      </w:r>
      <w:r>
        <w:rPr>
          <w:rFonts w:eastAsia="Times New Roman"/>
          <w:lang w:eastAsia="tr-TR"/>
        </w:rPr>
        <w:t xml:space="preserve"> Aynı </w:t>
      </w:r>
      <w:proofErr w:type="gramStart"/>
      <w:r w:rsidR="00790E30">
        <w:rPr>
          <w:rFonts w:eastAsia="Times New Roman"/>
          <w:lang w:eastAsia="tr-TR"/>
        </w:rPr>
        <w:t>k</w:t>
      </w:r>
      <w:r>
        <w:rPr>
          <w:rFonts w:eastAsia="Times New Roman"/>
          <w:lang w:eastAsia="tr-TR"/>
        </w:rPr>
        <w:t>onsantrasyonlu</w:t>
      </w:r>
      <w:proofErr w:type="gramEnd"/>
      <w:r>
        <w:rPr>
          <w:rFonts w:eastAsia="Times New Roman"/>
          <w:lang w:eastAsia="tr-TR"/>
        </w:rPr>
        <w:t xml:space="preserve"> </w:t>
      </w:r>
      <w:r w:rsidR="00790E30">
        <w:rPr>
          <w:rFonts w:eastAsia="Times New Roman"/>
          <w:lang w:eastAsia="tr-TR"/>
        </w:rPr>
        <w:t>g</w:t>
      </w:r>
      <w:r>
        <w:rPr>
          <w:rFonts w:eastAsia="Times New Roman"/>
          <w:lang w:eastAsia="tr-TR"/>
        </w:rPr>
        <w:t xml:space="preserve">lukoz </w:t>
      </w:r>
      <w:r w:rsidR="00790E30">
        <w:rPr>
          <w:rFonts w:eastAsia="Times New Roman"/>
          <w:lang w:eastAsia="tr-TR"/>
        </w:rPr>
        <w:t>u</w:t>
      </w:r>
      <w:r>
        <w:rPr>
          <w:rFonts w:eastAsia="Times New Roman"/>
          <w:lang w:eastAsia="tr-TR"/>
        </w:rPr>
        <w:t xml:space="preserve">ygulamalarında </w:t>
      </w:r>
      <w:r w:rsidR="00790E30">
        <w:rPr>
          <w:rFonts w:eastAsia="Times New Roman"/>
          <w:lang w:eastAsia="tr-TR"/>
        </w:rPr>
        <w:t>n</w:t>
      </w:r>
      <w:r>
        <w:rPr>
          <w:rFonts w:eastAsia="Times New Roman"/>
          <w:lang w:eastAsia="tr-TR"/>
        </w:rPr>
        <w:t xml:space="preserve">ormoksik ve </w:t>
      </w:r>
      <w:r w:rsidR="00790E30">
        <w:rPr>
          <w:rFonts w:eastAsia="Times New Roman"/>
          <w:lang w:eastAsia="tr-TR"/>
        </w:rPr>
        <w:t>h</w:t>
      </w:r>
      <w:r>
        <w:rPr>
          <w:rFonts w:eastAsia="Times New Roman"/>
          <w:lang w:eastAsia="tr-TR"/>
        </w:rPr>
        <w:t xml:space="preserve">ipoksik </w:t>
      </w:r>
      <w:r w:rsidR="00790E30">
        <w:rPr>
          <w:rFonts w:eastAsia="Times New Roman"/>
          <w:lang w:eastAsia="tr-TR"/>
        </w:rPr>
        <w:t>o</w:t>
      </w:r>
      <w:r>
        <w:rPr>
          <w:rFonts w:eastAsia="Times New Roman"/>
          <w:lang w:eastAsia="tr-TR"/>
        </w:rPr>
        <w:t xml:space="preserve">rtamdaki HK2 </w:t>
      </w:r>
      <w:r w:rsidR="00790E30">
        <w:rPr>
          <w:rFonts w:eastAsia="Times New Roman"/>
          <w:lang w:eastAsia="tr-TR"/>
        </w:rPr>
        <w:t>e</w:t>
      </w:r>
      <w:r>
        <w:rPr>
          <w:rFonts w:eastAsia="Times New Roman"/>
          <w:lang w:eastAsia="tr-TR"/>
        </w:rPr>
        <w:t xml:space="preserve">nzim </w:t>
      </w:r>
      <w:r w:rsidR="00790E30">
        <w:rPr>
          <w:rFonts w:eastAsia="Times New Roman"/>
          <w:lang w:eastAsia="tr-TR"/>
        </w:rPr>
        <w:t>m</w:t>
      </w:r>
      <w:r>
        <w:rPr>
          <w:rFonts w:eastAsia="Times New Roman"/>
          <w:lang w:eastAsia="tr-TR"/>
        </w:rPr>
        <w:t xml:space="preserve">iktarlarının </w:t>
      </w:r>
      <w:r w:rsidR="00790E30">
        <w:rPr>
          <w:rFonts w:eastAsia="Times New Roman"/>
          <w:lang w:eastAsia="tr-TR"/>
        </w:rPr>
        <w:t>k</w:t>
      </w:r>
      <w:r>
        <w:rPr>
          <w:rFonts w:eastAsia="Times New Roman"/>
          <w:lang w:eastAsia="tr-TR"/>
        </w:rPr>
        <w:t>arşılaştırılması</w:t>
      </w:r>
    </w:p>
    <w:p w:rsidR="002B3673" w:rsidRPr="000B4404" w:rsidRDefault="002B3673" w:rsidP="002B3673">
      <w:pPr>
        <w:rPr>
          <w:rFonts w:cs="Times New Roman"/>
          <w:color w:val="000000"/>
          <w:szCs w:val="24"/>
        </w:rPr>
      </w:pPr>
    </w:p>
    <w:p w:rsidR="002B3673" w:rsidRPr="00E11A1A" w:rsidRDefault="002B3673" w:rsidP="002B3673">
      <w:pPr>
        <w:rPr>
          <w:rFonts w:eastAsia="Times New Roman" w:cs="Times New Roman"/>
          <w:szCs w:val="24"/>
          <w:lang w:eastAsia="tr-TR"/>
        </w:rPr>
      </w:pPr>
      <w:r w:rsidRPr="00A567AE">
        <w:rPr>
          <w:rFonts w:cs="Times New Roman"/>
          <w:color w:val="000000"/>
          <w:szCs w:val="24"/>
        </w:rPr>
        <w:t xml:space="preserve">Tüm uygulanan glukoz dozları için her inkübasyon süresinde normoksik kontrole göre hipoksik koşullarda </w:t>
      </w:r>
      <w:r>
        <w:rPr>
          <w:rFonts w:cs="Times New Roman"/>
          <w:color w:val="000000"/>
          <w:szCs w:val="24"/>
        </w:rPr>
        <w:t>HK2</w:t>
      </w:r>
      <w:r w:rsidRPr="00A567AE">
        <w:rPr>
          <w:rFonts w:cs="Times New Roman"/>
          <w:color w:val="000000"/>
          <w:szCs w:val="24"/>
        </w:rPr>
        <w:t xml:space="preserve"> enzim düzeylerinde önemli </w:t>
      </w:r>
      <w:r>
        <w:rPr>
          <w:rFonts w:cs="Times New Roman"/>
          <w:color w:val="000000"/>
          <w:szCs w:val="24"/>
        </w:rPr>
        <w:t>değişimler kaydedildi (</w:t>
      </w:r>
      <w:r w:rsidR="000427C0">
        <w:rPr>
          <w:rFonts w:cs="Times New Roman"/>
          <w:color w:val="000000"/>
          <w:szCs w:val="24"/>
        </w:rPr>
        <w:t>p</w:t>
      </w:r>
      <w:r>
        <w:rPr>
          <w:rFonts w:cs="Times New Roman"/>
          <w:color w:val="000000"/>
          <w:szCs w:val="24"/>
        </w:rPr>
        <w:t>&lt;0,001</w:t>
      </w:r>
      <w:r w:rsidRPr="00A567AE">
        <w:rPr>
          <w:rFonts w:cs="Times New Roman"/>
          <w:color w:val="000000"/>
          <w:szCs w:val="24"/>
        </w:rPr>
        <w:t>)</w:t>
      </w:r>
      <w:r>
        <w:rPr>
          <w:rFonts w:cs="Times New Roman"/>
          <w:color w:val="000000"/>
          <w:szCs w:val="24"/>
        </w:rPr>
        <w:t xml:space="preserve">. </w:t>
      </w:r>
      <w:r w:rsidR="00882EA5">
        <w:rPr>
          <w:rFonts w:cs="Times New Roman"/>
          <w:color w:val="000000"/>
          <w:szCs w:val="24"/>
        </w:rPr>
        <w:t>N</w:t>
      </w:r>
      <w:r>
        <w:rPr>
          <w:rFonts w:cs="Times New Roman"/>
          <w:color w:val="000000"/>
          <w:szCs w:val="24"/>
        </w:rPr>
        <w:t xml:space="preserve">ormoksiye göre hipokside 0 mM konsantrasyonlarında glukoz içeren ortamlarda 6. saatte 2 kat, 15 ve 55 mM konsantrasyonlarında </w:t>
      </w:r>
      <w:r w:rsidR="008A6A80">
        <w:rPr>
          <w:rFonts w:cs="Times New Roman"/>
          <w:color w:val="000000"/>
          <w:szCs w:val="24"/>
        </w:rPr>
        <w:t>12. saatte sırasıyla 3,7 ve 2,8</w:t>
      </w:r>
      <w:r>
        <w:rPr>
          <w:rFonts w:cs="Times New Roman"/>
          <w:color w:val="000000"/>
          <w:szCs w:val="24"/>
        </w:rPr>
        <w:t xml:space="preserve"> kat enzim miktarlarında azalma; 15 mM konsantrasyonda 24. Saatte ise enzim miktarlarında 3 kat </w:t>
      </w:r>
      <w:proofErr w:type="gramStart"/>
      <w:r>
        <w:rPr>
          <w:rFonts w:cs="Times New Roman"/>
          <w:color w:val="000000"/>
          <w:szCs w:val="24"/>
        </w:rPr>
        <w:t>artış  görüldü</w:t>
      </w:r>
      <w:proofErr w:type="gramEnd"/>
      <w:r>
        <w:rPr>
          <w:rFonts w:cs="Times New Roman"/>
          <w:color w:val="000000"/>
          <w:szCs w:val="24"/>
        </w:rPr>
        <w:t xml:space="preserve"> (</w:t>
      </w:r>
      <w:r w:rsidR="000427C0">
        <w:rPr>
          <w:rFonts w:cs="Times New Roman"/>
          <w:color w:val="000000"/>
          <w:szCs w:val="24"/>
        </w:rPr>
        <w:t>p&lt;</w:t>
      </w:r>
      <w:r>
        <w:rPr>
          <w:rFonts w:cs="Times New Roman"/>
          <w:color w:val="000000"/>
          <w:szCs w:val="24"/>
        </w:rPr>
        <w:t>0,001</w:t>
      </w:r>
      <w:r w:rsidRPr="00A567AE">
        <w:rPr>
          <w:rFonts w:cs="Times New Roman"/>
          <w:color w:val="000000"/>
          <w:szCs w:val="24"/>
        </w:rPr>
        <w:t>)</w:t>
      </w:r>
      <w:r w:rsidR="0030279F">
        <w:rPr>
          <w:rFonts w:cs="Times New Roman"/>
          <w:color w:val="000000"/>
          <w:szCs w:val="24"/>
        </w:rPr>
        <w:t xml:space="preserve"> (Şekil 54-57). </w:t>
      </w:r>
    </w:p>
    <w:p w:rsidR="002B3673" w:rsidRDefault="002B3673" w:rsidP="00C93AA8">
      <w:pPr>
        <w:jc w:val="center"/>
        <w:rPr>
          <w:rFonts w:cs="Times New Roman"/>
          <w:color w:val="000000"/>
          <w:szCs w:val="24"/>
        </w:rPr>
      </w:pPr>
      <w:r>
        <w:rPr>
          <w:noProof/>
          <w:lang w:eastAsia="tr-TR"/>
        </w:rPr>
        <w:lastRenderedPageBreak/>
        <w:drawing>
          <wp:inline distT="0" distB="0" distL="0" distR="0">
            <wp:extent cx="4572000" cy="2743200"/>
            <wp:effectExtent l="0" t="0" r="0" b="0"/>
            <wp:docPr id="306" name="Grafik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B3673" w:rsidRDefault="002B3673" w:rsidP="002B3673">
      <w:pPr>
        <w:jc w:val="center"/>
        <w:rPr>
          <w:rFonts w:cs="Times New Roman"/>
          <w:color w:val="000000"/>
          <w:szCs w:val="24"/>
        </w:rPr>
      </w:pPr>
    </w:p>
    <w:p w:rsidR="002B3673" w:rsidRDefault="004A5FAC" w:rsidP="002B3673">
      <w:pPr>
        <w:rPr>
          <w:rFonts w:cs="Times New Roman"/>
          <w:color w:val="000000"/>
          <w:szCs w:val="24"/>
        </w:rPr>
      </w:pPr>
      <w:r>
        <w:rPr>
          <w:rFonts w:cs="Times New Roman"/>
          <w:b/>
          <w:color w:val="000000"/>
          <w:szCs w:val="24"/>
        </w:rPr>
        <w:t>Şekil 54</w:t>
      </w:r>
      <w:r w:rsidR="002B3673" w:rsidRPr="002367F3">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0 mM glukoz </w:t>
      </w:r>
      <w:r w:rsidR="002B3673" w:rsidRPr="006A05E3">
        <w:rPr>
          <w:rFonts w:cs="Times New Roman"/>
          <w:color w:val="000000"/>
          <w:szCs w:val="24"/>
        </w:rPr>
        <w:t xml:space="preserve">uygulama gruplarında </w:t>
      </w:r>
      <w:r w:rsidR="002B3673">
        <w:rPr>
          <w:rFonts w:cs="Times New Roman"/>
          <w:color w:val="000000"/>
          <w:szCs w:val="24"/>
        </w:rPr>
        <w:t>HK2</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0427C0">
        <w:rPr>
          <w:rFonts w:cs="Times New Roman"/>
          <w:color w:val="000000"/>
          <w:szCs w:val="24"/>
        </w:rPr>
        <w:t>p</w:t>
      </w:r>
      <w:r w:rsidR="002B3673"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2B3673">
      <w:pPr>
        <w:jc w:val="center"/>
        <w:rPr>
          <w:rFonts w:cs="Times New Roman"/>
          <w:color w:val="000000"/>
          <w:szCs w:val="24"/>
        </w:rPr>
      </w:pPr>
      <w:r>
        <w:rPr>
          <w:noProof/>
          <w:lang w:eastAsia="tr-TR"/>
        </w:rPr>
        <w:drawing>
          <wp:inline distT="0" distB="0" distL="0" distR="0">
            <wp:extent cx="4572000" cy="2743200"/>
            <wp:effectExtent l="0" t="0" r="0" b="0"/>
            <wp:docPr id="307" name="Grafik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B3673" w:rsidRDefault="002B3673" w:rsidP="002B3673">
      <w:pPr>
        <w:jc w:val="center"/>
        <w:rPr>
          <w:rFonts w:cs="Times New Roman"/>
          <w:color w:val="000000"/>
          <w:szCs w:val="24"/>
        </w:rPr>
      </w:pPr>
    </w:p>
    <w:p w:rsidR="002B3673" w:rsidRDefault="002B3673" w:rsidP="002B3673">
      <w:pPr>
        <w:rPr>
          <w:rFonts w:cs="Times New Roman"/>
          <w:color w:val="000000"/>
          <w:szCs w:val="24"/>
        </w:rPr>
      </w:pPr>
      <w:r w:rsidRPr="00C93AA8">
        <w:rPr>
          <w:rFonts w:cs="Times New Roman"/>
          <w:b/>
          <w:color w:val="000000"/>
          <w:szCs w:val="24"/>
        </w:rPr>
        <w:t>Şekil</w:t>
      </w:r>
      <w:r w:rsidR="00C93AA8" w:rsidRPr="00C93AA8">
        <w:rPr>
          <w:rFonts w:cs="Times New Roman"/>
          <w:b/>
          <w:color w:val="000000"/>
          <w:szCs w:val="24"/>
        </w:rPr>
        <w:t xml:space="preserve"> </w:t>
      </w:r>
      <w:r w:rsidR="004A5FAC">
        <w:rPr>
          <w:rFonts w:cs="Times New Roman"/>
          <w:b/>
          <w:color w:val="000000"/>
          <w:szCs w:val="24"/>
        </w:rPr>
        <w:t>55</w:t>
      </w:r>
      <w:r w:rsidRPr="00C93AA8">
        <w:rPr>
          <w:rFonts w:cs="Times New Roman"/>
          <w:b/>
          <w:color w:val="000000"/>
          <w:szCs w:val="24"/>
        </w:rPr>
        <w:t>.</w:t>
      </w:r>
      <w:r>
        <w:rPr>
          <w:rFonts w:cs="Times New Roman"/>
          <w:color w:val="000000"/>
          <w:szCs w:val="24"/>
        </w:rPr>
        <w:t xml:space="preserve"> </w:t>
      </w:r>
      <w:r w:rsidRPr="006A05E3">
        <w:rPr>
          <w:rFonts w:cs="Times New Roman"/>
          <w:color w:val="000000"/>
          <w:szCs w:val="24"/>
        </w:rPr>
        <w:t>MCF-7 kanser hücrelerinin normoksi</w:t>
      </w:r>
      <w:r>
        <w:rPr>
          <w:rFonts w:cs="Times New Roman"/>
          <w:color w:val="000000"/>
          <w:szCs w:val="24"/>
        </w:rPr>
        <w:t>k</w:t>
      </w:r>
      <w:r w:rsidRPr="006A05E3">
        <w:rPr>
          <w:rFonts w:cs="Times New Roman"/>
          <w:color w:val="000000"/>
          <w:szCs w:val="24"/>
        </w:rPr>
        <w:t xml:space="preserve"> ve hipoksi</w:t>
      </w:r>
      <w:r>
        <w:rPr>
          <w:rFonts w:cs="Times New Roman"/>
          <w:color w:val="000000"/>
          <w:szCs w:val="24"/>
        </w:rPr>
        <w:t>k</w:t>
      </w:r>
      <w:r w:rsidRPr="006A05E3">
        <w:rPr>
          <w:rFonts w:cs="Times New Roman"/>
          <w:color w:val="000000"/>
          <w:szCs w:val="24"/>
        </w:rPr>
        <w:t xml:space="preserve"> </w:t>
      </w:r>
      <w:r>
        <w:rPr>
          <w:rFonts w:cs="Times New Roman"/>
          <w:color w:val="000000"/>
          <w:szCs w:val="24"/>
        </w:rPr>
        <w:t>ortamdaki</w:t>
      </w:r>
      <w:r w:rsidRPr="006A05E3">
        <w:rPr>
          <w:rFonts w:cs="Times New Roman"/>
          <w:color w:val="000000"/>
          <w:szCs w:val="24"/>
        </w:rPr>
        <w:t xml:space="preserve"> </w:t>
      </w:r>
      <w:r>
        <w:rPr>
          <w:rFonts w:cs="Times New Roman"/>
          <w:color w:val="000000"/>
          <w:szCs w:val="24"/>
        </w:rPr>
        <w:t xml:space="preserve">farklı inkübasyon süreli 5,5 mM glukoz </w:t>
      </w:r>
      <w:r w:rsidRPr="006A05E3">
        <w:rPr>
          <w:rFonts w:cs="Times New Roman"/>
          <w:color w:val="000000"/>
          <w:szCs w:val="24"/>
        </w:rPr>
        <w:t xml:space="preserve">uygulama gruplarında </w:t>
      </w:r>
      <w:r>
        <w:rPr>
          <w:rFonts w:cs="Times New Roman"/>
          <w:color w:val="000000"/>
          <w:szCs w:val="24"/>
        </w:rPr>
        <w:t>HK2</w:t>
      </w:r>
      <w:r w:rsidRPr="006A05E3">
        <w:rPr>
          <w:rFonts w:cs="Times New Roman"/>
          <w:color w:val="000000"/>
          <w:szCs w:val="24"/>
        </w:rPr>
        <w:t xml:space="preserve"> </w:t>
      </w:r>
      <w:r>
        <w:rPr>
          <w:rFonts w:cs="Times New Roman"/>
          <w:color w:val="000000"/>
          <w:szCs w:val="24"/>
        </w:rPr>
        <w:t xml:space="preserve">enzim </w:t>
      </w:r>
      <w:r w:rsidRPr="006A05E3">
        <w:rPr>
          <w:rFonts w:cs="Times New Roman"/>
          <w:color w:val="000000"/>
          <w:szCs w:val="24"/>
        </w:rPr>
        <w:t>düzeylerinin karşılaştırılması. *</w:t>
      </w:r>
      <w:r w:rsidR="000427C0">
        <w:rPr>
          <w:rFonts w:cs="Times New Roman"/>
          <w:color w:val="000000"/>
          <w:szCs w:val="24"/>
        </w:rPr>
        <w:t>p</w:t>
      </w:r>
      <w:r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2B3673">
      <w:pPr>
        <w:jc w:val="center"/>
        <w:rPr>
          <w:rFonts w:cs="Times New Roman"/>
          <w:color w:val="000000"/>
          <w:szCs w:val="24"/>
        </w:rPr>
      </w:pPr>
      <w:r>
        <w:rPr>
          <w:noProof/>
          <w:lang w:eastAsia="tr-TR"/>
        </w:rPr>
        <w:lastRenderedPageBreak/>
        <w:drawing>
          <wp:inline distT="0" distB="0" distL="0" distR="0">
            <wp:extent cx="4572000" cy="2743200"/>
            <wp:effectExtent l="0" t="0" r="0" b="0"/>
            <wp:docPr id="105" name="Grafik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B3673" w:rsidRDefault="002B3673" w:rsidP="002B3673">
      <w:pPr>
        <w:jc w:val="center"/>
        <w:rPr>
          <w:rFonts w:cs="Times New Roman"/>
          <w:color w:val="000000"/>
          <w:szCs w:val="24"/>
        </w:rPr>
      </w:pPr>
    </w:p>
    <w:p w:rsidR="002B3673" w:rsidRDefault="004A5FAC" w:rsidP="002B3673">
      <w:pPr>
        <w:rPr>
          <w:rFonts w:cs="Times New Roman"/>
          <w:color w:val="000000"/>
          <w:szCs w:val="24"/>
        </w:rPr>
      </w:pPr>
      <w:r>
        <w:rPr>
          <w:rFonts w:cs="Times New Roman"/>
          <w:b/>
          <w:color w:val="000000"/>
          <w:szCs w:val="24"/>
        </w:rPr>
        <w:t>Şekil 56</w:t>
      </w:r>
      <w:r w:rsidR="002B3673" w:rsidRPr="002367F3">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15 mM glukoz </w:t>
      </w:r>
      <w:r w:rsidR="002B3673" w:rsidRPr="006A05E3">
        <w:rPr>
          <w:rFonts w:cs="Times New Roman"/>
          <w:color w:val="000000"/>
          <w:szCs w:val="24"/>
        </w:rPr>
        <w:t xml:space="preserve">uygulama gruplarında </w:t>
      </w:r>
      <w:r w:rsidR="002B3673">
        <w:rPr>
          <w:rFonts w:cs="Times New Roman"/>
          <w:color w:val="000000"/>
          <w:szCs w:val="24"/>
        </w:rPr>
        <w:t>HK2</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0427C0">
        <w:rPr>
          <w:rFonts w:cs="Times New Roman"/>
          <w:color w:val="000000"/>
          <w:szCs w:val="24"/>
        </w:rPr>
        <w:t>p</w:t>
      </w:r>
      <w:r w:rsidR="002B3673"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2B3673">
      <w:pPr>
        <w:jc w:val="center"/>
        <w:rPr>
          <w:rFonts w:cs="Times New Roman"/>
          <w:color w:val="000000"/>
          <w:szCs w:val="24"/>
        </w:rPr>
      </w:pPr>
      <w:r>
        <w:rPr>
          <w:noProof/>
          <w:lang w:eastAsia="tr-TR"/>
        </w:rPr>
        <w:drawing>
          <wp:inline distT="0" distB="0" distL="0" distR="0">
            <wp:extent cx="4572000" cy="3152775"/>
            <wp:effectExtent l="0" t="0" r="0" b="0"/>
            <wp:docPr id="106" name="Grafi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B3673" w:rsidRDefault="002B3673" w:rsidP="002B3673">
      <w:pPr>
        <w:jc w:val="center"/>
        <w:rPr>
          <w:rFonts w:cs="Times New Roman"/>
          <w:color w:val="000000"/>
          <w:szCs w:val="24"/>
        </w:rPr>
      </w:pPr>
    </w:p>
    <w:p w:rsidR="002B3673" w:rsidRDefault="004A5FAC" w:rsidP="002B3673">
      <w:pPr>
        <w:rPr>
          <w:rFonts w:cs="Times New Roman"/>
          <w:color w:val="000000"/>
          <w:szCs w:val="24"/>
        </w:rPr>
      </w:pPr>
      <w:r>
        <w:rPr>
          <w:rFonts w:cs="Times New Roman"/>
          <w:b/>
          <w:color w:val="000000"/>
          <w:szCs w:val="24"/>
        </w:rPr>
        <w:t>Şekil 57</w:t>
      </w:r>
      <w:r w:rsidR="002B3673" w:rsidRPr="002367F3">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55 mM glukoz </w:t>
      </w:r>
      <w:r w:rsidR="002B3673" w:rsidRPr="006A05E3">
        <w:rPr>
          <w:rFonts w:cs="Times New Roman"/>
          <w:color w:val="000000"/>
          <w:szCs w:val="24"/>
        </w:rPr>
        <w:t xml:space="preserve">uygulama gruplarında </w:t>
      </w:r>
      <w:r w:rsidR="002B3673">
        <w:rPr>
          <w:rFonts w:cs="Times New Roman"/>
          <w:color w:val="000000"/>
          <w:szCs w:val="24"/>
        </w:rPr>
        <w:t>HK2</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düzeylerinin karşılaştırılması. *</w:t>
      </w:r>
      <w:r w:rsidR="000427C0">
        <w:rPr>
          <w:rFonts w:cs="Times New Roman"/>
          <w:color w:val="000000"/>
          <w:szCs w:val="24"/>
        </w:rPr>
        <w:t>p</w:t>
      </w:r>
      <w:r w:rsidR="002B3673"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3D2CFB">
      <w:pPr>
        <w:pStyle w:val="Balk2"/>
        <w:rPr>
          <w:rFonts w:eastAsia="Times New Roman"/>
          <w:lang w:eastAsia="tr-TR"/>
        </w:rPr>
      </w:pPr>
      <w:r w:rsidRPr="00410148">
        <w:rPr>
          <w:rFonts w:eastAsia="Times New Roman"/>
          <w:lang w:eastAsia="tr-TR"/>
        </w:rPr>
        <w:lastRenderedPageBreak/>
        <w:t>4.</w:t>
      </w:r>
      <w:r w:rsidR="00A93050">
        <w:rPr>
          <w:rFonts w:eastAsia="Times New Roman"/>
          <w:lang w:eastAsia="tr-TR"/>
        </w:rPr>
        <w:t>3</w:t>
      </w:r>
      <w:r w:rsidRPr="00410148">
        <w:rPr>
          <w:rFonts w:eastAsia="Times New Roman"/>
          <w:lang w:eastAsia="tr-TR"/>
        </w:rPr>
        <w:t>.</w:t>
      </w:r>
      <w:r>
        <w:rPr>
          <w:rFonts w:eastAsia="Times New Roman"/>
          <w:lang w:eastAsia="tr-TR"/>
        </w:rPr>
        <w:t>5</w:t>
      </w:r>
      <w:r w:rsidRPr="00410148">
        <w:rPr>
          <w:rFonts w:eastAsia="Times New Roman"/>
          <w:lang w:eastAsia="tr-TR"/>
        </w:rPr>
        <w:t xml:space="preserve"> ELISA Yönteminden Elde Edilen </w:t>
      </w:r>
      <w:r>
        <w:rPr>
          <w:rFonts w:eastAsia="Times New Roman"/>
          <w:lang w:eastAsia="tr-TR"/>
        </w:rPr>
        <w:t>PFK</w:t>
      </w:r>
      <w:r w:rsidR="003F789F">
        <w:rPr>
          <w:rFonts w:eastAsia="Times New Roman"/>
          <w:lang w:eastAsia="tr-TR"/>
        </w:rPr>
        <w:t>P</w:t>
      </w:r>
      <w:r w:rsidRPr="00410148">
        <w:rPr>
          <w:rFonts w:eastAsia="Times New Roman"/>
          <w:lang w:eastAsia="tr-TR"/>
        </w:rPr>
        <w:t xml:space="preserve"> Sonuçları</w:t>
      </w:r>
    </w:p>
    <w:p w:rsidR="002B3673" w:rsidRDefault="002B3673" w:rsidP="002B3673">
      <w:pPr>
        <w:rPr>
          <w:rFonts w:eastAsia="Times New Roman"/>
          <w:b/>
          <w:szCs w:val="24"/>
          <w:lang w:eastAsia="tr-TR"/>
        </w:rPr>
      </w:pPr>
    </w:p>
    <w:p w:rsidR="002B3673" w:rsidRDefault="002B3673" w:rsidP="002B3673">
      <w:pPr>
        <w:rPr>
          <w:rFonts w:cs="Times New Roman"/>
        </w:rPr>
      </w:pPr>
      <w:r w:rsidRPr="00BA37BB">
        <w:rPr>
          <w:rFonts w:cs="Times New Roman"/>
        </w:rPr>
        <w:t>Normoksik ve hipoksik koşullarda glukozun farklı dozlarına maruz bırakılan MCF-7 meme kanser hücre hattı gruplar</w:t>
      </w:r>
      <w:r>
        <w:rPr>
          <w:rFonts w:cs="Times New Roman"/>
        </w:rPr>
        <w:t xml:space="preserve">ında uygulama saatlerine ve glukoz </w:t>
      </w:r>
      <w:proofErr w:type="gramStart"/>
      <w:r>
        <w:rPr>
          <w:rFonts w:cs="Times New Roman"/>
        </w:rPr>
        <w:t>konsantrasyonuna</w:t>
      </w:r>
      <w:proofErr w:type="gramEnd"/>
      <w:r>
        <w:rPr>
          <w:rFonts w:cs="Times New Roman"/>
        </w:rPr>
        <w:t xml:space="preserve"> bağlı olarak PFK</w:t>
      </w:r>
      <w:r w:rsidR="0093057E">
        <w:rPr>
          <w:rFonts w:cs="Times New Roman"/>
        </w:rPr>
        <w:t>P</w:t>
      </w:r>
      <w:r>
        <w:rPr>
          <w:rFonts w:cs="Times New Roman"/>
        </w:rPr>
        <w:t xml:space="preserve"> </w:t>
      </w:r>
      <w:r w:rsidRPr="00BA37BB">
        <w:rPr>
          <w:rFonts w:cs="Times New Roman"/>
        </w:rPr>
        <w:t>düzeyle</w:t>
      </w:r>
      <w:r>
        <w:rPr>
          <w:rFonts w:cs="Times New Roman"/>
        </w:rPr>
        <w:t xml:space="preserve">rinin </w:t>
      </w:r>
      <w:r w:rsidR="009E7ACA">
        <w:rPr>
          <w:rFonts w:cs="Times New Roman"/>
        </w:rPr>
        <w:t xml:space="preserve">(ng/mL) </w:t>
      </w:r>
      <w:r>
        <w:rPr>
          <w:rFonts w:cs="Times New Roman"/>
        </w:rPr>
        <w:t>nası</w:t>
      </w:r>
      <w:r w:rsidR="004A5FAC">
        <w:rPr>
          <w:rFonts w:cs="Times New Roman"/>
        </w:rPr>
        <w:t>l değiştiği incelendi (Tablo 12</w:t>
      </w:r>
      <w:r>
        <w:rPr>
          <w:rFonts w:cs="Times New Roman"/>
        </w:rPr>
        <w:t xml:space="preserve">). </w:t>
      </w:r>
    </w:p>
    <w:p w:rsidR="002B3673" w:rsidRDefault="002B3673" w:rsidP="002B3673">
      <w:pPr>
        <w:rPr>
          <w:rFonts w:cs="Times New Roman"/>
        </w:rPr>
      </w:pPr>
    </w:p>
    <w:p w:rsidR="002B3673" w:rsidRDefault="002B3673" w:rsidP="002B3673">
      <w:pPr>
        <w:rPr>
          <w:rFonts w:eastAsia="Times New Roman"/>
          <w:b/>
          <w:szCs w:val="24"/>
          <w:lang w:eastAsia="tr-TR"/>
        </w:rPr>
      </w:pPr>
    </w:p>
    <w:p w:rsidR="002B3673" w:rsidRDefault="002B3673" w:rsidP="003D2CFB">
      <w:pPr>
        <w:pStyle w:val="Balk2"/>
        <w:rPr>
          <w:rFonts w:eastAsia="Times New Roman"/>
          <w:lang w:eastAsia="tr-TR"/>
        </w:rPr>
      </w:pPr>
      <w:r>
        <w:rPr>
          <w:rFonts w:eastAsia="Times New Roman"/>
          <w:lang w:eastAsia="tr-TR"/>
        </w:rPr>
        <w:t>4.</w:t>
      </w:r>
      <w:r w:rsidR="00A93050">
        <w:rPr>
          <w:rFonts w:eastAsia="Times New Roman"/>
          <w:lang w:eastAsia="tr-TR"/>
        </w:rPr>
        <w:t>3</w:t>
      </w:r>
      <w:r>
        <w:rPr>
          <w:rFonts w:eastAsia="Times New Roman"/>
          <w:lang w:eastAsia="tr-TR"/>
        </w:rPr>
        <w:t>.5.1 PFK</w:t>
      </w:r>
      <w:r w:rsidR="0093057E">
        <w:rPr>
          <w:rFonts w:eastAsia="Times New Roman"/>
          <w:lang w:eastAsia="tr-TR"/>
        </w:rPr>
        <w:t>P</w:t>
      </w:r>
      <w:r>
        <w:rPr>
          <w:rFonts w:eastAsia="Times New Roman"/>
          <w:lang w:eastAsia="tr-TR"/>
        </w:rPr>
        <w:t xml:space="preserve"> </w:t>
      </w:r>
      <w:r w:rsidR="00790E30">
        <w:rPr>
          <w:rFonts w:eastAsia="Times New Roman"/>
          <w:lang w:eastAsia="tr-TR"/>
        </w:rPr>
        <w:t>enzim m</w:t>
      </w:r>
      <w:r>
        <w:rPr>
          <w:rFonts w:eastAsia="Times New Roman"/>
          <w:lang w:eastAsia="tr-TR"/>
        </w:rPr>
        <w:t xml:space="preserve">iktarının </w:t>
      </w:r>
      <w:r w:rsidR="00790E30">
        <w:rPr>
          <w:rFonts w:eastAsia="Times New Roman"/>
          <w:lang w:eastAsia="tr-TR"/>
        </w:rPr>
        <w:t>z</w:t>
      </w:r>
      <w:r>
        <w:rPr>
          <w:rFonts w:eastAsia="Times New Roman"/>
          <w:lang w:eastAsia="tr-TR"/>
        </w:rPr>
        <w:t xml:space="preserve">amana ve </w:t>
      </w:r>
      <w:proofErr w:type="gramStart"/>
      <w:r w:rsidR="00790E30">
        <w:rPr>
          <w:rFonts w:eastAsia="Times New Roman"/>
          <w:lang w:eastAsia="tr-TR"/>
        </w:rPr>
        <w:t>k</w:t>
      </w:r>
      <w:r>
        <w:rPr>
          <w:rFonts w:eastAsia="Times New Roman"/>
          <w:lang w:eastAsia="tr-TR"/>
        </w:rPr>
        <w:t>onsantrasyona</w:t>
      </w:r>
      <w:proofErr w:type="gramEnd"/>
      <w:r>
        <w:rPr>
          <w:rFonts w:eastAsia="Times New Roman"/>
          <w:lang w:eastAsia="tr-TR"/>
        </w:rPr>
        <w:t xml:space="preserve"> </w:t>
      </w:r>
      <w:r w:rsidR="00790E30">
        <w:rPr>
          <w:rFonts w:eastAsia="Times New Roman"/>
          <w:lang w:eastAsia="tr-TR"/>
        </w:rPr>
        <w:t>b</w:t>
      </w:r>
      <w:r>
        <w:rPr>
          <w:rFonts w:eastAsia="Times New Roman"/>
          <w:lang w:eastAsia="tr-TR"/>
        </w:rPr>
        <w:t xml:space="preserve">ağlı </w:t>
      </w:r>
      <w:r w:rsidR="00790E30">
        <w:rPr>
          <w:rFonts w:eastAsia="Times New Roman"/>
          <w:lang w:eastAsia="tr-TR"/>
        </w:rPr>
        <w:t>d</w:t>
      </w:r>
      <w:r>
        <w:rPr>
          <w:rFonts w:eastAsia="Times New Roman"/>
          <w:lang w:eastAsia="tr-TR"/>
        </w:rPr>
        <w:t>eğişimi</w:t>
      </w:r>
    </w:p>
    <w:p w:rsidR="002B3673" w:rsidRDefault="002B3673" w:rsidP="002B3673">
      <w:pPr>
        <w:rPr>
          <w:rFonts w:eastAsia="Times New Roman"/>
          <w:b/>
          <w:szCs w:val="24"/>
          <w:lang w:eastAsia="tr-TR"/>
        </w:rPr>
      </w:pPr>
    </w:p>
    <w:p w:rsidR="002B3673" w:rsidRPr="00C63AC0" w:rsidRDefault="004A5FAC" w:rsidP="003D2CFB">
      <w:pPr>
        <w:ind w:firstLine="0"/>
        <w:rPr>
          <w:rFonts w:cs="Times New Roman"/>
          <w:color w:val="000000"/>
          <w:sz w:val="28"/>
          <w:szCs w:val="24"/>
        </w:rPr>
      </w:pPr>
      <w:r>
        <w:rPr>
          <w:rFonts w:cs="Times New Roman"/>
          <w:b/>
        </w:rPr>
        <w:t>Tablo 12</w:t>
      </w:r>
      <w:r w:rsidR="002B3673" w:rsidRPr="002367F3">
        <w:rPr>
          <w:rFonts w:cs="Times New Roman"/>
          <w:b/>
        </w:rPr>
        <w:t>.</w:t>
      </w:r>
      <w:r w:rsidR="002B3673">
        <w:rPr>
          <w:rFonts w:cs="Times New Roman"/>
        </w:rPr>
        <w:t xml:space="preserve"> Normoksik ve </w:t>
      </w:r>
      <w:r w:rsidR="002B3673">
        <w:rPr>
          <w:rFonts w:cs="Times New Roman"/>
          <w:color w:val="000000"/>
          <w:szCs w:val="24"/>
        </w:rPr>
        <w:t xml:space="preserve">hipoksik ortamda glukozun farklı </w:t>
      </w:r>
      <w:proofErr w:type="gramStart"/>
      <w:r w:rsidR="002B3673">
        <w:rPr>
          <w:rFonts w:cs="Times New Roman"/>
          <w:color w:val="000000"/>
          <w:szCs w:val="24"/>
        </w:rPr>
        <w:t>konsantrasyonlu</w:t>
      </w:r>
      <w:proofErr w:type="gramEnd"/>
      <w:r w:rsidR="002B3673">
        <w:rPr>
          <w:rFonts w:cs="Times New Roman"/>
          <w:color w:val="000000"/>
          <w:szCs w:val="24"/>
        </w:rPr>
        <w:t xml:space="preserve"> uygulama gruplarında 6, 12, 24 ve 48 saat inkübasyonu sonucu elde edilen PFK</w:t>
      </w:r>
      <w:r w:rsidR="0093057E">
        <w:rPr>
          <w:rFonts w:cs="Times New Roman"/>
          <w:color w:val="000000"/>
          <w:szCs w:val="24"/>
        </w:rPr>
        <w:t>P</w:t>
      </w:r>
      <w:r w:rsidR="002B3673">
        <w:rPr>
          <w:rFonts w:cs="Times New Roman"/>
          <w:color w:val="000000"/>
          <w:szCs w:val="24"/>
        </w:rPr>
        <w:t xml:space="preserve"> enzim miktarları ve standart hata değerleri.</w:t>
      </w:r>
    </w:p>
    <w:tbl>
      <w:tblPr>
        <w:tblStyle w:val="TabloKlavuzu2"/>
        <w:tblW w:w="8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14"/>
        <w:gridCol w:w="1938"/>
        <w:gridCol w:w="1334"/>
        <w:gridCol w:w="2194"/>
        <w:gridCol w:w="1294"/>
      </w:tblGrid>
      <w:tr w:rsidR="002827AB" w:rsidRPr="00C63AC0" w:rsidTr="00324B03">
        <w:trPr>
          <w:trHeight w:val="299"/>
        </w:trPr>
        <w:tc>
          <w:tcPr>
            <w:tcW w:w="2214" w:type="dxa"/>
            <w:tcBorders>
              <w:top w:val="single" w:sz="4" w:space="0" w:color="auto"/>
              <w:bottom w:val="single" w:sz="4" w:space="0" w:color="auto"/>
            </w:tcBorders>
            <w:shd w:val="clear" w:color="auto" w:fill="FFFFFF" w:themeFill="background1"/>
            <w:noWrap/>
            <w:hideMark/>
          </w:tcPr>
          <w:p w:rsidR="002827AB" w:rsidRPr="00C63AC0" w:rsidRDefault="002827AB" w:rsidP="002827AB">
            <w:pPr>
              <w:spacing w:line="240" w:lineRule="auto"/>
              <w:ind w:firstLine="0"/>
              <w:jc w:val="center"/>
              <w:rPr>
                <w:rFonts w:eastAsia="Times New Roman"/>
                <w:b/>
                <w:iCs/>
                <w:sz w:val="20"/>
                <w:szCs w:val="18"/>
                <w:lang w:eastAsia="tr-TR"/>
              </w:rPr>
            </w:pPr>
            <w:r w:rsidRPr="00C63AC0">
              <w:rPr>
                <w:rFonts w:eastAsia="Times New Roman"/>
                <w:b/>
                <w:iCs/>
                <w:sz w:val="20"/>
                <w:szCs w:val="18"/>
                <w:lang w:eastAsia="tr-TR"/>
              </w:rPr>
              <w:t>N</w:t>
            </w:r>
            <w:r w:rsidR="00C63AC0" w:rsidRPr="00C63AC0">
              <w:rPr>
                <w:rFonts w:eastAsia="Times New Roman"/>
                <w:b/>
                <w:iCs/>
                <w:sz w:val="20"/>
                <w:szCs w:val="18"/>
                <w:lang w:eastAsia="tr-TR"/>
              </w:rPr>
              <w:t>ormoksi</w:t>
            </w:r>
          </w:p>
        </w:tc>
        <w:tc>
          <w:tcPr>
            <w:tcW w:w="1938" w:type="dxa"/>
            <w:tcBorders>
              <w:top w:val="single" w:sz="4" w:space="0" w:color="auto"/>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b/>
                <w:iCs/>
                <w:sz w:val="20"/>
                <w:szCs w:val="18"/>
                <w:lang w:eastAsia="tr-TR"/>
              </w:rPr>
            </w:pPr>
            <w:r w:rsidRPr="00C63AC0">
              <w:rPr>
                <w:rFonts w:eastAsia="Times New Roman"/>
                <w:b/>
                <w:iCs/>
                <w:sz w:val="20"/>
                <w:szCs w:val="18"/>
                <w:lang w:eastAsia="tr-TR"/>
              </w:rPr>
              <w:t>6.S</w:t>
            </w:r>
            <w:r w:rsidR="00C63AC0" w:rsidRPr="00C63AC0">
              <w:rPr>
                <w:rFonts w:eastAsia="Times New Roman"/>
                <w:b/>
                <w:iCs/>
                <w:sz w:val="20"/>
                <w:szCs w:val="18"/>
                <w:lang w:eastAsia="tr-TR"/>
              </w:rPr>
              <w:t>aat</w:t>
            </w:r>
          </w:p>
        </w:tc>
        <w:tc>
          <w:tcPr>
            <w:tcW w:w="1334" w:type="dxa"/>
            <w:tcBorders>
              <w:top w:val="single" w:sz="4" w:space="0" w:color="auto"/>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b/>
                <w:iCs/>
                <w:sz w:val="20"/>
                <w:szCs w:val="18"/>
                <w:lang w:eastAsia="tr-TR"/>
              </w:rPr>
            </w:pPr>
            <w:r w:rsidRPr="00C63AC0">
              <w:rPr>
                <w:rFonts w:eastAsia="Times New Roman"/>
                <w:b/>
                <w:iCs/>
                <w:sz w:val="20"/>
                <w:szCs w:val="18"/>
                <w:lang w:eastAsia="tr-TR"/>
              </w:rPr>
              <w:t>12.S</w:t>
            </w:r>
            <w:r w:rsidR="00C63AC0" w:rsidRPr="00C63AC0">
              <w:rPr>
                <w:rFonts w:eastAsia="Times New Roman"/>
                <w:b/>
                <w:iCs/>
                <w:sz w:val="20"/>
                <w:szCs w:val="18"/>
                <w:lang w:eastAsia="tr-TR"/>
              </w:rPr>
              <w:t>aat</w:t>
            </w:r>
          </w:p>
        </w:tc>
        <w:tc>
          <w:tcPr>
            <w:tcW w:w="2194" w:type="dxa"/>
            <w:tcBorders>
              <w:top w:val="single" w:sz="4" w:space="0" w:color="auto"/>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b/>
                <w:iCs/>
                <w:sz w:val="20"/>
                <w:szCs w:val="18"/>
                <w:lang w:eastAsia="tr-TR"/>
              </w:rPr>
            </w:pPr>
            <w:r w:rsidRPr="00C63AC0">
              <w:rPr>
                <w:rFonts w:eastAsia="Times New Roman"/>
                <w:b/>
                <w:iCs/>
                <w:sz w:val="20"/>
                <w:szCs w:val="18"/>
                <w:lang w:eastAsia="tr-TR"/>
              </w:rPr>
              <w:t>24.S</w:t>
            </w:r>
            <w:r w:rsidR="00C63AC0" w:rsidRPr="00C63AC0">
              <w:rPr>
                <w:rFonts w:eastAsia="Times New Roman"/>
                <w:b/>
                <w:iCs/>
                <w:sz w:val="20"/>
                <w:szCs w:val="18"/>
                <w:lang w:eastAsia="tr-TR"/>
              </w:rPr>
              <w:t>aat</w:t>
            </w:r>
          </w:p>
        </w:tc>
        <w:tc>
          <w:tcPr>
            <w:tcW w:w="1294" w:type="dxa"/>
            <w:tcBorders>
              <w:top w:val="single" w:sz="4" w:space="0" w:color="auto"/>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b/>
                <w:iCs/>
                <w:sz w:val="20"/>
                <w:szCs w:val="18"/>
                <w:lang w:eastAsia="tr-TR"/>
              </w:rPr>
            </w:pPr>
            <w:r w:rsidRPr="00C63AC0">
              <w:rPr>
                <w:rFonts w:eastAsia="Times New Roman"/>
                <w:b/>
                <w:iCs/>
                <w:sz w:val="20"/>
                <w:szCs w:val="18"/>
                <w:lang w:eastAsia="tr-TR"/>
              </w:rPr>
              <w:t>48.S</w:t>
            </w:r>
            <w:r w:rsidR="00C63AC0" w:rsidRPr="00C63AC0">
              <w:rPr>
                <w:rFonts w:eastAsia="Times New Roman"/>
                <w:b/>
                <w:iCs/>
                <w:sz w:val="20"/>
                <w:szCs w:val="18"/>
                <w:lang w:eastAsia="tr-TR"/>
              </w:rPr>
              <w:t>aat</w:t>
            </w:r>
          </w:p>
        </w:tc>
      </w:tr>
      <w:tr w:rsidR="002827AB" w:rsidRPr="002827AB" w:rsidTr="00C63AC0">
        <w:trPr>
          <w:trHeight w:val="299"/>
        </w:trPr>
        <w:tc>
          <w:tcPr>
            <w:tcW w:w="2214" w:type="dxa"/>
            <w:tcBorders>
              <w:top w:val="single" w:sz="4" w:space="0" w:color="auto"/>
            </w:tcBorders>
            <w:shd w:val="clear" w:color="auto" w:fill="FFFFFF" w:themeFill="background1"/>
            <w:noWrap/>
            <w:hideMark/>
          </w:tcPr>
          <w:p w:rsidR="002827AB" w:rsidRPr="00C63AC0" w:rsidRDefault="002827AB" w:rsidP="002827AB">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0mM</w:t>
            </w:r>
          </w:p>
        </w:tc>
        <w:tc>
          <w:tcPr>
            <w:tcW w:w="1938" w:type="dxa"/>
            <w:tcBorders>
              <w:top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0,92</w:t>
            </w:r>
            <w:r w:rsidRPr="00C63AC0">
              <w:rPr>
                <w:rFonts w:eastAsia="Times New Roman"/>
                <w:sz w:val="18"/>
                <w:szCs w:val="18"/>
                <w:lang w:eastAsia="tr-TR"/>
              </w:rPr>
              <w:t>±</w:t>
            </w:r>
            <w:r w:rsidRPr="00C63AC0">
              <w:rPr>
                <w:rFonts w:eastAsia="Times New Roman"/>
                <w:iCs/>
                <w:sz w:val="18"/>
                <w:szCs w:val="18"/>
                <w:lang w:eastAsia="tr-TR"/>
              </w:rPr>
              <w:t>0,01</w:t>
            </w:r>
            <w:r w:rsidRPr="00C63AC0">
              <w:rPr>
                <w:rFonts w:eastAsia="Times New Roman"/>
                <w:iCs/>
                <w:sz w:val="18"/>
                <w:szCs w:val="18"/>
                <w:vertAlign w:val="superscript"/>
                <w:lang w:eastAsia="tr-TR"/>
              </w:rPr>
              <w:t>aA</w:t>
            </w:r>
          </w:p>
        </w:tc>
        <w:tc>
          <w:tcPr>
            <w:tcW w:w="1334" w:type="dxa"/>
            <w:tcBorders>
              <w:top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0,59±0,01</w:t>
            </w:r>
            <w:r w:rsidRPr="00C63AC0">
              <w:rPr>
                <w:rFonts w:eastAsia="Times New Roman"/>
                <w:iCs/>
                <w:sz w:val="18"/>
                <w:szCs w:val="18"/>
                <w:vertAlign w:val="superscript"/>
                <w:lang w:eastAsia="tr-TR"/>
              </w:rPr>
              <w:t>bA</w:t>
            </w:r>
          </w:p>
        </w:tc>
        <w:tc>
          <w:tcPr>
            <w:tcW w:w="2194" w:type="dxa"/>
            <w:tcBorders>
              <w:top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0,97±0,01</w:t>
            </w:r>
            <w:r w:rsidRPr="00C63AC0">
              <w:rPr>
                <w:rFonts w:eastAsia="Times New Roman"/>
                <w:iCs/>
                <w:sz w:val="18"/>
                <w:szCs w:val="18"/>
                <w:vertAlign w:val="superscript"/>
                <w:lang w:eastAsia="tr-TR"/>
              </w:rPr>
              <w:t>aA</w:t>
            </w:r>
          </w:p>
        </w:tc>
        <w:tc>
          <w:tcPr>
            <w:tcW w:w="1294" w:type="dxa"/>
            <w:tcBorders>
              <w:top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0,61±0,01</w:t>
            </w:r>
            <w:r w:rsidRPr="00C63AC0">
              <w:rPr>
                <w:rFonts w:eastAsia="Times New Roman"/>
                <w:iCs/>
                <w:sz w:val="18"/>
                <w:szCs w:val="18"/>
                <w:vertAlign w:val="superscript"/>
                <w:lang w:eastAsia="tr-TR"/>
              </w:rPr>
              <w:t>cA</w:t>
            </w:r>
          </w:p>
        </w:tc>
      </w:tr>
      <w:tr w:rsidR="002827AB" w:rsidRPr="002827AB" w:rsidTr="00C63AC0">
        <w:trPr>
          <w:trHeight w:val="299"/>
        </w:trPr>
        <w:tc>
          <w:tcPr>
            <w:tcW w:w="2214" w:type="dxa"/>
            <w:shd w:val="clear" w:color="auto" w:fill="FFFFFF" w:themeFill="background1"/>
            <w:noWrap/>
            <w:hideMark/>
          </w:tcPr>
          <w:p w:rsidR="002827AB" w:rsidRPr="00C63AC0" w:rsidRDefault="002827AB" w:rsidP="002827AB">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5.5mM</w:t>
            </w:r>
          </w:p>
        </w:tc>
        <w:tc>
          <w:tcPr>
            <w:tcW w:w="1938" w:type="dxa"/>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0,78±0,01</w:t>
            </w:r>
            <w:r w:rsidRPr="00C63AC0">
              <w:rPr>
                <w:rFonts w:eastAsia="Times New Roman"/>
                <w:iCs/>
                <w:sz w:val="18"/>
                <w:szCs w:val="18"/>
                <w:vertAlign w:val="superscript"/>
                <w:lang w:eastAsia="tr-TR"/>
              </w:rPr>
              <w:t>aB</w:t>
            </w:r>
          </w:p>
        </w:tc>
        <w:tc>
          <w:tcPr>
            <w:tcW w:w="1334" w:type="dxa"/>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0,24±0,0</w:t>
            </w:r>
            <w:r w:rsidR="000A31CC" w:rsidRPr="00C63AC0">
              <w:rPr>
                <w:rFonts w:eastAsia="Times New Roman"/>
                <w:iCs/>
                <w:sz w:val="18"/>
                <w:szCs w:val="18"/>
                <w:lang w:eastAsia="tr-TR"/>
              </w:rPr>
              <w:t>2</w:t>
            </w:r>
            <w:r w:rsidRPr="00C63AC0">
              <w:rPr>
                <w:rFonts w:eastAsia="Times New Roman"/>
                <w:iCs/>
                <w:sz w:val="18"/>
                <w:szCs w:val="18"/>
                <w:vertAlign w:val="superscript"/>
                <w:lang w:eastAsia="tr-TR"/>
              </w:rPr>
              <w:t>bB</w:t>
            </w:r>
          </w:p>
        </w:tc>
        <w:tc>
          <w:tcPr>
            <w:tcW w:w="2194" w:type="dxa"/>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0,33±0,0</w:t>
            </w:r>
            <w:r w:rsidR="000A31CC" w:rsidRPr="00C63AC0">
              <w:rPr>
                <w:rFonts w:eastAsia="Times New Roman"/>
                <w:iCs/>
                <w:sz w:val="18"/>
                <w:szCs w:val="18"/>
                <w:lang w:eastAsia="tr-TR"/>
              </w:rPr>
              <w:t>6</w:t>
            </w:r>
            <w:r w:rsidRPr="00C63AC0">
              <w:rPr>
                <w:rFonts w:eastAsia="Times New Roman"/>
                <w:iCs/>
                <w:sz w:val="18"/>
                <w:szCs w:val="18"/>
                <w:vertAlign w:val="superscript"/>
                <w:lang w:eastAsia="tr-TR"/>
              </w:rPr>
              <w:t>cB</w:t>
            </w:r>
          </w:p>
        </w:tc>
        <w:tc>
          <w:tcPr>
            <w:tcW w:w="1294" w:type="dxa"/>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0,45±0,0</w:t>
            </w:r>
            <w:r w:rsidR="000A31CC" w:rsidRPr="00C63AC0">
              <w:rPr>
                <w:rFonts w:eastAsia="Times New Roman"/>
                <w:iCs/>
                <w:sz w:val="18"/>
                <w:szCs w:val="18"/>
                <w:lang w:eastAsia="tr-TR"/>
              </w:rPr>
              <w:t>7</w:t>
            </w:r>
            <w:r w:rsidRPr="00C63AC0">
              <w:rPr>
                <w:rFonts w:eastAsia="Times New Roman"/>
                <w:iCs/>
                <w:sz w:val="18"/>
                <w:szCs w:val="18"/>
                <w:vertAlign w:val="superscript"/>
                <w:lang w:eastAsia="tr-TR"/>
              </w:rPr>
              <w:t>dB</w:t>
            </w:r>
          </w:p>
        </w:tc>
      </w:tr>
      <w:tr w:rsidR="002827AB" w:rsidRPr="002827AB" w:rsidTr="00C63AC0">
        <w:trPr>
          <w:trHeight w:val="299"/>
        </w:trPr>
        <w:tc>
          <w:tcPr>
            <w:tcW w:w="2214" w:type="dxa"/>
            <w:shd w:val="clear" w:color="auto" w:fill="FFFFFF" w:themeFill="background1"/>
            <w:noWrap/>
            <w:hideMark/>
          </w:tcPr>
          <w:p w:rsidR="002827AB" w:rsidRPr="00C63AC0" w:rsidRDefault="002827AB" w:rsidP="002827AB">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15mM</w:t>
            </w:r>
          </w:p>
        </w:tc>
        <w:tc>
          <w:tcPr>
            <w:tcW w:w="1938" w:type="dxa"/>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0,04±0,0</w:t>
            </w:r>
            <w:r w:rsidR="000A31CC" w:rsidRPr="00C63AC0">
              <w:rPr>
                <w:rFonts w:eastAsia="Times New Roman"/>
                <w:iCs/>
                <w:sz w:val="18"/>
                <w:szCs w:val="18"/>
                <w:lang w:eastAsia="tr-TR"/>
              </w:rPr>
              <w:t>05</w:t>
            </w:r>
            <w:r w:rsidRPr="00C63AC0">
              <w:rPr>
                <w:rFonts w:eastAsia="Times New Roman"/>
                <w:iCs/>
                <w:sz w:val="18"/>
                <w:szCs w:val="18"/>
                <w:vertAlign w:val="superscript"/>
                <w:lang w:eastAsia="tr-TR"/>
              </w:rPr>
              <w:t>aC</w:t>
            </w:r>
          </w:p>
        </w:tc>
        <w:tc>
          <w:tcPr>
            <w:tcW w:w="1334" w:type="dxa"/>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0,68±0,01</w:t>
            </w:r>
            <w:r w:rsidRPr="00C63AC0">
              <w:rPr>
                <w:rFonts w:eastAsia="Times New Roman"/>
                <w:iCs/>
                <w:sz w:val="18"/>
                <w:szCs w:val="18"/>
                <w:vertAlign w:val="superscript"/>
                <w:lang w:eastAsia="tr-TR"/>
              </w:rPr>
              <w:t>bC</w:t>
            </w:r>
          </w:p>
        </w:tc>
        <w:tc>
          <w:tcPr>
            <w:tcW w:w="2194" w:type="dxa"/>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0,01±0,01</w:t>
            </w:r>
            <w:r w:rsidRPr="00C63AC0">
              <w:rPr>
                <w:rFonts w:eastAsia="Times New Roman"/>
                <w:iCs/>
                <w:sz w:val="18"/>
                <w:szCs w:val="18"/>
                <w:vertAlign w:val="superscript"/>
                <w:lang w:eastAsia="tr-TR"/>
              </w:rPr>
              <w:t>aC</w:t>
            </w:r>
          </w:p>
        </w:tc>
        <w:tc>
          <w:tcPr>
            <w:tcW w:w="1294" w:type="dxa"/>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0,64±0,01</w:t>
            </w:r>
            <w:r w:rsidRPr="00C63AC0">
              <w:rPr>
                <w:rFonts w:eastAsia="Times New Roman"/>
                <w:iCs/>
                <w:sz w:val="18"/>
                <w:szCs w:val="18"/>
                <w:vertAlign w:val="superscript"/>
                <w:lang w:eastAsia="tr-TR"/>
              </w:rPr>
              <w:t>bA</w:t>
            </w:r>
          </w:p>
        </w:tc>
      </w:tr>
      <w:tr w:rsidR="002827AB" w:rsidRPr="002827AB" w:rsidTr="00324B03">
        <w:trPr>
          <w:trHeight w:val="299"/>
        </w:trPr>
        <w:tc>
          <w:tcPr>
            <w:tcW w:w="2214" w:type="dxa"/>
            <w:tcBorders>
              <w:bottom w:val="single" w:sz="4" w:space="0" w:color="auto"/>
            </w:tcBorders>
            <w:shd w:val="clear" w:color="auto" w:fill="FFFFFF" w:themeFill="background1"/>
            <w:noWrap/>
            <w:hideMark/>
          </w:tcPr>
          <w:p w:rsidR="002827AB" w:rsidRPr="00C63AC0" w:rsidRDefault="002827AB" w:rsidP="002827AB">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55mM</w:t>
            </w:r>
          </w:p>
        </w:tc>
        <w:tc>
          <w:tcPr>
            <w:tcW w:w="1938" w:type="dxa"/>
            <w:tcBorders>
              <w:bottom w:val="single" w:sz="4" w:space="0" w:color="auto"/>
            </w:tcBorders>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0,20±0,0</w:t>
            </w:r>
            <w:r w:rsidR="000A31CC" w:rsidRPr="00C63AC0">
              <w:rPr>
                <w:rFonts w:eastAsia="Times New Roman"/>
                <w:iCs/>
                <w:sz w:val="18"/>
                <w:szCs w:val="18"/>
                <w:lang w:eastAsia="tr-TR"/>
              </w:rPr>
              <w:t>4</w:t>
            </w:r>
            <w:r w:rsidRPr="00C63AC0">
              <w:rPr>
                <w:rFonts w:eastAsia="Times New Roman"/>
                <w:iCs/>
                <w:sz w:val="18"/>
                <w:szCs w:val="18"/>
                <w:vertAlign w:val="superscript"/>
                <w:lang w:eastAsia="tr-TR"/>
              </w:rPr>
              <w:t>aD</w:t>
            </w:r>
          </w:p>
        </w:tc>
        <w:tc>
          <w:tcPr>
            <w:tcW w:w="1334" w:type="dxa"/>
            <w:tcBorders>
              <w:bottom w:val="single" w:sz="4" w:space="0" w:color="auto"/>
            </w:tcBorders>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1,13±0,0</w:t>
            </w:r>
            <w:r w:rsidR="000A31CC" w:rsidRPr="00C63AC0">
              <w:rPr>
                <w:rFonts w:eastAsia="Times New Roman"/>
                <w:iCs/>
                <w:sz w:val="18"/>
                <w:szCs w:val="18"/>
                <w:lang w:eastAsia="tr-TR"/>
              </w:rPr>
              <w:t>8</w:t>
            </w:r>
            <w:r w:rsidRPr="00C63AC0">
              <w:rPr>
                <w:rFonts w:eastAsia="Times New Roman"/>
                <w:iCs/>
                <w:sz w:val="18"/>
                <w:szCs w:val="18"/>
                <w:vertAlign w:val="superscript"/>
                <w:lang w:eastAsia="tr-TR"/>
              </w:rPr>
              <w:t>bD</w:t>
            </w:r>
          </w:p>
        </w:tc>
        <w:tc>
          <w:tcPr>
            <w:tcW w:w="2194" w:type="dxa"/>
            <w:tcBorders>
              <w:bottom w:val="single" w:sz="4" w:space="0" w:color="auto"/>
            </w:tcBorders>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0,31±0,0</w:t>
            </w:r>
            <w:r w:rsidR="000A31CC" w:rsidRPr="00C63AC0">
              <w:rPr>
                <w:rFonts w:eastAsia="Times New Roman"/>
                <w:iCs/>
                <w:sz w:val="18"/>
                <w:szCs w:val="18"/>
                <w:lang w:eastAsia="tr-TR"/>
              </w:rPr>
              <w:t>05</w:t>
            </w:r>
            <w:r w:rsidRPr="00C63AC0">
              <w:rPr>
                <w:rFonts w:eastAsia="Times New Roman"/>
                <w:iCs/>
                <w:sz w:val="18"/>
                <w:szCs w:val="18"/>
                <w:vertAlign w:val="superscript"/>
                <w:lang w:eastAsia="tr-TR"/>
              </w:rPr>
              <w:t>cB</w:t>
            </w:r>
          </w:p>
        </w:tc>
        <w:tc>
          <w:tcPr>
            <w:tcW w:w="1294" w:type="dxa"/>
            <w:tcBorders>
              <w:bottom w:val="single" w:sz="4" w:space="0" w:color="auto"/>
            </w:tcBorders>
            <w:shd w:val="clear" w:color="auto" w:fill="FFFFFF" w:themeFill="background1"/>
            <w:noWrap/>
            <w:hideMark/>
          </w:tcPr>
          <w:p w:rsidR="002827AB" w:rsidRPr="00C63AC0" w:rsidRDefault="000A31CC"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0,89±0,03</w:t>
            </w:r>
            <w:r w:rsidR="002827AB" w:rsidRPr="00C63AC0">
              <w:rPr>
                <w:rFonts w:eastAsia="Times New Roman"/>
                <w:iCs/>
                <w:sz w:val="18"/>
                <w:szCs w:val="18"/>
                <w:vertAlign w:val="superscript"/>
                <w:lang w:eastAsia="tr-TR"/>
              </w:rPr>
              <w:t>dC</w:t>
            </w:r>
          </w:p>
        </w:tc>
      </w:tr>
      <w:tr w:rsidR="002827AB" w:rsidRPr="002827AB" w:rsidTr="00324B03">
        <w:trPr>
          <w:trHeight w:val="299"/>
        </w:trPr>
        <w:tc>
          <w:tcPr>
            <w:tcW w:w="2214" w:type="dxa"/>
            <w:tcBorders>
              <w:top w:val="single" w:sz="4" w:space="0" w:color="auto"/>
              <w:bottom w:val="single" w:sz="4" w:space="0" w:color="auto"/>
            </w:tcBorders>
            <w:shd w:val="clear" w:color="auto" w:fill="FFFFFF" w:themeFill="background1"/>
            <w:noWrap/>
            <w:hideMark/>
          </w:tcPr>
          <w:p w:rsidR="002827AB" w:rsidRPr="00C63AC0" w:rsidRDefault="002827AB" w:rsidP="002827AB">
            <w:pPr>
              <w:spacing w:line="240" w:lineRule="auto"/>
              <w:ind w:firstLine="0"/>
              <w:jc w:val="center"/>
              <w:rPr>
                <w:rFonts w:eastAsia="Times New Roman"/>
                <w:b/>
                <w:iCs/>
                <w:sz w:val="20"/>
                <w:szCs w:val="18"/>
                <w:lang w:eastAsia="tr-TR"/>
              </w:rPr>
            </w:pPr>
            <w:r w:rsidRPr="00C63AC0">
              <w:rPr>
                <w:rFonts w:eastAsia="Times New Roman"/>
                <w:b/>
                <w:iCs/>
                <w:sz w:val="20"/>
                <w:szCs w:val="18"/>
                <w:lang w:eastAsia="tr-TR"/>
              </w:rPr>
              <w:t>H</w:t>
            </w:r>
            <w:r w:rsidR="00C63AC0" w:rsidRPr="00C63AC0">
              <w:rPr>
                <w:rFonts w:eastAsia="Times New Roman"/>
                <w:b/>
                <w:iCs/>
                <w:sz w:val="20"/>
                <w:szCs w:val="18"/>
                <w:lang w:eastAsia="tr-TR"/>
              </w:rPr>
              <w:t>ipoksi</w:t>
            </w:r>
          </w:p>
        </w:tc>
        <w:tc>
          <w:tcPr>
            <w:tcW w:w="1938" w:type="dxa"/>
            <w:tcBorders>
              <w:top w:val="single" w:sz="4" w:space="0" w:color="auto"/>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b/>
                <w:bCs/>
                <w:iCs/>
                <w:sz w:val="20"/>
                <w:szCs w:val="18"/>
                <w:lang w:eastAsia="tr-TR"/>
              </w:rPr>
            </w:pPr>
            <w:r w:rsidRPr="00C63AC0">
              <w:rPr>
                <w:rFonts w:eastAsia="Times New Roman"/>
                <w:b/>
                <w:bCs/>
                <w:iCs/>
                <w:sz w:val="20"/>
                <w:szCs w:val="18"/>
                <w:lang w:eastAsia="tr-TR"/>
              </w:rPr>
              <w:t>6.S</w:t>
            </w:r>
            <w:r w:rsidR="00C63AC0" w:rsidRPr="00C63AC0">
              <w:rPr>
                <w:rFonts w:eastAsia="Times New Roman"/>
                <w:b/>
                <w:bCs/>
                <w:iCs/>
                <w:sz w:val="20"/>
                <w:szCs w:val="18"/>
                <w:lang w:eastAsia="tr-TR"/>
              </w:rPr>
              <w:t>aat</w:t>
            </w:r>
          </w:p>
        </w:tc>
        <w:tc>
          <w:tcPr>
            <w:tcW w:w="1334" w:type="dxa"/>
            <w:tcBorders>
              <w:top w:val="single" w:sz="4" w:space="0" w:color="auto"/>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b/>
                <w:bCs/>
                <w:iCs/>
                <w:sz w:val="20"/>
                <w:szCs w:val="18"/>
                <w:lang w:eastAsia="tr-TR"/>
              </w:rPr>
            </w:pPr>
            <w:r w:rsidRPr="00C63AC0">
              <w:rPr>
                <w:rFonts w:eastAsia="Times New Roman"/>
                <w:b/>
                <w:bCs/>
                <w:iCs/>
                <w:sz w:val="20"/>
                <w:szCs w:val="18"/>
                <w:lang w:eastAsia="tr-TR"/>
              </w:rPr>
              <w:t>12.S</w:t>
            </w:r>
            <w:r w:rsidR="00C63AC0" w:rsidRPr="00C63AC0">
              <w:rPr>
                <w:rFonts w:eastAsia="Times New Roman"/>
                <w:b/>
                <w:bCs/>
                <w:iCs/>
                <w:sz w:val="20"/>
                <w:szCs w:val="18"/>
                <w:lang w:eastAsia="tr-TR"/>
              </w:rPr>
              <w:t>aat</w:t>
            </w:r>
          </w:p>
        </w:tc>
        <w:tc>
          <w:tcPr>
            <w:tcW w:w="2194" w:type="dxa"/>
            <w:tcBorders>
              <w:top w:val="single" w:sz="4" w:space="0" w:color="auto"/>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b/>
                <w:bCs/>
                <w:iCs/>
                <w:sz w:val="20"/>
                <w:szCs w:val="18"/>
                <w:lang w:eastAsia="tr-TR"/>
              </w:rPr>
            </w:pPr>
            <w:r w:rsidRPr="00C63AC0">
              <w:rPr>
                <w:rFonts w:eastAsia="Times New Roman"/>
                <w:b/>
                <w:bCs/>
                <w:iCs/>
                <w:sz w:val="20"/>
                <w:szCs w:val="18"/>
                <w:lang w:eastAsia="tr-TR"/>
              </w:rPr>
              <w:t>24.S</w:t>
            </w:r>
            <w:r w:rsidR="00C63AC0" w:rsidRPr="00C63AC0">
              <w:rPr>
                <w:rFonts w:eastAsia="Times New Roman"/>
                <w:b/>
                <w:bCs/>
                <w:iCs/>
                <w:sz w:val="20"/>
                <w:szCs w:val="18"/>
                <w:lang w:eastAsia="tr-TR"/>
              </w:rPr>
              <w:t>aat</w:t>
            </w:r>
          </w:p>
        </w:tc>
        <w:tc>
          <w:tcPr>
            <w:tcW w:w="1294" w:type="dxa"/>
            <w:tcBorders>
              <w:top w:val="single" w:sz="4" w:space="0" w:color="auto"/>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b/>
                <w:bCs/>
                <w:iCs/>
                <w:sz w:val="20"/>
                <w:szCs w:val="18"/>
                <w:lang w:eastAsia="tr-TR"/>
              </w:rPr>
            </w:pPr>
            <w:r w:rsidRPr="00C63AC0">
              <w:rPr>
                <w:rFonts w:eastAsia="Times New Roman"/>
                <w:b/>
                <w:bCs/>
                <w:iCs/>
                <w:sz w:val="20"/>
                <w:szCs w:val="18"/>
                <w:lang w:eastAsia="tr-TR"/>
              </w:rPr>
              <w:t>48.S</w:t>
            </w:r>
            <w:r w:rsidR="00C63AC0" w:rsidRPr="00C63AC0">
              <w:rPr>
                <w:rFonts w:eastAsia="Times New Roman"/>
                <w:b/>
                <w:bCs/>
                <w:iCs/>
                <w:sz w:val="20"/>
                <w:szCs w:val="18"/>
                <w:lang w:eastAsia="tr-TR"/>
              </w:rPr>
              <w:t>aat</w:t>
            </w:r>
          </w:p>
        </w:tc>
      </w:tr>
      <w:tr w:rsidR="002827AB" w:rsidRPr="002827AB" w:rsidTr="00C63AC0">
        <w:trPr>
          <w:trHeight w:val="299"/>
        </w:trPr>
        <w:tc>
          <w:tcPr>
            <w:tcW w:w="2214" w:type="dxa"/>
            <w:tcBorders>
              <w:top w:val="single" w:sz="4" w:space="0" w:color="auto"/>
            </w:tcBorders>
            <w:shd w:val="clear" w:color="auto" w:fill="FFFFFF" w:themeFill="background1"/>
            <w:noWrap/>
            <w:hideMark/>
          </w:tcPr>
          <w:p w:rsidR="002827AB" w:rsidRPr="00C63AC0" w:rsidRDefault="002827AB" w:rsidP="002827AB">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0mM</w:t>
            </w:r>
          </w:p>
        </w:tc>
        <w:tc>
          <w:tcPr>
            <w:tcW w:w="1938" w:type="dxa"/>
            <w:tcBorders>
              <w:top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0,82±0,01</w:t>
            </w:r>
            <w:r w:rsidRPr="00C63AC0">
              <w:rPr>
                <w:rFonts w:eastAsia="Times New Roman"/>
                <w:iCs/>
                <w:sz w:val="18"/>
                <w:szCs w:val="18"/>
                <w:vertAlign w:val="superscript"/>
                <w:lang w:eastAsia="tr-TR"/>
              </w:rPr>
              <w:t>aA</w:t>
            </w:r>
          </w:p>
        </w:tc>
        <w:tc>
          <w:tcPr>
            <w:tcW w:w="1334" w:type="dxa"/>
            <w:tcBorders>
              <w:top w:val="single" w:sz="4" w:space="0" w:color="auto"/>
            </w:tcBorders>
            <w:shd w:val="clear" w:color="auto" w:fill="FFFFFF" w:themeFill="background1"/>
            <w:noWrap/>
            <w:hideMark/>
          </w:tcPr>
          <w:p w:rsidR="002827AB" w:rsidRPr="00C63AC0" w:rsidRDefault="000A31CC"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0,62±0,06</w:t>
            </w:r>
            <w:r w:rsidR="002827AB" w:rsidRPr="00C63AC0">
              <w:rPr>
                <w:rFonts w:eastAsia="Times New Roman"/>
                <w:iCs/>
                <w:sz w:val="18"/>
                <w:szCs w:val="18"/>
                <w:vertAlign w:val="superscript"/>
                <w:lang w:eastAsia="tr-TR"/>
              </w:rPr>
              <w:t>bA</w:t>
            </w:r>
          </w:p>
        </w:tc>
        <w:tc>
          <w:tcPr>
            <w:tcW w:w="2194" w:type="dxa"/>
            <w:tcBorders>
              <w:top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0,67±0,01</w:t>
            </w:r>
            <w:r w:rsidRPr="00C63AC0">
              <w:rPr>
                <w:rFonts w:eastAsia="Times New Roman"/>
                <w:iCs/>
                <w:sz w:val="18"/>
                <w:szCs w:val="18"/>
                <w:vertAlign w:val="superscript"/>
                <w:lang w:eastAsia="tr-TR"/>
              </w:rPr>
              <w:t>bA</w:t>
            </w:r>
          </w:p>
        </w:tc>
        <w:tc>
          <w:tcPr>
            <w:tcW w:w="1294" w:type="dxa"/>
            <w:tcBorders>
              <w:top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0,23±0,01</w:t>
            </w:r>
            <w:r w:rsidRPr="00C63AC0">
              <w:rPr>
                <w:rFonts w:eastAsia="Times New Roman"/>
                <w:iCs/>
                <w:sz w:val="18"/>
                <w:szCs w:val="18"/>
                <w:vertAlign w:val="superscript"/>
                <w:lang w:eastAsia="tr-TR"/>
              </w:rPr>
              <w:t>cA</w:t>
            </w:r>
          </w:p>
        </w:tc>
      </w:tr>
      <w:tr w:rsidR="002827AB" w:rsidRPr="002827AB" w:rsidTr="00C63AC0">
        <w:trPr>
          <w:trHeight w:val="299"/>
        </w:trPr>
        <w:tc>
          <w:tcPr>
            <w:tcW w:w="2214" w:type="dxa"/>
            <w:shd w:val="clear" w:color="auto" w:fill="FFFFFF" w:themeFill="background1"/>
            <w:noWrap/>
            <w:hideMark/>
          </w:tcPr>
          <w:p w:rsidR="002827AB" w:rsidRPr="00C63AC0" w:rsidRDefault="002827AB" w:rsidP="002827AB">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5.5mM</w:t>
            </w:r>
          </w:p>
        </w:tc>
        <w:tc>
          <w:tcPr>
            <w:tcW w:w="1938" w:type="dxa"/>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0,24±0,0</w:t>
            </w:r>
            <w:r w:rsidR="000A31CC" w:rsidRPr="00C63AC0">
              <w:rPr>
                <w:rFonts w:eastAsia="Times New Roman"/>
                <w:iCs/>
                <w:sz w:val="18"/>
                <w:szCs w:val="18"/>
                <w:lang w:eastAsia="tr-TR"/>
              </w:rPr>
              <w:t>4</w:t>
            </w:r>
            <w:r w:rsidRPr="00C63AC0">
              <w:rPr>
                <w:rFonts w:eastAsia="Times New Roman"/>
                <w:iCs/>
                <w:sz w:val="18"/>
                <w:szCs w:val="18"/>
                <w:vertAlign w:val="superscript"/>
                <w:lang w:eastAsia="tr-TR"/>
              </w:rPr>
              <w:t>aB</w:t>
            </w:r>
          </w:p>
        </w:tc>
        <w:tc>
          <w:tcPr>
            <w:tcW w:w="1334" w:type="dxa"/>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0,25±0,01</w:t>
            </w:r>
            <w:r w:rsidRPr="00C63AC0">
              <w:rPr>
                <w:rFonts w:eastAsia="Times New Roman"/>
                <w:iCs/>
                <w:sz w:val="18"/>
                <w:szCs w:val="18"/>
                <w:vertAlign w:val="superscript"/>
                <w:lang w:eastAsia="tr-TR"/>
              </w:rPr>
              <w:t>aB</w:t>
            </w:r>
          </w:p>
        </w:tc>
        <w:tc>
          <w:tcPr>
            <w:tcW w:w="2194" w:type="dxa"/>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0,48±0,01</w:t>
            </w:r>
            <w:r w:rsidRPr="00C63AC0">
              <w:rPr>
                <w:rFonts w:eastAsia="Times New Roman"/>
                <w:iCs/>
                <w:sz w:val="18"/>
                <w:szCs w:val="18"/>
                <w:vertAlign w:val="superscript"/>
                <w:lang w:eastAsia="tr-TR"/>
              </w:rPr>
              <w:t>bB</w:t>
            </w:r>
          </w:p>
        </w:tc>
        <w:tc>
          <w:tcPr>
            <w:tcW w:w="1294" w:type="dxa"/>
            <w:shd w:val="clear" w:color="auto" w:fill="FFFFFF" w:themeFill="background1"/>
            <w:noWrap/>
            <w:hideMark/>
          </w:tcPr>
          <w:p w:rsidR="002827AB" w:rsidRPr="00C63AC0" w:rsidRDefault="000A31CC"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0,67±0,03</w:t>
            </w:r>
            <w:r w:rsidR="002827AB" w:rsidRPr="00C63AC0">
              <w:rPr>
                <w:rFonts w:eastAsia="Times New Roman"/>
                <w:iCs/>
                <w:sz w:val="18"/>
                <w:szCs w:val="18"/>
                <w:vertAlign w:val="superscript"/>
                <w:lang w:eastAsia="tr-TR"/>
              </w:rPr>
              <w:t>cB</w:t>
            </w:r>
          </w:p>
        </w:tc>
      </w:tr>
      <w:tr w:rsidR="002827AB" w:rsidRPr="002827AB" w:rsidTr="009B055A">
        <w:trPr>
          <w:trHeight w:val="299"/>
        </w:trPr>
        <w:tc>
          <w:tcPr>
            <w:tcW w:w="2214" w:type="dxa"/>
            <w:shd w:val="clear" w:color="auto" w:fill="FFFFFF" w:themeFill="background1"/>
            <w:noWrap/>
            <w:hideMark/>
          </w:tcPr>
          <w:p w:rsidR="002827AB" w:rsidRPr="00C63AC0" w:rsidRDefault="002827AB" w:rsidP="002827AB">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15mM</w:t>
            </w:r>
          </w:p>
        </w:tc>
        <w:tc>
          <w:tcPr>
            <w:tcW w:w="1938" w:type="dxa"/>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0,68±0,01</w:t>
            </w:r>
            <w:r w:rsidRPr="00C63AC0">
              <w:rPr>
                <w:rFonts w:eastAsia="Times New Roman"/>
                <w:iCs/>
                <w:sz w:val="18"/>
                <w:szCs w:val="18"/>
                <w:vertAlign w:val="superscript"/>
                <w:lang w:eastAsia="tr-TR"/>
              </w:rPr>
              <w:t>aC</w:t>
            </w:r>
          </w:p>
        </w:tc>
        <w:tc>
          <w:tcPr>
            <w:tcW w:w="1334" w:type="dxa"/>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0,02±0,0</w:t>
            </w:r>
            <w:r w:rsidR="000A31CC" w:rsidRPr="00C63AC0">
              <w:rPr>
                <w:rFonts w:eastAsia="Times New Roman"/>
                <w:iCs/>
                <w:sz w:val="18"/>
                <w:szCs w:val="18"/>
                <w:lang w:eastAsia="tr-TR"/>
              </w:rPr>
              <w:t>8</w:t>
            </w:r>
            <w:r w:rsidRPr="00C63AC0">
              <w:rPr>
                <w:rFonts w:eastAsia="Times New Roman"/>
                <w:iCs/>
                <w:sz w:val="18"/>
                <w:szCs w:val="18"/>
                <w:vertAlign w:val="superscript"/>
                <w:lang w:eastAsia="tr-TR"/>
              </w:rPr>
              <w:t>bC</w:t>
            </w:r>
          </w:p>
        </w:tc>
        <w:tc>
          <w:tcPr>
            <w:tcW w:w="2194" w:type="dxa"/>
            <w:shd w:val="clear" w:color="auto" w:fill="FFFFFF" w:themeFill="background1"/>
            <w:noWrap/>
            <w:hideMark/>
          </w:tcPr>
          <w:p w:rsidR="002827AB" w:rsidRPr="00C63AC0" w:rsidRDefault="002827AB" w:rsidP="000A31CC">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0,79±0,0</w:t>
            </w:r>
            <w:r w:rsidR="000A31CC" w:rsidRPr="00C63AC0">
              <w:rPr>
                <w:rFonts w:eastAsia="Times New Roman"/>
                <w:iCs/>
                <w:sz w:val="18"/>
                <w:szCs w:val="18"/>
                <w:lang w:eastAsia="tr-TR"/>
              </w:rPr>
              <w:t>05</w:t>
            </w:r>
            <w:r w:rsidRPr="00C63AC0">
              <w:rPr>
                <w:rFonts w:eastAsia="Times New Roman"/>
                <w:iCs/>
                <w:sz w:val="18"/>
                <w:szCs w:val="18"/>
                <w:vertAlign w:val="superscript"/>
                <w:lang w:eastAsia="tr-TR"/>
              </w:rPr>
              <w:t>cC</w:t>
            </w:r>
          </w:p>
        </w:tc>
        <w:tc>
          <w:tcPr>
            <w:tcW w:w="1294" w:type="dxa"/>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0,66±0,01</w:t>
            </w:r>
            <w:r w:rsidRPr="00C63AC0">
              <w:rPr>
                <w:rFonts w:eastAsia="Times New Roman"/>
                <w:iCs/>
                <w:sz w:val="18"/>
                <w:szCs w:val="18"/>
                <w:vertAlign w:val="superscript"/>
                <w:lang w:eastAsia="tr-TR"/>
              </w:rPr>
              <w:t>aB</w:t>
            </w:r>
          </w:p>
        </w:tc>
      </w:tr>
      <w:tr w:rsidR="002827AB" w:rsidRPr="002827AB" w:rsidTr="009B055A">
        <w:trPr>
          <w:trHeight w:val="299"/>
        </w:trPr>
        <w:tc>
          <w:tcPr>
            <w:tcW w:w="2214" w:type="dxa"/>
            <w:tcBorders>
              <w:bottom w:val="single" w:sz="4" w:space="0" w:color="auto"/>
            </w:tcBorders>
            <w:shd w:val="clear" w:color="auto" w:fill="FFFFFF" w:themeFill="background1"/>
            <w:noWrap/>
            <w:hideMark/>
          </w:tcPr>
          <w:p w:rsidR="002827AB" w:rsidRPr="00C63AC0" w:rsidRDefault="002827AB" w:rsidP="002827AB">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55mM</w:t>
            </w:r>
          </w:p>
        </w:tc>
        <w:tc>
          <w:tcPr>
            <w:tcW w:w="1938" w:type="dxa"/>
            <w:tcBorders>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0,57±0,01</w:t>
            </w:r>
            <w:r w:rsidRPr="00C63AC0">
              <w:rPr>
                <w:rFonts w:eastAsia="Times New Roman"/>
                <w:iCs/>
                <w:sz w:val="18"/>
                <w:szCs w:val="18"/>
                <w:vertAlign w:val="superscript"/>
                <w:lang w:eastAsia="tr-TR"/>
              </w:rPr>
              <w:t>aD</w:t>
            </w:r>
          </w:p>
        </w:tc>
        <w:tc>
          <w:tcPr>
            <w:tcW w:w="1334" w:type="dxa"/>
            <w:tcBorders>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0,22±0,01</w:t>
            </w:r>
            <w:r w:rsidRPr="00C63AC0">
              <w:rPr>
                <w:rFonts w:eastAsia="Times New Roman"/>
                <w:iCs/>
                <w:sz w:val="18"/>
                <w:szCs w:val="18"/>
                <w:vertAlign w:val="superscript"/>
                <w:lang w:eastAsia="tr-TR"/>
              </w:rPr>
              <w:t>bB</w:t>
            </w:r>
          </w:p>
        </w:tc>
        <w:tc>
          <w:tcPr>
            <w:tcW w:w="2194" w:type="dxa"/>
            <w:tcBorders>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0,39±0,01</w:t>
            </w:r>
            <w:r w:rsidRPr="00C63AC0">
              <w:rPr>
                <w:rFonts w:eastAsia="Times New Roman"/>
                <w:iCs/>
                <w:sz w:val="18"/>
                <w:szCs w:val="18"/>
                <w:vertAlign w:val="superscript"/>
                <w:lang w:eastAsia="tr-TR"/>
              </w:rPr>
              <w:t>cD</w:t>
            </w:r>
          </w:p>
        </w:tc>
        <w:tc>
          <w:tcPr>
            <w:tcW w:w="1294" w:type="dxa"/>
            <w:tcBorders>
              <w:bottom w:val="single" w:sz="4" w:space="0" w:color="auto"/>
            </w:tcBorders>
            <w:shd w:val="clear" w:color="auto" w:fill="FFFFFF" w:themeFill="background1"/>
            <w:noWrap/>
            <w:hideMark/>
          </w:tcPr>
          <w:p w:rsidR="002827AB" w:rsidRPr="00C63AC0" w:rsidRDefault="002827AB" w:rsidP="001B5AA1">
            <w:pPr>
              <w:spacing w:line="240" w:lineRule="auto"/>
              <w:ind w:firstLine="0"/>
              <w:jc w:val="center"/>
              <w:rPr>
                <w:rFonts w:eastAsia="Times New Roman"/>
                <w:iCs/>
                <w:sz w:val="18"/>
                <w:szCs w:val="18"/>
                <w:lang w:eastAsia="tr-TR"/>
              </w:rPr>
            </w:pPr>
            <w:r w:rsidRPr="00C63AC0">
              <w:rPr>
                <w:rFonts w:eastAsia="Times New Roman"/>
                <w:iCs/>
                <w:sz w:val="18"/>
                <w:szCs w:val="18"/>
                <w:lang w:eastAsia="tr-TR"/>
              </w:rPr>
              <w:t>0,77±0,01</w:t>
            </w:r>
            <w:r w:rsidRPr="00C63AC0">
              <w:rPr>
                <w:rFonts w:eastAsia="Times New Roman"/>
                <w:iCs/>
                <w:sz w:val="18"/>
                <w:szCs w:val="18"/>
                <w:vertAlign w:val="superscript"/>
                <w:lang w:eastAsia="tr-TR"/>
              </w:rPr>
              <w:t>dC</w:t>
            </w:r>
          </w:p>
        </w:tc>
      </w:tr>
    </w:tbl>
    <w:p w:rsidR="009B055A" w:rsidRDefault="009B055A" w:rsidP="001B5AA1">
      <w:pPr>
        <w:ind w:firstLine="0"/>
        <w:rPr>
          <w:rFonts w:cs="Times New Roman"/>
          <w:color w:val="000000"/>
          <w:sz w:val="18"/>
          <w:szCs w:val="24"/>
        </w:rPr>
      </w:pPr>
    </w:p>
    <w:p w:rsidR="001B5AA1" w:rsidRPr="001B5AA1" w:rsidRDefault="001B5AA1" w:rsidP="001B5AA1">
      <w:pPr>
        <w:ind w:firstLine="0"/>
        <w:rPr>
          <w:rFonts w:cs="Times New Roman"/>
          <w:color w:val="000000"/>
          <w:sz w:val="18"/>
          <w:szCs w:val="24"/>
        </w:rPr>
      </w:pPr>
      <w:r w:rsidRPr="001B5AA1">
        <w:rPr>
          <w:rFonts w:cs="Times New Roman"/>
          <w:color w:val="000000"/>
          <w:sz w:val="18"/>
          <w:szCs w:val="24"/>
        </w:rPr>
        <w:t>abcd aynı satırda farklı harfler p&lt;0,001 düzeyinde önemi ifade etmektedir.</w:t>
      </w:r>
    </w:p>
    <w:p w:rsidR="001B5AA1" w:rsidRPr="001B5AA1" w:rsidRDefault="001B5AA1" w:rsidP="001B5AA1">
      <w:pPr>
        <w:ind w:firstLine="0"/>
        <w:rPr>
          <w:rFonts w:cs="Times New Roman"/>
          <w:color w:val="000000"/>
          <w:sz w:val="18"/>
          <w:szCs w:val="24"/>
        </w:rPr>
      </w:pPr>
      <w:r w:rsidRPr="001B5AA1">
        <w:rPr>
          <w:rFonts w:cs="Times New Roman"/>
          <w:color w:val="000000"/>
          <w:sz w:val="18"/>
          <w:szCs w:val="24"/>
        </w:rPr>
        <w:t>ABCD aynı sütunda farklı harfler p&lt;0,001 düzeyinde önemi ifade etmektedir.</w:t>
      </w:r>
    </w:p>
    <w:p w:rsidR="002B3673" w:rsidRDefault="002B3673" w:rsidP="002B3673">
      <w:pPr>
        <w:rPr>
          <w:rFonts w:cs="Times New Roman"/>
        </w:rPr>
      </w:pPr>
    </w:p>
    <w:p w:rsidR="002B3673" w:rsidRDefault="002B3673" w:rsidP="002B3673">
      <w:pPr>
        <w:rPr>
          <w:rFonts w:cs="Times New Roman"/>
        </w:rPr>
      </w:pPr>
      <w:r>
        <w:rPr>
          <w:rFonts w:cs="Times New Roman"/>
        </w:rPr>
        <w:t>G</w:t>
      </w:r>
      <w:r w:rsidRPr="0058029E">
        <w:rPr>
          <w:rFonts w:cs="Times New Roman"/>
        </w:rPr>
        <w:t>ruplar arasında zamana bağlı farklılıklar</w:t>
      </w:r>
      <w:r>
        <w:rPr>
          <w:rFonts w:cs="Times New Roman"/>
        </w:rPr>
        <w:t>a</w:t>
      </w:r>
      <w:r w:rsidRPr="0058029E">
        <w:rPr>
          <w:rFonts w:cs="Times New Roman"/>
        </w:rPr>
        <w:t xml:space="preserve"> </w:t>
      </w:r>
      <w:r>
        <w:rPr>
          <w:rFonts w:cs="Times New Roman"/>
        </w:rPr>
        <w:t>bakıldığında</w:t>
      </w:r>
      <w:r w:rsidRPr="0058029E">
        <w:rPr>
          <w:rFonts w:cs="Times New Roman"/>
        </w:rPr>
        <w:t xml:space="preserve">, normoksik koşullarda enzim </w:t>
      </w:r>
      <w:r>
        <w:rPr>
          <w:rFonts w:cs="Times New Roman"/>
        </w:rPr>
        <w:t>miktarlarının</w:t>
      </w:r>
      <w:r w:rsidRPr="0058029E">
        <w:rPr>
          <w:rFonts w:cs="Times New Roman"/>
        </w:rPr>
        <w:t xml:space="preserve"> </w:t>
      </w:r>
      <w:r>
        <w:rPr>
          <w:rFonts w:cs="Times New Roman"/>
        </w:rPr>
        <w:t xml:space="preserve">0 ve 15 mM </w:t>
      </w:r>
      <w:proofErr w:type="gramStart"/>
      <w:r>
        <w:rPr>
          <w:rFonts w:cs="Times New Roman"/>
        </w:rPr>
        <w:t>konsantrasyonlarında</w:t>
      </w:r>
      <w:proofErr w:type="gramEnd"/>
      <w:r>
        <w:rPr>
          <w:rFonts w:cs="Times New Roman"/>
        </w:rPr>
        <w:t xml:space="preserve"> glukoz içeren ortamlarda 6.ve 24. saatler arası anlamlı bir değişim göstermediği (p&gt;0,05), hem normoksik hem de hipoksik koşullarda 0 mM’da 6.saatten 12.saate </w:t>
      </w:r>
      <w:r w:rsidR="0093057E">
        <w:rPr>
          <w:rFonts w:cs="Times New Roman"/>
        </w:rPr>
        <w:t>kadar</w:t>
      </w:r>
      <w:r>
        <w:rPr>
          <w:rFonts w:cs="Times New Roman"/>
        </w:rPr>
        <w:t xml:space="preserve"> enzim miktarının düştüğü, 12. saatten 24.saate kadar ise yükseldiği ve 24. saatten 48. saate kadar tekrar azalış sergilediği görül</w:t>
      </w:r>
      <w:r w:rsidR="0075651D">
        <w:rPr>
          <w:rFonts w:cs="Times New Roman"/>
        </w:rPr>
        <w:t>dü</w:t>
      </w:r>
      <w:r>
        <w:rPr>
          <w:rFonts w:cs="Times New Roman"/>
        </w:rPr>
        <w:t xml:space="preserve">. 5.5 mM konsantrasyonunda enzim miktarında 6. saatten 12. </w:t>
      </w:r>
      <w:proofErr w:type="gramStart"/>
      <w:r>
        <w:rPr>
          <w:rFonts w:cs="Times New Roman"/>
        </w:rPr>
        <w:t>saate  kadar</w:t>
      </w:r>
      <w:proofErr w:type="gramEnd"/>
      <w:r>
        <w:rPr>
          <w:rFonts w:cs="Times New Roman"/>
        </w:rPr>
        <w:t xml:space="preserve"> azalış, 12. saatten 48. saate kadar ise artış belirlen</w:t>
      </w:r>
      <w:r w:rsidR="0075651D">
        <w:rPr>
          <w:rFonts w:cs="Times New Roman"/>
        </w:rPr>
        <w:t>di</w:t>
      </w:r>
      <w:r>
        <w:rPr>
          <w:rFonts w:cs="Times New Roman"/>
        </w:rPr>
        <w:t xml:space="preserve">. 15 ve 55 mM </w:t>
      </w:r>
      <w:proofErr w:type="gramStart"/>
      <w:r>
        <w:rPr>
          <w:rFonts w:cs="Times New Roman"/>
        </w:rPr>
        <w:t>konsantrasyonlarında</w:t>
      </w:r>
      <w:proofErr w:type="gramEnd"/>
      <w:r>
        <w:rPr>
          <w:rFonts w:cs="Times New Roman"/>
        </w:rPr>
        <w:t xml:space="preserve"> glukoz içeren uygulama gruplarında PFK</w:t>
      </w:r>
      <w:r w:rsidR="002572A3">
        <w:rPr>
          <w:rFonts w:cs="Times New Roman"/>
        </w:rPr>
        <w:t>P</w:t>
      </w:r>
      <w:r>
        <w:rPr>
          <w:rFonts w:cs="Times New Roman"/>
        </w:rPr>
        <w:t xml:space="preserve"> düzeylerinde 6. saatten 12. saate kadar artış, 12. saatten 24</w:t>
      </w:r>
      <w:r w:rsidRPr="0058029E">
        <w:rPr>
          <w:rFonts w:cs="Times New Roman"/>
        </w:rPr>
        <w:t>.</w:t>
      </w:r>
      <w:r>
        <w:rPr>
          <w:rFonts w:cs="Times New Roman"/>
        </w:rPr>
        <w:t xml:space="preserve"> </w:t>
      </w:r>
      <w:r w:rsidRPr="0058029E">
        <w:rPr>
          <w:rFonts w:cs="Times New Roman"/>
        </w:rPr>
        <w:t xml:space="preserve">saate kadar </w:t>
      </w:r>
      <w:r>
        <w:rPr>
          <w:rFonts w:cs="Times New Roman"/>
        </w:rPr>
        <w:t>azalış</w:t>
      </w:r>
      <w:r w:rsidRPr="0058029E">
        <w:rPr>
          <w:rFonts w:cs="Times New Roman"/>
        </w:rPr>
        <w:t xml:space="preserve">, </w:t>
      </w:r>
      <w:r>
        <w:rPr>
          <w:rFonts w:cs="Times New Roman"/>
        </w:rPr>
        <w:t>24. saatten 48.saate kadar ise tekrar bir artış olduğu kaydedil</w:t>
      </w:r>
      <w:r w:rsidR="0075651D">
        <w:rPr>
          <w:rFonts w:cs="Times New Roman"/>
        </w:rPr>
        <w:t>di</w:t>
      </w:r>
      <w:r>
        <w:rPr>
          <w:rFonts w:cs="Times New Roman"/>
        </w:rPr>
        <w:t xml:space="preserve"> </w:t>
      </w:r>
      <w:r>
        <w:rPr>
          <w:rFonts w:cs="Times New Roman"/>
          <w:color w:val="000000"/>
          <w:szCs w:val="24"/>
        </w:rPr>
        <w:t>(p&lt;0,001</w:t>
      </w:r>
      <w:r w:rsidR="005405FF">
        <w:rPr>
          <w:rFonts w:cs="Times New Roman"/>
          <w:color w:val="000000"/>
          <w:szCs w:val="24"/>
        </w:rPr>
        <w:t>)</w:t>
      </w:r>
      <w:r>
        <w:rPr>
          <w:rFonts w:cs="Times New Roman"/>
        </w:rPr>
        <w:t xml:space="preserve"> </w:t>
      </w:r>
      <w:r w:rsidR="004A5FAC">
        <w:rPr>
          <w:rFonts w:cs="Times New Roman"/>
        </w:rPr>
        <w:t>(Tablo 12</w:t>
      </w:r>
      <w:r w:rsidR="0030279F">
        <w:rPr>
          <w:rFonts w:cs="Times New Roman"/>
        </w:rPr>
        <w:t xml:space="preserve">) (Şekil 58). </w:t>
      </w:r>
    </w:p>
    <w:p w:rsidR="002B3673" w:rsidRDefault="002B3673" w:rsidP="002B3673">
      <w:pPr>
        <w:rPr>
          <w:rFonts w:cs="Times New Roman"/>
        </w:rPr>
      </w:pPr>
      <w:r w:rsidRPr="00A17096">
        <w:rPr>
          <w:rFonts w:cs="Times New Roman"/>
          <w:color w:val="000000"/>
          <w:szCs w:val="24"/>
        </w:rPr>
        <w:lastRenderedPageBreak/>
        <w:t xml:space="preserve">Hipoksik koşullarda ise </w:t>
      </w:r>
      <w:r>
        <w:rPr>
          <w:rFonts w:cs="Times New Roman"/>
          <w:color w:val="000000"/>
          <w:szCs w:val="24"/>
        </w:rPr>
        <w:t>0 mM glukoz uygulama grupların</w:t>
      </w:r>
      <w:r w:rsidRPr="00A17096">
        <w:rPr>
          <w:rFonts w:cs="Times New Roman"/>
          <w:color w:val="000000"/>
          <w:szCs w:val="24"/>
        </w:rPr>
        <w:t xml:space="preserve">da </w:t>
      </w:r>
      <w:r>
        <w:rPr>
          <w:rFonts w:cs="Times New Roman"/>
          <w:color w:val="000000"/>
          <w:szCs w:val="24"/>
        </w:rPr>
        <w:t xml:space="preserve">12. ve 24. saatler arası; 5.5 mM </w:t>
      </w:r>
      <w:proofErr w:type="gramStart"/>
      <w:r>
        <w:rPr>
          <w:rFonts w:cs="Times New Roman"/>
          <w:color w:val="000000"/>
          <w:szCs w:val="24"/>
        </w:rPr>
        <w:t>konsantrasyon</w:t>
      </w:r>
      <w:proofErr w:type="gramEnd"/>
      <w:r>
        <w:rPr>
          <w:rFonts w:cs="Times New Roman"/>
          <w:color w:val="000000"/>
          <w:szCs w:val="24"/>
        </w:rPr>
        <w:t xml:space="preserve"> gruplarında 6. ve 12. saatler arası ve 15 mM glukoz gruplarında ise 6. ve 48. saatler arası farklar anlamlı bulunama</w:t>
      </w:r>
      <w:r w:rsidR="0075651D">
        <w:rPr>
          <w:rFonts w:cs="Times New Roman"/>
          <w:color w:val="000000"/>
          <w:szCs w:val="24"/>
        </w:rPr>
        <w:t>dı</w:t>
      </w:r>
      <w:r>
        <w:rPr>
          <w:rFonts w:cs="Times New Roman"/>
          <w:color w:val="000000"/>
          <w:szCs w:val="24"/>
        </w:rPr>
        <w:t xml:space="preserve"> </w:t>
      </w:r>
      <w:r>
        <w:rPr>
          <w:rFonts w:cs="Times New Roman"/>
        </w:rPr>
        <w:t xml:space="preserve">(p&gt;0,05). Hipokside </w:t>
      </w:r>
      <w:proofErr w:type="gramStart"/>
      <w:r>
        <w:rPr>
          <w:rFonts w:cs="Times New Roman"/>
        </w:rPr>
        <w:t>5.5</w:t>
      </w:r>
      <w:proofErr w:type="gramEnd"/>
      <w:r>
        <w:rPr>
          <w:rFonts w:cs="Times New Roman"/>
        </w:rPr>
        <w:t xml:space="preserve"> ve 15 mM glukoz ortamlarında 12. saatten sonra PFK</w:t>
      </w:r>
      <w:r w:rsidR="002572A3">
        <w:rPr>
          <w:rFonts w:cs="Times New Roman"/>
        </w:rPr>
        <w:t>P</w:t>
      </w:r>
      <w:r>
        <w:rPr>
          <w:rFonts w:cs="Times New Roman"/>
        </w:rPr>
        <w:t xml:space="preserve"> miktarlarında artışlar görül</w:t>
      </w:r>
      <w:r w:rsidR="0075651D">
        <w:rPr>
          <w:rFonts w:cs="Times New Roman"/>
        </w:rPr>
        <w:t>dü</w:t>
      </w:r>
      <w:r>
        <w:rPr>
          <w:rFonts w:cs="Times New Roman"/>
        </w:rPr>
        <w:t>. 55 mM glukoz ortamlarında tüm inkübasyon süreleri arası enzim miktarları arasındaki farklar anlamlı olup, 6. saatten 12. saate kadar PFK</w:t>
      </w:r>
      <w:r w:rsidR="002572A3">
        <w:rPr>
          <w:rFonts w:cs="Times New Roman"/>
        </w:rPr>
        <w:t>P</w:t>
      </w:r>
      <w:r>
        <w:rPr>
          <w:rFonts w:cs="Times New Roman"/>
        </w:rPr>
        <w:t xml:space="preserve"> düzeyinde düşme ve 12. saatten 48. saate </w:t>
      </w:r>
      <w:r w:rsidR="0093057E">
        <w:rPr>
          <w:rFonts w:cs="Times New Roman"/>
        </w:rPr>
        <w:t>geçen zamanda</w:t>
      </w:r>
      <w:r>
        <w:rPr>
          <w:rFonts w:cs="Times New Roman"/>
        </w:rPr>
        <w:t xml:space="preserve"> yükselme belirlen</w:t>
      </w:r>
      <w:r w:rsidR="0075651D">
        <w:rPr>
          <w:rFonts w:cs="Times New Roman"/>
        </w:rPr>
        <w:t>di</w:t>
      </w:r>
      <w:r>
        <w:rPr>
          <w:rFonts w:cs="Times New Roman"/>
        </w:rPr>
        <w:t xml:space="preserve"> </w:t>
      </w:r>
      <w:r>
        <w:rPr>
          <w:rFonts w:cs="Times New Roman"/>
          <w:color w:val="000000"/>
          <w:szCs w:val="24"/>
        </w:rPr>
        <w:t>(p&lt;0,001</w:t>
      </w:r>
      <w:r w:rsidR="002572A3">
        <w:rPr>
          <w:rFonts w:cs="Times New Roman"/>
          <w:color w:val="000000"/>
          <w:szCs w:val="24"/>
        </w:rPr>
        <w:t>)</w:t>
      </w:r>
      <w:r>
        <w:rPr>
          <w:rFonts w:cs="Times New Roman"/>
        </w:rPr>
        <w:t xml:space="preserve"> </w:t>
      </w:r>
      <w:r w:rsidR="004A5FAC">
        <w:rPr>
          <w:rFonts w:cs="Times New Roman"/>
        </w:rPr>
        <w:t>(Tablo 12</w:t>
      </w:r>
      <w:r w:rsidR="0030279F">
        <w:rPr>
          <w:rFonts w:cs="Times New Roman"/>
        </w:rPr>
        <w:t xml:space="preserve">) (Şekil 59). </w:t>
      </w:r>
    </w:p>
    <w:p w:rsidR="002B3673" w:rsidRPr="00FF7530" w:rsidRDefault="002B3673" w:rsidP="002B3673">
      <w:pPr>
        <w:rPr>
          <w:rFonts w:cs="Times New Roman"/>
        </w:rPr>
      </w:pPr>
    </w:p>
    <w:p w:rsidR="002B3673" w:rsidRDefault="002B3673" w:rsidP="00C93AA8">
      <w:pPr>
        <w:pStyle w:val="AltKonuBal"/>
      </w:pPr>
      <w:r>
        <w:rPr>
          <w:noProof/>
          <w:lang w:eastAsia="tr-TR"/>
        </w:rPr>
        <w:drawing>
          <wp:inline distT="0" distB="0" distL="0" distR="0">
            <wp:extent cx="4541520" cy="2628000"/>
            <wp:effectExtent l="19050" t="0" r="11430" b="900"/>
            <wp:docPr id="9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B3673" w:rsidRDefault="002B3673" w:rsidP="002B3673">
      <w:pPr>
        <w:jc w:val="center"/>
      </w:pPr>
    </w:p>
    <w:p w:rsidR="002B3673" w:rsidRDefault="004A5FAC" w:rsidP="002B3673">
      <w:pPr>
        <w:rPr>
          <w:rFonts w:cs="Times New Roman"/>
          <w:color w:val="000000"/>
          <w:szCs w:val="24"/>
        </w:rPr>
      </w:pPr>
      <w:r>
        <w:rPr>
          <w:rFonts w:cs="Times New Roman"/>
          <w:b/>
          <w:color w:val="000000"/>
          <w:szCs w:val="24"/>
        </w:rPr>
        <w:t>Şekil 58</w:t>
      </w:r>
      <w:r w:rsidR="002B3673" w:rsidRPr="00386A29">
        <w:rPr>
          <w:rFonts w:cs="Times New Roman"/>
          <w:b/>
          <w:color w:val="000000"/>
          <w:szCs w:val="24"/>
        </w:rPr>
        <w:t>.</w:t>
      </w:r>
      <w:r w:rsidR="002B3673" w:rsidRPr="008F16E1">
        <w:rPr>
          <w:rFonts w:cs="Times New Roman"/>
          <w:color w:val="000000"/>
          <w:szCs w:val="24"/>
        </w:rPr>
        <w:t xml:space="preserve">  MCF-7 kanser hücrelerinin </w:t>
      </w:r>
      <w:r w:rsidR="002B3673">
        <w:rPr>
          <w:rFonts w:cs="Times New Roman"/>
          <w:color w:val="000000"/>
          <w:szCs w:val="24"/>
        </w:rPr>
        <w:t>normoksi</w:t>
      </w:r>
      <w:r w:rsidR="002B3673" w:rsidRPr="008F16E1">
        <w:rPr>
          <w:rFonts w:cs="Times New Roman"/>
          <w:color w:val="000000"/>
          <w:szCs w:val="24"/>
        </w:rPr>
        <w:t xml:space="preserve"> altında glukozun farklı </w:t>
      </w:r>
      <w:proofErr w:type="gramStart"/>
      <w:r w:rsidR="002B3673" w:rsidRPr="008F16E1">
        <w:rPr>
          <w:rFonts w:cs="Times New Roman"/>
          <w:color w:val="000000"/>
          <w:szCs w:val="24"/>
        </w:rPr>
        <w:t>konsantrasyonlu</w:t>
      </w:r>
      <w:proofErr w:type="gramEnd"/>
      <w:r w:rsidR="002B3673" w:rsidRPr="008F16E1">
        <w:rPr>
          <w:rFonts w:cs="Times New Roman"/>
          <w:color w:val="000000"/>
          <w:szCs w:val="24"/>
        </w:rPr>
        <w:t xml:space="preserve"> uygulama gruplarında 6, 12</w:t>
      </w:r>
      <w:r w:rsidR="002B3673">
        <w:rPr>
          <w:rFonts w:cs="Times New Roman"/>
          <w:color w:val="000000"/>
          <w:szCs w:val="24"/>
        </w:rPr>
        <w:t>,</w:t>
      </w:r>
      <w:r w:rsidR="002B3673" w:rsidRPr="008F16E1">
        <w:rPr>
          <w:rFonts w:cs="Times New Roman"/>
          <w:color w:val="000000"/>
          <w:szCs w:val="24"/>
        </w:rPr>
        <w:t xml:space="preserve"> 24</w:t>
      </w:r>
      <w:r w:rsidR="002B3673">
        <w:rPr>
          <w:rFonts w:cs="Times New Roman"/>
          <w:color w:val="000000"/>
          <w:szCs w:val="24"/>
        </w:rPr>
        <w:t xml:space="preserve"> ve 48</w:t>
      </w:r>
      <w:r w:rsidR="002B3673" w:rsidRPr="008F16E1">
        <w:rPr>
          <w:rFonts w:cs="Times New Roman"/>
          <w:color w:val="000000"/>
          <w:szCs w:val="24"/>
        </w:rPr>
        <w:t xml:space="preserve"> saat inkübasyonu sonucu elde edilen </w:t>
      </w:r>
      <w:r w:rsidR="002B3673">
        <w:rPr>
          <w:rFonts w:cs="Times New Roman"/>
          <w:color w:val="000000"/>
          <w:szCs w:val="24"/>
        </w:rPr>
        <w:t>PFK</w:t>
      </w:r>
      <w:r w:rsidR="002572A3">
        <w:rPr>
          <w:rFonts w:cs="Times New Roman"/>
          <w:color w:val="000000"/>
          <w:szCs w:val="24"/>
        </w:rPr>
        <w:t>P</w:t>
      </w:r>
      <w:r w:rsidR="002B3673">
        <w:rPr>
          <w:rFonts w:cs="Times New Roman"/>
          <w:color w:val="000000"/>
          <w:szCs w:val="24"/>
        </w:rPr>
        <w:t xml:space="preserve"> enzim</w:t>
      </w:r>
      <w:r w:rsidR="002B3673" w:rsidRPr="008F16E1">
        <w:rPr>
          <w:rFonts w:cs="Times New Roman"/>
          <w:color w:val="000000"/>
          <w:szCs w:val="24"/>
        </w:rPr>
        <w:t xml:space="preserve"> </w:t>
      </w:r>
      <w:r w:rsidR="002B3673">
        <w:rPr>
          <w:rFonts w:cs="Times New Roman"/>
          <w:color w:val="000000"/>
          <w:szCs w:val="24"/>
        </w:rPr>
        <w:t>miktarı</w:t>
      </w:r>
      <w:r w:rsidR="002B3673" w:rsidRPr="008F16E1">
        <w:rPr>
          <w:rFonts w:cs="Times New Roman"/>
          <w:color w:val="000000"/>
          <w:szCs w:val="24"/>
        </w:rPr>
        <w:t xml:space="preserve"> düzeyleri. </w:t>
      </w: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2B3673" w:rsidRDefault="002B3673" w:rsidP="002B3673"/>
    <w:p w:rsidR="002B3673" w:rsidRDefault="002B3673" w:rsidP="001B5AA1">
      <w:pPr>
        <w:jc w:val="center"/>
      </w:pPr>
      <w:r>
        <w:rPr>
          <w:noProof/>
          <w:lang w:eastAsia="tr-TR"/>
        </w:rPr>
        <w:lastRenderedPageBreak/>
        <w:drawing>
          <wp:inline distT="0" distB="0" distL="0" distR="0">
            <wp:extent cx="4541520" cy="2628000"/>
            <wp:effectExtent l="19050" t="0" r="11430" b="900"/>
            <wp:docPr id="9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B3673" w:rsidRPr="002367F3" w:rsidRDefault="002B3673" w:rsidP="002B3673">
      <w:pPr>
        <w:tabs>
          <w:tab w:val="left" w:pos="1095"/>
        </w:tabs>
      </w:pPr>
      <w:r>
        <w:tab/>
      </w:r>
    </w:p>
    <w:p w:rsidR="002B3673" w:rsidRDefault="004A5FAC" w:rsidP="002B3673">
      <w:pPr>
        <w:rPr>
          <w:rFonts w:cs="Times New Roman"/>
          <w:color w:val="000000"/>
          <w:szCs w:val="24"/>
        </w:rPr>
      </w:pPr>
      <w:r>
        <w:rPr>
          <w:rFonts w:cs="Times New Roman"/>
          <w:b/>
          <w:color w:val="000000"/>
          <w:szCs w:val="24"/>
        </w:rPr>
        <w:t>Şekil 59</w:t>
      </w:r>
      <w:r w:rsidR="002B3673" w:rsidRPr="00386A29">
        <w:rPr>
          <w:rFonts w:cs="Times New Roman"/>
          <w:b/>
          <w:color w:val="000000"/>
          <w:szCs w:val="24"/>
        </w:rPr>
        <w:t xml:space="preserve">. </w:t>
      </w:r>
      <w:r w:rsidR="002B3673" w:rsidRPr="008F16E1">
        <w:rPr>
          <w:rFonts w:cs="Times New Roman"/>
          <w:color w:val="000000"/>
          <w:szCs w:val="24"/>
        </w:rPr>
        <w:t xml:space="preserve"> MCF-7 kanser hücrelerinin </w:t>
      </w:r>
      <w:r w:rsidR="002B3673">
        <w:rPr>
          <w:rFonts w:cs="Times New Roman"/>
          <w:color w:val="000000"/>
          <w:szCs w:val="24"/>
        </w:rPr>
        <w:t>hipoksi</w:t>
      </w:r>
      <w:r w:rsidR="002B3673" w:rsidRPr="008F16E1">
        <w:rPr>
          <w:rFonts w:cs="Times New Roman"/>
          <w:color w:val="000000"/>
          <w:szCs w:val="24"/>
        </w:rPr>
        <w:t xml:space="preserve"> altında glukozun farklı </w:t>
      </w:r>
      <w:proofErr w:type="gramStart"/>
      <w:r w:rsidR="002B3673" w:rsidRPr="008F16E1">
        <w:rPr>
          <w:rFonts w:cs="Times New Roman"/>
          <w:color w:val="000000"/>
          <w:szCs w:val="24"/>
        </w:rPr>
        <w:t>konsantrasyonlu</w:t>
      </w:r>
      <w:proofErr w:type="gramEnd"/>
      <w:r w:rsidR="002B3673" w:rsidRPr="008F16E1">
        <w:rPr>
          <w:rFonts w:cs="Times New Roman"/>
          <w:color w:val="000000"/>
          <w:szCs w:val="24"/>
        </w:rPr>
        <w:t xml:space="preserve"> uygulama gruplarında 6, 12</w:t>
      </w:r>
      <w:r w:rsidR="002B3673">
        <w:rPr>
          <w:rFonts w:cs="Times New Roman"/>
          <w:color w:val="000000"/>
          <w:szCs w:val="24"/>
        </w:rPr>
        <w:t>,</w:t>
      </w:r>
      <w:r w:rsidR="002B3673" w:rsidRPr="008F16E1">
        <w:rPr>
          <w:rFonts w:cs="Times New Roman"/>
          <w:color w:val="000000"/>
          <w:szCs w:val="24"/>
        </w:rPr>
        <w:t xml:space="preserve"> 24</w:t>
      </w:r>
      <w:r w:rsidR="002B3673">
        <w:rPr>
          <w:rFonts w:cs="Times New Roman"/>
          <w:color w:val="000000"/>
          <w:szCs w:val="24"/>
        </w:rPr>
        <w:t xml:space="preserve"> ve 48</w:t>
      </w:r>
      <w:r w:rsidR="002B3673" w:rsidRPr="008F16E1">
        <w:rPr>
          <w:rFonts w:cs="Times New Roman"/>
          <w:color w:val="000000"/>
          <w:szCs w:val="24"/>
        </w:rPr>
        <w:t xml:space="preserve"> saat inkübasyonu sonucu elde edilen </w:t>
      </w:r>
      <w:r w:rsidR="002B3673">
        <w:rPr>
          <w:rFonts w:cs="Times New Roman"/>
          <w:color w:val="000000"/>
          <w:szCs w:val="24"/>
        </w:rPr>
        <w:t>PFK</w:t>
      </w:r>
      <w:r w:rsidR="002572A3">
        <w:rPr>
          <w:rFonts w:cs="Times New Roman"/>
          <w:color w:val="000000"/>
          <w:szCs w:val="24"/>
        </w:rPr>
        <w:t>P</w:t>
      </w:r>
      <w:r w:rsidR="002B3673">
        <w:rPr>
          <w:rFonts w:cs="Times New Roman"/>
          <w:color w:val="000000"/>
          <w:szCs w:val="24"/>
        </w:rPr>
        <w:t xml:space="preserve"> enzim</w:t>
      </w:r>
      <w:r w:rsidR="002B3673" w:rsidRPr="008F16E1">
        <w:rPr>
          <w:rFonts w:cs="Times New Roman"/>
          <w:color w:val="000000"/>
          <w:szCs w:val="24"/>
        </w:rPr>
        <w:t xml:space="preserve"> </w:t>
      </w:r>
      <w:r w:rsidR="002B3673">
        <w:rPr>
          <w:rFonts w:cs="Times New Roman"/>
          <w:color w:val="000000"/>
          <w:szCs w:val="24"/>
        </w:rPr>
        <w:t>miktarı</w:t>
      </w:r>
      <w:r w:rsidR="002B3673" w:rsidRPr="008F16E1">
        <w:rPr>
          <w:rFonts w:cs="Times New Roman"/>
          <w:color w:val="000000"/>
          <w:szCs w:val="24"/>
        </w:rPr>
        <w:t xml:space="preserve"> düzeyleri. </w:t>
      </w:r>
    </w:p>
    <w:p w:rsidR="00856A8B" w:rsidRDefault="00856A8B" w:rsidP="002B3673">
      <w:pPr>
        <w:rPr>
          <w:rFonts w:cs="Times New Roman"/>
          <w:color w:val="000000"/>
          <w:szCs w:val="24"/>
        </w:rPr>
      </w:pPr>
    </w:p>
    <w:p w:rsidR="002B3673" w:rsidRDefault="002B3673" w:rsidP="002B3673">
      <w:pPr>
        <w:rPr>
          <w:rFonts w:cs="Times New Roman"/>
          <w:color w:val="000000"/>
          <w:szCs w:val="24"/>
        </w:rPr>
      </w:pPr>
      <w:r>
        <w:rPr>
          <w:rFonts w:cs="Times New Roman"/>
          <w:color w:val="000000"/>
          <w:szCs w:val="24"/>
        </w:rPr>
        <w:t xml:space="preserve">Konsantrasyon farklılığına bağlı incelenen normoksik ortamdaki kanser hücrelerinin </w:t>
      </w:r>
      <w:proofErr w:type="gramStart"/>
      <w:r>
        <w:rPr>
          <w:rFonts w:cs="Times New Roman"/>
          <w:color w:val="000000"/>
          <w:szCs w:val="24"/>
        </w:rPr>
        <w:t>5.5</w:t>
      </w:r>
      <w:proofErr w:type="gramEnd"/>
      <w:r>
        <w:rPr>
          <w:rFonts w:cs="Times New Roman"/>
          <w:color w:val="000000"/>
          <w:szCs w:val="24"/>
        </w:rPr>
        <w:t xml:space="preserve"> mM glukoz içeren ortamda 0 mM glukoz içeren ortama göre tüm inkübasyon sürelerinde PFK</w:t>
      </w:r>
      <w:r w:rsidR="002572A3">
        <w:rPr>
          <w:rFonts w:cs="Times New Roman"/>
          <w:color w:val="000000"/>
          <w:szCs w:val="24"/>
        </w:rPr>
        <w:t>P</w:t>
      </w:r>
      <w:r>
        <w:rPr>
          <w:rFonts w:cs="Times New Roman"/>
          <w:color w:val="000000"/>
          <w:szCs w:val="24"/>
        </w:rPr>
        <w:t xml:space="preserve"> düzeylerinde anlamlı bir azalma olduğu, 15 mM glukoz ihtiva eden ortamda 6. ve 24. saatlerde bu anlamlı azalmanın şiddetli şekilde devam ettiği (p&lt;0,001), 12. ve 48. saatlerde ise 0 ve 5.5 mM ortamlarına göre enzim miktarlarının yükseldiği görüldü. 55 mM’da her inkübasyon süresi için enzim miktarları 15 mM’a göre anlamlı bir artış </w:t>
      </w:r>
      <w:r w:rsidR="00C10FA7">
        <w:rPr>
          <w:rFonts w:cs="Times New Roman"/>
          <w:color w:val="000000"/>
          <w:szCs w:val="24"/>
        </w:rPr>
        <w:t xml:space="preserve">gösterdi </w:t>
      </w:r>
      <w:r>
        <w:rPr>
          <w:rFonts w:cs="Times New Roman"/>
          <w:color w:val="000000"/>
          <w:szCs w:val="24"/>
        </w:rPr>
        <w:t xml:space="preserve">(p&lt;0,001). En yüksek enzim içeriği ise 12.saat de 55 </w:t>
      </w:r>
      <w:r w:rsidR="0030279F">
        <w:rPr>
          <w:rFonts w:cs="Times New Roman"/>
          <w:color w:val="000000"/>
          <w:szCs w:val="24"/>
        </w:rPr>
        <w:t xml:space="preserve">mM glukoz ortamında belirlendi (Şekil 60). </w:t>
      </w:r>
    </w:p>
    <w:p w:rsidR="002B3673" w:rsidRDefault="002B3673" w:rsidP="002B3673">
      <w:pPr>
        <w:rPr>
          <w:rFonts w:cs="Times New Roman"/>
          <w:color w:val="000000"/>
          <w:szCs w:val="24"/>
        </w:rPr>
      </w:pPr>
      <w:r>
        <w:rPr>
          <w:rFonts w:cs="Times New Roman"/>
          <w:color w:val="000000"/>
          <w:szCs w:val="24"/>
        </w:rPr>
        <w:t>Hipoksik hücrelerde 0 mM glukoz ortamında 6. saat inkübasyonunda en yüksek PFK</w:t>
      </w:r>
      <w:r w:rsidR="002572A3">
        <w:rPr>
          <w:rFonts w:cs="Times New Roman"/>
          <w:color w:val="000000"/>
          <w:szCs w:val="24"/>
        </w:rPr>
        <w:t>P</w:t>
      </w:r>
      <w:r>
        <w:rPr>
          <w:rFonts w:cs="Times New Roman"/>
          <w:color w:val="000000"/>
          <w:szCs w:val="24"/>
        </w:rPr>
        <w:t xml:space="preserve"> miktar</w:t>
      </w:r>
      <w:r w:rsidR="00C10FA7">
        <w:rPr>
          <w:rFonts w:cs="Times New Roman"/>
          <w:color w:val="000000"/>
          <w:szCs w:val="24"/>
        </w:rPr>
        <w:t>lar</w:t>
      </w:r>
      <w:r>
        <w:rPr>
          <w:rFonts w:cs="Times New Roman"/>
          <w:color w:val="000000"/>
          <w:szCs w:val="24"/>
        </w:rPr>
        <w:t>ı tespit edildi. 6</w:t>
      </w:r>
      <w:proofErr w:type="gramStart"/>
      <w:r>
        <w:rPr>
          <w:rFonts w:cs="Times New Roman"/>
          <w:color w:val="000000"/>
          <w:szCs w:val="24"/>
        </w:rPr>
        <w:t>.,</w:t>
      </w:r>
      <w:proofErr w:type="gramEnd"/>
      <w:r>
        <w:rPr>
          <w:rFonts w:cs="Times New Roman"/>
          <w:color w:val="000000"/>
          <w:szCs w:val="24"/>
        </w:rPr>
        <w:t xml:space="preserve"> 12. ve 24. saatlerde 5.5 mM glukoz ortamında  0 mM’a göre enzim miktarlarında anlamlı bir azalma, </w:t>
      </w:r>
      <w:r w:rsidR="0023230E">
        <w:rPr>
          <w:rFonts w:cs="Times New Roman"/>
          <w:color w:val="000000"/>
          <w:szCs w:val="24"/>
        </w:rPr>
        <w:t>48</w:t>
      </w:r>
      <w:r>
        <w:rPr>
          <w:rFonts w:cs="Times New Roman"/>
          <w:color w:val="000000"/>
          <w:szCs w:val="24"/>
        </w:rPr>
        <w:t xml:space="preserve">. saatte ise anlamlı bir artış görüldü (p&lt;0,001). 15 mM glukoz </w:t>
      </w:r>
      <w:proofErr w:type="gramStart"/>
      <w:r>
        <w:rPr>
          <w:rFonts w:cs="Times New Roman"/>
          <w:color w:val="000000"/>
          <w:szCs w:val="24"/>
        </w:rPr>
        <w:t>ortamı</w:t>
      </w:r>
      <w:r w:rsidR="00C10FA7">
        <w:rPr>
          <w:rFonts w:cs="Times New Roman"/>
          <w:color w:val="000000"/>
          <w:szCs w:val="24"/>
        </w:rPr>
        <w:t>nda</w:t>
      </w:r>
      <w:r>
        <w:rPr>
          <w:rFonts w:cs="Times New Roman"/>
          <w:color w:val="000000"/>
          <w:szCs w:val="24"/>
        </w:rPr>
        <w:t xml:space="preserve">  kontrole</w:t>
      </w:r>
      <w:proofErr w:type="gramEnd"/>
      <w:r>
        <w:rPr>
          <w:rFonts w:cs="Times New Roman"/>
          <w:color w:val="000000"/>
          <w:szCs w:val="24"/>
        </w:rPr>
        <w:t xml:space="preserve"> göre </w:t>
      </w:r>
      <w:r w:rsidR="00283D81">
        <w:rPr>
          <w:rFonts w:cs="Times New Roman"/>
          <w:color w:val="000000"/>
          <w:szCs w:val="24"/>
        </w:rPr>
        <w:t xml:space="preserve">12.saat hariç </w:t>
      </w:r>
      <w:r>
        <w:rPr>
          <w:rFonts w:cs="Times New Roman"/>
          <w:color w:val="000000"/>
          <w:szCs w:val="24"/>
        </w:rPr>
        <w:t xml:space="preserve">tüm inkübasyon sürelerinde </w:t>
      </w:r>
      <w:r w:rsidR="00C10FA7">
        <w:rPr>
          <w:rFonts w:cs="Times New Roman"/>
          <w:color w:val="000000"/>
          <w:szCs w:val="24"/>
        </w:rPr>
        <w:t xml:space="preserve">enzim seviyesinde </w:t>
      </w:r>
      <w:r>
        <w:rPr>
          <w:rFonts w:cs="Times New Roman"/>
          <w:color w:val="000000"/>
          <w:szCs w:val="24"/>
        </w:rPr>
        <w:t xml:space="preserve">anlamlı bir </w:t>
      </w:r>
      <w:r w:rsidR="00C10FA7">
        <w:rPr>
          <w:rFonts w:cs="Times New Roman"/>
          <w:color w:val="000000"/>
          <w:szCs w:val="24"/>
        </w:rPr>
        <w:t>yükselme belirlenmekle</w:t>
      </w:r>
      <w:r>
        <w:rPr>
          <w:rFonts w:cs="Times New Roman"/>
          <w:color w:val="000000"/>
          <w:szCs w:val="24"/>
        </w:rPr>
        <w:t xml:space="preserve"> bera</w:t>
      </w:r>
      <w:r w:rsidR="00283D81">
        <w:rPr>
          <w:rFonts w:cs="Times New Roman"/>
          <w:color w:val="000000"/>
          <w:szCs w:val="24"/>
        </w:rPr>
        <w:t>ber, 6.</w:t>
      </w:r>
      <w:r w:rsidR="0075651D">
        <w:rPr>
          <w:rFonts w:cs="Times New Roman"/>
          <w:color w:val="000000"/>
          <w:szCs w:val="24"/>
        </w:rPr>
        <w:t xml:space="preserve"> ve 24. saatlerde 5.</w:t>
      </w:r>
      <w:r>
        <w:rPr>
          <w:rFonts w:cs="Times New Roman"/>
          <w:color w:val="000000"/>
          <w:szCs w:val="24"/>
        </w:rPr>
        <w:t xml:space="preserve">5 mM glukoz ortamına göre anlamlı bir artış </w:t>
      </w:r>
      <w:r w:rsidR="00C10FA7">
        <w:rPr>
          <w:rFonts w:cs="Times New Roman"/>
          <w:color w:val="000000"/>
          <w:szCs w:val="24"/>
        </w:rPr>
        <w:t xml:space="preserve">olduğu </w:t>
      </w:r>
      <w:r>
        <w:rPr>
          <w:rFonts w:cs="Times New Roman"/>
          <w:color w:val="000000"/>
          <w:szCs w:val="24"/>
        </w:rPr>
        <w:t xml:space="preserve">(p&lt;0,001), 48. saatte ise bu ortama göre anlamlı bir </w:t>
      </w:r>
      <w:r w:rsidR="00C10FA7">
        <w:rPr>
          <w:rFonts w:cs="Times New Roman"/>
          <w:color w:val="000000"/>
          <w:szCs w:val="24"/>
        </w:rPr>
        <w:t>fark olmadığı kaydedildi</w:t>
      </w:r>
      <w:r>
        <w:rPr>
          <w:rFonts w:cs="Times New Roman"/>
          <w:color w:val="000000"/>
          <w:szCs w:val="24"/>
        </w:rPr>
        <w:t xml:space="preserve"> (p&gt;0,05). 55 mM’da 6. ve 24. saatlerde tüm </w:t>
      </w:r>
      <w:r w:rsidR="0075651D">
        <w:rPr>
          <w:rFonts w:cs="Times New Roman"/>
          <w:color w:val="000000"/>
          <w:szCs w:val="24"/>
        </w:rPr>
        <w:t xml:space="preserve">diğer </w:t>
      </w:r>
      <w:r>
        <w:rPr>
          <w:rFonts w:cs="Times New Roman"/>
          <w:color w:val="000000"/>
          <w:szCs w:val="24"/>
        </w:rPr>
        <w:t>konsantrasyonlara göre PFK</w:t>
      </w:r>
      <w:r w:rsidR="002572A3">
        <w:rPr>
          <w:rFonts w:cs="Times New Roman"/>
          <w:color w:val="000000"/>
          <w:szCs w:val="24"/>
        </w:rPr>
        <w:t>P</w:t>
      </w:r>
      <w:r>
        <w:rPr>
          <w:rFonts w:cs="Times New Roman"/>
          <w:color w:val="000000"/>
          <w:szCs w:val="24"/>
        </w:rPr>
        <w:t xml:space="preserve"> düzeyleri </w:t>
      </w:r>
      <w:r w:rsidR="00C10FA7">
        <w:rPr>
          <w:rFonts w:cs="Times New Roman"/>
          <w:color w:val="000000"/>
          <w:szCs w:val="24"/>
        </w:rPr>
        <w:t>önemli bir</w:t>
      </w:r>
      <w:r>
        <w:rPr>
          <w:rFonts w:cs="Times New Roman"/>
          <w:color w:val="000000"/>
          <w:szCs w:val="24"/>
        </w:rPr>
        <w:t xml:space="preserve"> azalma göstermiş, 12. ve 24. saatte ise 15 mM glukoz ortamlarına </w:t>
      </w:r>
      <w:proofErr w:type="gramStart"/>
      <w:r>
        <w:rPr>
          <w:rFonts w:cs="Times New Roman"/>
          <w:color w:val="000000"/>
          <w:szCs w:val="24"/>
        </w:rPr>
        <w:t>göre  enzim</w:t>
      </w:r>
      <w:proofErr w:type="gramEnd"/>
      <w:r>
        <w:rPr>
          <w:rFonts w:cs="Times New Roman"/>
          <w:color w:val="000000"/>
          <w:szCs w:val="24"/>
        </w:rPr>
        <w:t xml:space="preserve"> miktarları istati</w:t>
      </w:r>
      <w:r w:rsidR="0030279F">
        <w:rPr>
          <w:rFonts w:cs="Times New Roman"/>
          <w:color w:val="000000"/>
          <w:szCs w:val="24"/>
        </w:rPr>
        <w:t xml:space="preserve">ksel olarak artmıştır (p&lt;0,001) (Şekil 61). </w:t>
      </w:r>
    </w:p>
    <w:p w:rsidR="002B3673" w:rsidRDefault="002B3673" w:rsidP="002B3673"/>
    <w:p w:rsidR="002B3673" w:rsidRDefault="002B3673" w:rsidP="00C93AA8">
      <w:pPr>
        <w:jc w:val="center"/>
      </w:pPr>
      <w:r>
        <w:rPr>
          <w:noProof/>
          <w:lang w:eastAsia="tr-TR"/>
        </w:rPr>
        <w:lastRenderedPageBreak/>
        <w:drawing>
          <wp:inline distT="0" distB="0" distL="0" distR="0">
            <wp:extent cx="4572000" cy="2718594"/>
            <wp:effectExtent l="0" t="0" r="0" b="0"/>
            <wp:docPr id="107" name="Grafik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B3673" w:rsidRDefault="002B3673" w:rsidP="002B3673">
      <w:pPr>
        <w:jc w:val="center"/>
      </w:pPr>
    </w:p>
    <w:p w:rsidR="002B3673" w:rsidRDefault="004A5FAC" w:rsidP="002B3673">
      <w:pPr>
        <w:rPr>
          <w:rFonts w:cs="Times New Roman"/>
          <w:color w:val="000000"/>
          <w:szCs w:val="24"/>
        </w:rPr>
      </w:pPr>
      <w:r>
        <w:rPr>
          <w:rFonts w:cs="Times New Roman"/>
          <w:b/>
          <w:color w:val="000000"/>
          <w:szCs w:val="24"/>
        </w:rPr>
        <w:t>Şekil 60</w:t>
      </w:r>
      <w:r w:rsidR="002B3673" w:rsidRPr="00386A29">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normoksi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a PFK</w:t>
      </w:r>
      <w:r w:rsidR="002572A3">
        <w:rPr>
          <w:rFonts w:cs="Times New Roman"/>
          <w:color w:val="000000"/>
          <w:szCs w:val="24"/>
        </w:rPr>
        <w:t>P</w:t>
      </w:r>
      <w:r w:rsidR="002B3673" w:rsidRPr="00EE6E59">
        <w:rPr>
          <w:rFonts w:cs="Times New Roman"/>
          <w:color w:val="000000"/>
          <w:szCs w:val="24"/>
        </w:rPr>
        <w:t xml:space="preserve"> miktarlarının karşılaştırılması.</w:t>
      </w:r>
    </w:p>
    <w:p w:rsidR="002B3673" w:rsidRDefault="002B3673" w:rsidP="002B3673"/>
    <w:p w:rsidR="002B3673" w:rsidRDefault="002B3673" w:rsidP="002B3673">
      <w:pPr>
        <w:jc w:val="center"/>
      </w:pPr>
      <w:r>
        <w:rPr>
          <w:noProof/>
          <w:lang w:eastAsia="tr-TR"/>
        </w:rPr>
        <w:drawing>
          <wp:inline distT="0" distB="0" distL="0" distR="0">
            <wp:extent cx="4572000" cy="2717800"/>
            <wp:effectExtent l="0" t="0" r="0" b="0"/>
            <wp:docPr id="108" name="Grafik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B3673" w:rsidRDefault="002B3673" w:rsidP="002B3673">
      <w:pPr>
        <w:rPr>
          <w:rFonts w:cs="Times New Roman"/>
          <w:color w:val="000000"/>
          <w:szCs w:val="24"/>
        </w:rPr>
      </w:pPr>
    </w:p>
    <w:p w:rsidR="002B3673" w:rsidRDefault="004A5FAC" w:rsidP="002B3673">
      <w:pPr>
        <w:rPr>
          <w:rFonts w:cs="Times New Roman"/>
          <w:color w:val="000000"/>
          <w:szCs w:val="24"/>
        </w:rPr>
      </w:pPr>
      <w:r>
        <w:rPr>
          <w:rFonts w:cs="Times New Roman"/>
          <w:b/>
          <w:color w:val="000000"/>
          <w:szCs w:val="24"/>
        </w:rPr>
        <w:t>Şekil 61</w:t>
      </w:r>
      <w:r w:rsidR="002B3673" w:rsidRPr="00386A29">
        <w:rPr>
          <w:rFonts w:cs="Times New Roman"/>
          <w:b/>
          <w:color w:val="000000"/>
          <w:szCs w:val="24"/>
        </w:rPr>
        <w:t>.</w:t>
      </w:r>
      <w:r w:rsidR="002B3673">
        <w:rPr>
          <w:rFonts w:cs="Times New Roman"/>
          <w:color w:val="000000"/>
          <w:szCs w:val="24"/>
        </w:rPr>
        <w:t xml:space="preserve"> </w:t>
      </w:r>
      <w:r w:rsidR="002B3673" w:rsidRPr="00EE6E59">
        <w:rPr>
          <w:rFonts w:cs="Times New Roman"/>
          <w:color w:val="000000"/>
          <w:szCs w:val="24"/>
        </w:rPr>
        <w:t xml:space="preserve">MCF-7 kanser hücrelerinin </w:t>
      </w:r>
      <w:r w:rsidR="002B3673">
        <w:rPr>
          <w:rFonts w:cs="Times New Roman"/>
          <w:color w:val="000000"/>
          <w:szCs w:val="24"/>
        </w:rPr>
        <w:t>hipoksi</w:t>
      </w:r>
      <w:r w:rsidR="002B3673" w:rsidRPr="00EE6E59">
        <w:rPr>
          <w:rFonts w:cs="Times New Roman"/>
          <w:color w:val="000000"/>
          <w:szCs w:val="24"/>
        </w:rPr>
        <w:t xml:space="preserve"> </w:t>
      </w:r>
      <w:r w:rsidR="002B3673">
        <w:rPr>
          <w:rFonts w:cs="Times New Roman"/>
          <w:color w:val="000000"/>
          <w:szCs w:val="24"/>
        </w:rPr>
        <w:t>ortamında</w:t>
      </w:r>
      <w:r w:rsidR="002B3673" w:rsidRPr="00EE6E59">
        <w:rPr>
          <w:rFonts w:cs="Times New Roman"/>
          <w:color w:val="000000"/>
          <w:szCs w:val="24"/>
        </w:rPr>
        <w:t xml:space="preserve"> 6, 12, 24 ve 48 saat inkübasyon süreleri için glukozun farklı </w:t>
      </w:r>
      <w:proofErr w:type="gramStart"/>
      <w:r w:rsidR="002B3673" w:rsidRPr="00EE6E59">
        <w:rPr>
          <w:rFonts w:cs="Times New Roman"/>
          <w:color w:val="000000"/>
          <w:szCs w:val="24"/>
        </w:rPr>
        <w:t>konsantrasyonlu</w:t>
      </w:r>
      <w:proofErr w:type="gramEnd"/>
      <w:r w:rsidR="002B3673" w:rsidRPr="00EE6E59">
        <w:rPr>
          <w:rFonts w:cs="Times New Roman"/>
          <w:color w:val="000000"/>
          <w:szCs w:val="24"/>
        </w:rPr>
        <w:t xml:space="preserve"> uygulama gruplarınd</w:t>
      </w:r>
      <w:r w:rsidR="002B3673">
        <w:rPr>
          <w:rFonts w:cs="Times New Roman"/>
          <w:color w:val="000000"/>
          <w:szCs w:val="24"/>
        </w:rPr>
        <w:t>a PFK</w:t>
      </w:r>
      <w:r w:rsidR="002572A3">
        <w:rPr>
          <w:rFonts w:cs="Times New Roman"/>
          <w:color w:val="000000"/>
          <w:szCs w:val="24"/>
        </w:rPr>
        <w:t>P</w:t>
      </w:r>
      <w:r w:rsidR="002B3673" w:rsidRPr="00EE6E59">
        <w:rPr>
          <w:rFonts w:cs="Times New Roman"/>
          <w:color w:val="000000"/>
          <w:szCs w:val="24"/>
        </w:rPr>
        <w:t xml:space="preserve"> miktarlarının karşılaştırılması.</w:t>
      </w:r>
    </w:p>
    <w:p w:rsidR="002B3673" w:rsidRDefault="002B3673" w:rsidP="002B3673">
      <w:pPr>
        <w:rPr>
          <w:rFonts w:cs="Times New Roman"/>
          <w:color w:val="000000"/>
          <w:szCs w:val="24"/>
        </w:rPr>
      </w:pPr>
    </w:p>
    <w:p w:rsidR="002B3673" w:rsidRDefault="002B3673" w:rsidP="002B3673">
      <w:pPr>
        <w:rPr>
          <w:rFonts w:cs="Times New Roman"/>
          <w:color w:val="000000"/>
          <w:szCs w:val="24"/>
        </w:rPr>
      </w:pPr>
    </w:p>
    <w:p w:rsidR="002B3673" w:rsidRPr="003D2CFB" w:rsidRDefault="002B3673" w:rsidP="003D2CFB">
      <w:pPr>
        <w:pStyle w:val="Balk2"/>
        <w:rPr>
          <w:szCs w:val="24"/>
        </w:rPr>
      </w:pPr>
      <w:r w:rsidRPr="003D2CFB">
        <w:rPr>
          <w:szCs w:val="24"/>
        </w:rPr>
        <w:lastRenderedPageBreak/>
        <w:t>4.</w:t>
      </w:r>
      <w:r w:rsidR="00A93050">
        <w:rPr>
          <w:szCs w:val="24"/>
        </w:rPr>
        <w:t>3</w:t>
      </w:r>
      <w:r w:rsidRPr="003D2CFB">
        <w:rPr>
          <w:szCs w:val="24"/>
        </w:rPr>
        <w:t>.5.</w:t>
      </w:r>
      <w:r w:rsidR="00A93050">
        <w:rPr>
          <w:szCs w:val="24"/>
        </w:rPr>
        <w:t>2</w:t>
      </w:r>
      <w:r w:rsidRPr="003D2CFB">
        <w:rPr>
          <w:szCs w:val="24"/>
        </w:rPr>
        <w:t xml:space="preserve"> Aynı </w:t>
      </w:r>
      <w:proofErr w:type="gramStart"/>
      <w:r w:rsidR="00790E30">
        <w:rPr>
          <w:szCs w:val="24"/>
        </w:rPr>
        <w:t>k</w:t>
      </w:r>
      <w:r w:rsidRPr="003D2CFB">
        <w:rPr>
          <w:szCs w:val="24"/>
        </w:rPr>
        <w:t>onsantrasyonlu</w:t>
      </w:r>
      <w:proofErr w:type="gramEnd"/>
      <w:r w:rsidRPr="003D2CFB">
        <w:rPr>
          <w:szCs w:val="24"/>
        </w:rPr>
        <w:t xml:space="preserve"> </w:t>
      </w:r>
      <w:r w:rsidR="00790E30">
        <w:rPr>
          <w:szCs w:val="24"/>
        </w:rPr>
        <w:t>g</w:t>
      </w:r>
      <w:r w:rsidRPr="003D2CFB">
        <w:rPr>
          <w:szCs w:val="24"/>
        </w:rPr>
        <w:t xml:space="preserve">lukoz </w:t>
      </w:r>
      <w:r w:rsidR="00790E30">
        <w:rPr>
          <w:szCs w:val="24"/>
        </w:rPr>
        <w:t>u</w:t>
      </w:r>
      <w:r w:rsidRPr="003D2CFB">
        <w:rPr>
          <w:szCs w:val="24"/>
        </w:rPr>
        <w:t xml:space="preserve">ygulamalarında </w:t>
      </w:r>
      <w:r w:rsidR="00790E30">
        <w:rPr>
          <w:szCs w:val="24"/>
        </w:rPr>
        <w:t>n</w:t>
      </w:r>
      <w:r w:rsidRPr="003D2CFB">
        <w:rPr>
          <w:szCs w:val="24"/>
        </w:rPr>
        <w:t xml:space="preserve">ormoksik </w:t>
      </w:r>
      <w:r w:rsidRPr="003D2CFB">
        <w:t>ve</w:t>
      </w:r>
      <w:r w:rsidRPr="003D2CFB">
        <w:rPr>
          <w:szCs w:val="24"/>
        </w:rPr>
        <w:t xml:space="preserve"> </w:t>
      </w:r>
      <w:r w:rsidR="00790E30">
        <w:rPr>
          <w:szCs w:val="24"/>
        </w:rPr>
        <w:t>h</w:t>
      </w:r>
      <w:r w:rsidRPr="003D2CFB">
        <w:rPr>
          <w:szCs w:val="24"/>
        </w:rPr>
        <w:t xml:space="preserve">ipoksik </w:t>
      </w:r>
      <w:r w:rsidR="00790E30">
        <w:rPr>
          <w:szCs w:val="24"/>
        </w:rPr>
        <w:t>o</w:t>
      </w:r>
      <w:r w:rsidRPr="003D2CFB">
        <w:rPr>
          <w:szCs w:val="24"/>
        </w:rPr>
        <w:t>rtamdaki PFK</w:t>
      </w:r>
      <w:r w:rsidR="002572A3">
        <w:rPr>
          <w:szCs w:val="24"/>
        </w:rPr>
        <w:t>P</w:t>
      </w:r>
      <w:r w:rsidRPr="003D2CFB">
        <w:rPr>
          <w:szCs w:val="24"/>
        </w:rPr>
        <w:t xml:space="preserve"> </w:t>
      </w:r>
      <w:r w:rsidR="00790E30">
        <w:rPr>
          <w:szCs w:val="24"/>
        </w:rPr>
        <w:t>e</w:t>
      </w:r>
      <w:r w:rsidRPr="003D2CFB">
        <w:rPr>
          <w:szCs w:val="24"/>
        </w:rPr>
        <w:t xml:space="preserve">nzim </w:t>
      </w:r>
      <w:r w:rsidR="00790E30">
        <w:rPr>
          <w:szCs w:val="24"/>
        </w:rPr>
        <w:t>m</w:t>
      </w:r>
      <w:r w:rsidRPr="003D2CFB">
        <w:rPr>
          <w:szCs w:val="24"/>
        </w:rPr>
        <w:t xml:space="preserve">iktarlarının </w:t>
      </w:r>
      <w:r w:rsidR="00790E30">
        <w:rPr>
          <w:szCs w:val="24"/>
        </w:rPr>
        <w:t>k</w:t>
      </w:r>
      <w:r w:rsidRPr="003D2CFB">
        <w:rPr>
          <w:szCs w:val="24"/>
        </w:rPr>
        <w:t>arşılaştırılması</w:t>
      </w:r>
    </w:p>
    <w:p w:rsidR="002B3673" w:rsidRDefault="002B3673" w:rsidP="002B3673">
      <w:pPr>
        <w:rPr>
          <w:rFonts w:eastAsia="Times New Roman"/>
          <w:b/>
          <w:szCs w:val="24"/>
          <w:lang w:eastAsia="tr-TR"/>
        </w:rPr>
      </w:pPr>
    </w:p>
    <w:p w:rsidR="002B3673" w:rsidRPr="000B4404" w:rsidRDefault="002B3673" w:rsidP="002B3673">
      <w:pPr>
        <w:rPr>
          <w:rFonts w:cs="Times New Roman"/>
          <w:color w:val="000000"/>
          <w:szCs w:val="24"/>
        </w:rPr>
      </w:pPr>
      <w:r>
        <w:rPr>
          <w:rFonts w:cs="Times New Roman"/>
          <w:color w:val="000000"/>
          <w:szCs w:val="24"/>
        </w:rPr>
        <w:t>12. saa</w:t>
      </w:r>
      <w:r w:rsidR="0075651D">
        <w:rPr>
          <w:rFonts w:cs="Times New Roman"/>
          <w:color w:val="000000"/>
          <w:szCs w:val="24"/>
        </w:rPr>
        <w:t xml:space="preserve">t inkübasyon sürelerinde 0 ve </w:t>
      </w:r>
      <w:proofErr w:type="gramStart"/>
      <w:r w:rsidR="0075651D">
        <w:rPr>
          <w:rFonts w:cs="Times New Roman"/>
          <w:color w:val="000000"/>
          <w:szCs w:val="24"/>
        </w:rPr>
        <w:t>5.</w:t>
      </w:r>
      <w:r>
        <w:rPr>
          <w:rFonts w:cs="Times New Roman"/>
          <w:color w:val="000000"/>
          <w:szCs w:val="24"/>
        </w:rPr>
        <w:t>5</w:t>
      </w:r>
      <w:proofErr w:type="gramEnd"/>
      <w:r>
        <w:rPr>
          <w:rFonts w:cs="Times New Roman"/>
          <w:color w:val="000000"/>
          <w:szCs w:val="24"/>
        </w:rPr>
        <w:t xml:space="preserve"> mM glukoz içeren normoksi ve hipoksi ortamları arasında istatiksel</w:t>
      </w:r>
      <w:r w:rsidR="0075651D">
        <w:rPr>
          <w:rFonts w:cs="Times New Roman"/>
          <w:color w:val="000000"/>
          <w:szCs w:val="24"/>
        </w:rPr>
        <w:t xml:space="preserve"> önemli bir fark görülmezken (P</w:t>
      </w:r>
      <w:r>
        <w:rPr>
          <w:rFonts w:cs="Times New Roman"/>
          <w:color w:val="000000"/>
          <w:szCs w:val="24"/>
        </w:rPr>
        <w:t>&gt;</w:t>
      </w:r>
      <w:r w:rsidRPr="00A567AE">
        <w:rPr>
          <w:rFonts w:cs="Times New Roman"/>
          <w:color w:val="000000"/>
          <w:szCs w:val="24"/>
        </w:rPr>
        <w:t>0,05)</w:t>
      </w:r>
      <w:r>
        <w:rPr>
          <w:rFonts w:cs="Times New Roman"/>
          <w:color w:val="000000"/>
          <w:szCs w:val="24"/>
        </w:rPr>
        <w:t>, diğer t</w:t>
      </w:r>
      <w:r w:rsidRPr="00A567AE">
        <w:rPr>
          <w:rFonts w:cs="Times New Roman"/>
          <w:color w:val="000000"/>
          <w:szCs w:val="24"/>
        </w:rPr>
        <w:t xml:space="preserve">üm uygulanan glukoz dozları için her inkübasyon süresinde normoksik kontrole göre hipoksik koşullarda </w:t>
      </w:r>
      <w:r>
        <w:rPr>
          <w:rFonts w:cs="Times New Roman"/>
          <w:color w:val="000000"/>
          <w:szCs w:val="24"/>
        </w:rPr>
        <w:t>PFK</w:t>
      </w:r>
      <w:r w:rsidR="00BB5CC4">
        <w:rPr>
          <w:rFonts w:cs="Times New Roman"/>
          <w:color w:val="000000"/>
          <w:szCs w:val="24"/>
        </w:rPr>
        <w:t>P</w:t>
      </w:r>
      <w:r w:rsidRPr="00A567AE">
        <w:rPr>
          <w:rFonts w:cs="Times New Roman"/>
          <w:color w:val="000000"/>
          <w:szCs w:val="24"/>
        </w:rPr>
        <w:t xml:space="preserve"> enzim düzeylerinde önemli </w:t>
      </w:r>
      <w:r>
        <w:rPr>
          <w:rFonts w:cs="Times New Roman"/>
          <w:color w:val="000000"/>
          <w:szCs w:val="24"/>
        </w:rPr>
        <w:t>değişimler kaydedildi (P&lt;0,001</w:t>
      </w:r>
      <w:r w:rsidRPr="00A567AE">
        <w:rPr>
          <w:rFonts w:cs="Times New Roman"/>
          <w:color w:val="000000"/>
          <w:szCs w:val="24"/>
        </w:rPr>
        <w:t>)</w:t>
      </w:r>
      <w:r>
        <w:rPr>
          <w:rFonts w:cs="Times New Roman"/>
          <w:color w:val="000000"/>
          <w:szCs w:val="24"/>
        </w:rPr>
        <w:t>. Normoksiye göre hipokside 6.</w:t>
      </w:r>
      <w:r w:rsidR="00283D81">
        <w:rPr>
          <w:rFonts w:cs="Times New Roman"/>
          <w:color w:val="000000"/>
          <w:szCs w:val="24"/>
        </w:rPr>
        <w:t xml:space="preserve"> saat inkübasyon süresinde 0 ve </w:t>
      </w:r>
      <w:proofErr w:type="gramStart"/>
      <w:r w:rsidR="0075651D">
        <w:rPr>
          <w:rFonts w:cs="Times New Roman"/>
          <w:color w:val="000000"/>
          <w:szCs w:val="24"/>
        </w:rPr>
        <w:t>5.</w:t>
      </w:r>
      <w:r>
        <w:rPr>
          <w:rFonts w:cs="Times New Roman"/>
          <w:color w:val="000000"/>
          <w:szCs w:val="24"/>
        </w:rPr>
        <w:t>5</w:t>
      </w:r>
      <w:proofErr w:type="gramEnd"/>
      <w:r w:rsidR="00283D81">
        <w:rPr>
          <w:rFonts w:cs="Times New Roman"/>
          <w:color w:val="000000"/>
          <w:szCs w:val="24"/>
        </w:rPr>
        <w:t xml:space="preserve"> mM konsantrasyonlarında sırasıyla 1,12 ve 3,24 kat azalış, 15 ve 55 </w:t>
      </w:r>
      <w:r>
        <w:rPr>
          <w:rFonts w:cs="Times New Roman"/>
          <w:color w:val="000000"/>
          <w:szCs w:val="24"/>
        </w:rPr>
        <w:t xml:space="preserve">mM konsantrasyonlarında </w:t>
      </w:r>
      <w:r w:rsidR="00283D81">
        <w:rPr>
          <w:rFonts w:cs="Times New Roman"/>
          <w:color w:val="000000"/>
          <w:szCs w:val="24"/>
        </w:rPr>
        <w:t xml:space="preserve">ise </w:t>
      </w:r>
      <w:r>
        <w:rPr>
          <w:rFonts w:cs="Times New Roman"/>
          <w:color w:val="000000"/>
          <w:szCs w:val="24"/>
        </w:rPr>
        <w:t>sırasıyla 14,</w:t>
      </w:r>
      <w:r w:rsidR="00283D81">
        <w:rPr>
          <w:rFonts w:cs="Times New Roman"/>
          <w:color w:val="000000"/>
          <w:szCs w:val="24"/>
        </w:rPr>
        <w:t>91 ve 2,75 kat artış belirlendi (P &lt; 0,001</w:t>
      </w:r>
      <w:r w:rsidR="00283D81" w:rsidRPr="00A567AE">
        <w:rPr>
          <w:rFonts w:cs="Times New Roman"/>
          <w:color w:val="000000"/>
          <w:szCs w:val="24"/>
        </w:rPr>
        <w:t>)</w:t>
      </w:r>
      <w:r w:rsidR="00283D81">
        <w:rPr>
          <w:rFonts w:cs="Times New Roman"/>
          <w:color w:val="000000"/>
          <w:szCs w:val="24"/>
        </w:rPr>
        <w:t>.</w:t>
      </w:r>
      <w:r>
        <w:rPr>
          <w:rFonts w:cs="Times New Roman"/>
          <w:color w:val="000000"/>
          <w:szCs w:val="24"/>
        </w:rPr>
        <w:t xml:space="preserve"> 15 ve 55 mM glukoz içeren ortamlarda 12. saatlerde ise 34,2 ve 5,05 kat azalış, 15 mM glukoz ihtiva eden ortamda 24. saatte ise normoksiye göre hipokside 56,5 kat enzim miktarında artış olduğu olduğu kaydedildi (P &lt; 0,001</w:t>
      </w:r>
      <w:r w:rsidRPr="00A567AE">
        <w:rPr>
          <w:rFonts w:cs="Times New Roman"/>
          <w:color w:val="000000"/>
          <w:szCs w:val="24"/>
        </w:rPr>
        <w:t>)</w:t>
      </w:r>
      <w:r w:rsidR="0030279F">
        <w:rPr>
          <w:rFonts w:cs="Times New Roman"/>
          <w:color w:val="000000"/>
          <w:szCs w:val="24"/>
        </w:rPr>
        <w:t xml:space="preserve"> (Şekil 62-65). </w:t>
      </w:r>
    </w:p>
    <w:p w:rsidR="002B3673" w:rsidRDefault="002B3673" w:rsidP="002B3673"/>
    <w:p w:rsidR="002B3673" w:rsidRDefault="002B3673" w:rsidP="002B3673">
      <w:pPr>
        <w:jc w:val="center"/>
      </w:pPr>
      <w:r>
        <w:rPr>
          <w:noProof/>
          <w:lang w:eastAsia="tr-TR"/>
        </w:rPr>
        <w:drawing>
          <wp:inline distT="0" distB="0" distL="0" distR="0">
            <wp:extent cx="4572000" cy="2717403"/>
            <wp:effectExtent l="0" t="0" r="0" b="0"/>
            <wp:docPr id="109" name="Grafik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D2CFB" w:rsidRDefault="003D2CFB" w:rsidP="002B3673">
      <w:pPr>
        <w:jc w:val="center"/>
      </w:pPr>
    </w:p>
    <w:p w:rsidR="002B3673" w:rsidRDefault="004A5FAC" w:rsidP="002B3673">
      <w:pPr>
        <w:rPr>
          <w:rFonts w:cs="Times New Roman"/>
          <w:color w:val="000000"/>
          <w:szCs w:val="24"/>
        </w:rPr>
      </w:pPr>
      <w:r>
        <w:rPr>
          <w:rFonts w:cs="Times New Roman"/>
          <w:b/>
          <w:color w:val="000000"/>
          <w:szCs w:val="24"/>
        </w:rPr>
        <w:t>Şekil 62</w:t>
      </w:r>
      <w:r w:rsidR="002B3673" w:rsidRPr="00386A29">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0 mM glukoz </w:t>
      </w:r>
      <w:r w:rsidR="002B3673" w:rsidRPr="006A05E3">
        <w:rPr>
          <w:rFonts w:cs="Times New Roman"/>
          <w:color w:val="000000"/>
          <w:szCs w:val="24"/>
        </w:rPr>
        <w:t xml:space="preserve">uygulama gruplarında </w:t>
      </w:r>
      <w:r w:rsidR="002B3673">
        <w:rPr>
          <w:rFonts w:cs="Times New Roman"/>
          <w:color w:val="000000"/>
          <w:szCs w:val="24"/>
        </w:rPr>
        <w:t>PFK</w:t>
      </w:r>
      <w:r w:rsidR="00BB5CC4">
        <w:rPr>
          <w:rFonts w:cs="Times New Roman"/>
          <w:color w:val="000000"/>
          <w:szCs w:val="24"/>
        </w:rPr>
        <w:t>P</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w:t>
      </w:r>
      <w:r w:rsidR="002B3673">
        <w:rPr>
          <w:rFonts w:cs="Times New Roman"/>
          <w:color w:val="000000"/>
          <w:szCs w:val="24"/>
        </w:rPr>
        <w:t>nin karşılaştırılması. *</w:t>
      </w:r>
      <w:r w:rsidR="0075651D">
        <w:rPr>
          <w:rFonts w:cs="Times New Roman"/>
          <w:color w:val="000000"/>
          <w:szCs w:val="24"/>
        </w:rPr>
        <w:t>p</w:t>
      </w:r>
      <w:r w:rsidR="002B3673">
        <w:rPr>
          <w:rFonts w:cs="Times New Roman"/>
          <w:color w:val="000000"/>
          <w:szCs w:val="24"/>
        </w:rPr>
        <w:t>&lt; 0,001</w:t>
      </w:r>
    </w:p>
    <w:p w:rsidR="002B3673" w:rsidRDefault="002B3673" w:rsidP="002B3673"/>
    <w:p w:rsidR="002B3673" w:rsidRDefault="002B3673" w:rsidP="002B3673">
      <w:pPr>
        <w:jc w:val="center"/>
      </w:pPr>
      <w:r>
        <w:rPr>
          <w:noProof/>
          <w:lang w:eastAsia="tr-TR"/>
        </w:rPr>
        <w:lastRenderedPageBreak/>
        <w:drawing>
          <wp:inline distT="0" distB="0" distL="0" distR="0">
            <wp:extent cx="4572000" cy="2717403"/>
            <wp:effectExtent l="0" t="0" r="0" b="0"/>
            <wp:docPr id="110" name="Grafik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B3673" w:rsidRDefault="002B3673" w:rsidP="002B3673">
      <w:pPr>
        <w:jc w:val="center"/>
      </w:pPr>
    </w:p>
    <w:p w:rsidR="002B3673" w:rsidRDefault="004A5FAC" w:rsidP="002B3673">
      <w:pPr>
        <w:rPr>
          <w:rFonts w:cs="Times New Roman"/>
          <w:color w:val="000000"/>
          <w:szCs w:val="24"/>
        </w:rPr>
      </w:pPr>
      <w:r>
        <w:rPr>
          <w:rFonts w:cs="Times New Roman"/>
          <w:b/>
          <w:color w:val="000000"/>
          <w:szCs w:val="24"/>
        </w:rPr>
        <w:t>Şekil 63</w:t>
      </w:r>
      <w:r w:rsidR="002B3673" w:rsidRPr="00386A29">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w:t>
      </w:r>
      <w:proofErr w:type="gramStart"/>
      <w:r w:rsidR="002B3673">
        <w:rPr>
          <w:rFonts w:cs="Times New Roman"/>
          <w:color w:val="000000"/>
          <w:szCs w:val="24"/>
        </w:rPr>
        <w:t>5.5</w:t>
      </w:r>
      <w:proofErr w:type="gramEnd"/>
      <w:r w:rsidR="002B3673">
        <w:rPr>
          <w:rFonts w:cs="Times New Roman"/>
          <w:color w:val="000000"/>
          <w:szCs w:val="24"/>
        </w:rPr>
        <w:t xml:space="preserve"> mM glukoz </w:t>
      </w:r>
      <w:r w:rsidR="002B3673" w:rsidRPr="006A05E3">
        <w:rPr>
          <w:rFonts w:cs="Times New Roman"/>
          <w:color w:val="000000"/>
          <w:szCs w:val="24"/>
        </w:rPr>
        <w:t xml:space="preserve">uygulama gruplarında </w:t>
      </w:r>
      <w:r w:rsidR="002B3673">
        <w:rPr>
          <w:rFonts w:cs="Times New Roman"/>
          <w:color w:val="000000"/>
          <w:szCs w:val="24"/>
        </w:rPr>
        <w:t>PFK</w:t>
      </w:r>
      <w:r w:rsidR="00BB5CC4">
        <w:rPr>
          <w:rFonts w:cs="Times New Roman"/>
          <w:color w:val="000000"/>
          <w:szCs w:val="24"/>
        </w:rPr>
        <w:t>P</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w:t>
      </w:r>
      <w:r w:rsidR="002B3673">
        <w:rPr>
          <w:rFonts w:cs="Times New Roman"/>
          <w:color w:val="000000"/>
          <w:szCs w:val="24"/>
        </w:rPr>
        <w:t>nin karşılaştırılması. *</w:t>
      </w:r>
      <w:r w:rsidR="0075651D">
        <w:rPr>
          <w:rFonts w:cs="Times New Roman"/>
          <w:color w:val="000000"/>
          <w:szCs w:val="24"/>
        </w:rPr>
        <w:t>p</w:t>
      </w:r>
      <w:r w:rsidR="002B3673">
        <w:rPr>
          <w:rFonts w:cs="Times New Roman"/>
          <w:color w:val="000000"/>
          <w:szCs w:val="24"/>
        </w:rPr>
        <w:t>&lt; 0,001</w:t>
      </w:r>
    </w:p>
    <w:p w:rsidR="002B3673" w:rsidRDefault="002B3673" w:rsidP="002B3673"/>
    <w:p w:rsidR="002B3673" w:rsidRDefault="00A81952" w:rsidP="00A81952">
      <w:pPr>
        <w:ind w:firstLine="0"/>
        <w:jc w:val="center"/>
      </w:pPr>
      <w:r>
        <w:t xml:space="preserve">           </w:t>
      </w:r>
      <w:r w:rsidR="002B3673">
        <w:rPr>
          <w:noProof/>
          <w:lang w:eastAsia="tr-TR"/>
        </w:rPr>
        <w:drawing>
          <wp:inline distT="0" distB="0" distL="0" distR="0">
            <wp:extent cx="4572000" cy="2736000"/>
            <wp:effectExtent l="0" t="0" r="0" b="0"/>
            <wp:docPr id="111" name="Grafik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B3673" w:rsidRDefault="002B3673" w:rsidP="002B3673"/>
    <w:p w:rsidR="002B3673" w:rsidRDefault="004A5FAC" w:rsidP="002B3673">
      <w:pPr>
        <w:rPr>
          <w:rFonts w:cs="Times New Roman"/>
          <w:color w:val="000000"/>
          <w:szCs w:val="24"/>
        </w:rPr>
      </w:pPr>
      <w:r>
        <w:rPr>
          <w:rFonts w:cs="Times New Roman"/>
          <w:b/>
          <w:color w:val="000000"/>
          <w:szCs w:val="24"/>
        </w:rPr>
        <w:t>Şekil 64</w:t>
      </w:r>
      <w:r w:rsidR="002B3673" w:rsidRPr="00386A29">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15 mM glukoz </w:t>
      </w:r>
      <w:r w:rsidR="002B3673" w:rsidRPr="006A05E3">
        <w:rPr>
          <w:rFonts w:cs="Times New Roman"/>
          <w:color w:val="000000"/>
          <w:szCs w:val="24"/>
        </w:rPr>
        <w:t xml:space="preserve">uygulama gruplarında </w:t>
      </w:r>
      <w:r w:rsidR="002B3673">
        <w:rPr>
          <w:rFonts w:cs="Times New Roman"/>
          <w:color w:val="000000"/>
          <w:szCs w:val="24"/>
        </w:rPr>
        <w:t>PFK</w:t>
      </w:r>
      <w:r w:rsidR="00BB5CC4">
        <w:rPr>
          <w:rFonts w:cs="Times New Roman"/>
          <w:color w:val="000000"/>
          <w:szCs w:val="24"/>
        </w:rPr>
        <w:t>P</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w:t>
      </w:r>
      <w:r w:rsidR="002B3673">
        <w:rPr>
          <w:rFonts w:cs="Times New Roman"/>
          <w:color w:val="000000"/>
          <w:szCs w:val="24"/>
        </w:rPr>
        <w:t>nin karşılaştırılması. *</w:t>
      </w:r>
      <w:r w:rsidR="0075651D">
        <w:rPr>
          <w:rFonts w:cs="Times New Roman"/>
          <w:color w:val="000000"/>
          <w:szCs w:val="24"/>
        </w:rPr>
        <w:t>p</w:t>
      </w:r>
      <w:r w:rsidR="002B3673">
        <w:rPr>
          <w:rFonts w:cs="Times New Roman"/>
          <w:color w:val="000000"/>
          <w:szCs w:val="24"/>
        </w:rPr>
        <w:t>&lt; 0,001</w:t>
      </w:r>
    </w:p>
    <w:p w:rsidR="002B3673" w:rsidRDefault="002B3673" w:rsidP="002B3673">
      <w:pPr>
        <w:rPr>
          <w:rFonts w:cs="Times New Roman"/>
          <w:color w:val="000000"/>
          <w:szCs w:val="24"/>
        </w:rPr>
      </w:pPr>
    </w:p>
    <w:p w:rsidR="002B3673" w:rsidRDefault="002B3673" w:rsidP="002B3673">
      <w:pPr>
        <w:jc w:val="center"/>
      </w:pPr>
      <w:r>
        <w:rPr>
          <w:noProof/>
          <w:lang w:eastAsia="tr-TR"/>
        </w:rPr>
        <w:lastRenderedPageBreak/>
        <w:drawing>
          <wp:inline distT="0" distB="0" distL="0" distR="0">
            <wp:extent cx="4572000" cy="2718594"/>
            <wp:effectExtent l="0" t="0" r="0" b="0"/>
            <wp:docPr id="112" name="Grafik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B3673" w:rsidRDefault="002B3673" w:rsidP="002B3673">
      <w:pPr>
        <w:jc w:val="center"/>
      </w:pPr>
    </w:p>
    <w:p w:rsidR="002B3673" w:rsidRDefault="004A5FAC" w:rsidP="002B3673">
      <w:pPr>
        <w:rPr>
          <w:rFonts w:cs="Times New Roman"/>
          <w:color w:val="000000"/>
          <w:szCs w:val="24"/>
        </w:rPr>
      </w:pPr>
      <w:r>
        <w:rPr>
          <w:rFonts w:cs="Times New Roman"/>
          <w:b/>
          <w:color w:val="000000"/>
          <w:szCs w:val="24"/>
        </w:rPr>
        <w:t>Şekil 65</w:t>
      </w:r>
      <w:r w:rsidR="002B3673" w:rsidRPr="00386A29">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55 mM glukoz </w:t>
      </w:r>
      <w:r w:rsidR="002B3673" w:rsidRPr="006A05E3">
        <w:rPr>
          <w:rFonts w:cs="Times New Roman"/>
          <w:color w:val="000000"/>
          <w:szCs w:val="24"/>
        </w:rPr>
        <w:t xml:space="preserve">uygulama gruplarında </w:t>
      </w:r>
      <w:r w:rsidR="002B3673">
        <w:rPr>
          <w:rFonts w:cs="Times New Roman"/>
          <w:color w:val="000000"/>
          <w:szCs w:val="24"/>
        </w:rPr>
        <w:t>PFK</w:t>
      </w:r>
      <w:r w:rsidR="00BB5CC4">
        <w:rPr>
          <w:rFonts w:cs="Times New Roman"/>
          <w:color w:val="000000"/>
          <w:szCs w:val="24"/>
        </w:rPr>
        <w:t>P</w:t>
      </w:r>
      <w:r w:rsidR="002B3673" w:rsidRPr="006A05E3">
        <w:rPr>
          <w:rFonts w:cs="Times New Roman"/>
          <w:color w:val="000000"/>
          <w:szCs w:val="24"/>
        </w:rPr>
        <w:t xml:space="preserve"> </w:t>
      </w:r>
      <w:r w:rsidR="002B3673">
        <w:rPr>
          <w:rFonts w:cs="Times New Roman"/>
          <w:color w:val="000000"/>
          <w:szCs w:val="24"/>
        </w:rPr>
        <w:t xml:space="preserve">enzim </w:t>
      </w:r>
      <w:r w:rsidR="002B3673" w:rsidRPr="006A05E3">
        <w:rPr>
          <w:rFonts w:cs="Times New Roman"/>
          <w:color w:val="000000"/>
          <w:szCs w:val="24"/>
        </w:rPr>
        <w:t>düzeyleri</w:t>
      </w:r>
      <w:r w:rsidR="002B3673">
        <w:rPr>
          <w:rFonts w:cs="Times New Roman"/>
          <w:color w:val="000000"/>
          <w:szCs w:val="24"/>
        </w:rPr>
        <w:t>nin karşılaştırılması. *</w:t>
      </w:r>
      <w:r w:rsidR="0075651D">
        <w:rPr>
          <w:rFonts w:cs="Times New Roman"/>
          <w:color w:val="000000"/>
          <w:szCs w:val="24"/>
        </w:rPr>
        <w:t>p</w:t>
      </w:r>
      <w:r w:rsidR="002B3673">
        <w:rPr>
          <w:rFonts w:cs="Times New Roman"/>
          <w:color w:val="000000"/>
          <w:szCs w:val="24"/>
        </w:rPr>
        <w:t>&lt; 0,001</w:t>
      </w:r>
    </w:p>
    <w:p w:rsidR="00856A8B" w:rsidRDefault="00856A8B" w:rsidP="002B3673">
      <w:pPr>
        <w:rPr>
          <w:rFonts w:cs="Times New Roman"/>
          <w:color w:val="000000"/>
          <w:szCs w:val="24"/>
        </w:rPr>
      </w:pPr>
    </w:p>
    <w:p w:rsidR="00856A8B" w:rsidRDefault="00856A8B" w:rsidP="002B3673">
      <w:pPr>
        <w:rPr>
          <w:rFonts w:cs="Times New Roman"/>
          <w:color w:val="000000"/>
          <w:szCs w:val="24"/>
        </w:rPr>
      </w:pPr>
    </w:p>
    <w:p w:rsidR="004657C4" w:rsidRDefault="00A93050" w:rsidP="003D2CFB">
      <w:pPr>
        <w:pStyle w:val="Balk2"/>
      </w:pPr>
      <w:r>
        <w:t>4.4 K</w:t>
      </w:r>
      <w:r w:rsidR="00C222B1">
        <w:t>o</w:t>
      </w:r>
      <w:r>
        <w:t xml:space="preserve">lorimetrik </w:t>
      </w:r>
      <w:r w:rsidR="00DD3406">
        <w:t>Laktat Tayini</w:t>
      </w:r>
    </w:p>
    <w:p w:rsidR="00856A8B" w:rsidRPr="00856A8B" w:rsidRDefault="00856A8B" w:rsidP="00856A8B"/>
    <w:p w:rsidR="002B3673" w:rsidRDefault="002B3673" w:rsidP="003D2CFB">
      <w:pPr>
        <w:pStyle w:val="Balk2"/>
      </w:pPr>
      <w:r w:rsidRPr="00E35C52">
        <w:t>4.</w:t>
      </w:r>
      <w:r w:rsidR="00A93050">
        <w:t>4</w:t>
      </w:r>
      <w:r w:rsidRPr="00E35C52">
        <w:t xml:space="preserve">.1 Normoksik ve Hipoksik Koşullarda </w:t>
      </w:r>
      <w:r>
        <w:t xml:space="preserve">Zamana Bağlı </w:t>
      </w:r>
      <w:r w:rsidRPr="00E35C52">
        <w:t>Hücre Dışı</w:t>
      </w:r>
      <w:r>
        <w:t xml:space="preserve"> Laktat Salınımı </w:t>
      </w:r>
    </w:p>
    <w:p w:rsidR="002B3673" w:rsidRDefault="002B3673" w:rsidP="002B3673">
      <w:pPr>
        <w:rPr>
          <w:rFonts w:cs="Times New Roman"/>
          <w:b/>
          <w:color w:val="000000"/>
          <w:szCs w:val="24"/>
        </w:rPr>
      </w:pPr>
    </w:p>
    <w:p w:rsidR="002B3673" w:rsidRDefault="002B3673" w:rsidP="002B3673">
      <w:pPr>
        <w:rPr>
          <w:rFonts w:cs="Times New Roman"/>
          <w:color w:val="000000"/>
          <w:szCs w:val="24"/>
        </w:rPr>
      </w:pPr>
      <w:r w:rsidRPr="008E446E">
        <w:rPr>
          <w:rFonts w:cs="Times New Roman"/>
          <w:color w:val="000000"/>
          <w:szCs w:val="24"/>
        </w:rPr>
        <w:t>Normoksik ve hipoksik koşullarda glukozun farklı dozlarına maruz bırakılan MCF-7 meme kanser hücre hattı gruplarında inkübasyon sürelerinde ekstrasel</w:t>
      </w:r>
      <w:r>
        <w:rPr>
          <w:rFonts w:cs="Times New Roman"/>
          <w:color w:val="000000"/>
          <w:szCs w:val="24"/>
        </w:rPr>
        <w:t>l</w:t>
      </w:r>
      <w:r w:rsidRPr="008E446E">
        <w:rPr>
          <w:rFonts w:cs="Times New Roman"/>
          <w:color w:val="000000"/>
          <w:szCs w:val="24"/>
        </w:rPr>
        <w:t>üler laktat düzeyler</w:t>
      </w:r>
      <w:r>
        <w:rPr>
          <w:rFonts w:cs="Times New Roman"/>
          <w:color w:val="000000"/>
          <w:szCs w:val="24"/>
        </w:rPr>
        <w:t>inin nasıl</w:t>
      </w:r>
      <w:r w:rsidR="004A5FAC">
        <w:rPr>
          <w:rFonts w:cs="Times New Roman"/>
          <w:color w:val="000000"/>
          <w:szCs w:val="24"/>
        </w:rPr>
        <w:t xml:space="preserve"> değiştiği incelendi (Tablo 13</w:t>
      </w:r>
      <w:r>
        <w:rPr>
          <w:rFonts w:cs="Times New Roman"/>
          <w:color w:val="000000"/>
          <w:szCs w:val="24"/>
        </w:rPr>
        <w:t>)</w:t>
      </w:r>
      <w:r w:rsidR="00972ABE">
        <w:rPr>
          <w:rFonts w:cs="Times New Roman"/>
          <w:color w:val="000000"/>
          <w:szCs w:val="24"/>
        </w:rPr>
        <w:t>.</w:t>
      </w: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972ABE" w:rsidRDefault="00972ABE" w:rsidP="002B3673">
      <w:pPr>
        <w:rPr>
          <w:rFonts w:cs="Times New Roman"/>
          <w:color w:val="000000"/>
          <w:szCs w:val="24"/>
        </w:rPr>
      </w:pPr>
    </w:p>
    <w:p w:rsidR="002B3673" w:rsidRPr="00EF3BAC" w:rsidRDefault="004A5FAC" w:rsidP="003D2CFB">
      <w:pPr>
        <w:ind w:firstLine="0"/>
        <w:rPr>
          <w:rFonts w:cs="Times New Roman"/>
          <w:color w:val="000000"/>
          <w:szCs w:val="24"/>
        </w:rPr>
      </w:pPr>
      <w:r>
        <w:rPr>
          <w:rFonts w:cs="Times New Roman"/>
          <w:b/>
          <w:color w:val="000000"/>
          <w:szCs w:val="24"/>
        </w:rPr>
        <w:lastRenderedPageBreak/>
        <w:t>Tablo 13</w:t>
      </w:r>
      <w:r w:rsidR="002B3673" w:rsidRPr="00386A29">
        <w:rPr>
          <w:rFonts w:cs="Times New Roman"/>
          <w:b/>
          <w:color w:val="000000"/>
          <w:szCs w:val="24"/>
        </w:rPr>
        <w:t>.</w:t>
      </w:r>
      <w:r w:rsidR="002B3673" w:rsidRPr="000C0C87">
        <w:rPr>
          <w:rFonts w:cs="Times New Roman"/>
        </w:rPr>
        <w:t xml:space="preserve"> </w:t>
      </w:r>
      <w:r w:rsidR="002B3673">
        <w:rPr>
          <w:rFonts w:cs="Times New Roman"/>
        </w:rPr>
        <w:t xml:space="preserve">Normoksik ve </w:t>
      </w:r>
      <w:r w:rsidR="002B3673">
        <w:rPr>
          <w:rFonts w:cs="Times New Roman"/>
          <w:color w:val="000000"/>
          <w:szCs w:val="24"/>
        </w:rPr>
        <w:t xml:space="preserve">hipoksik ortamda glukozun farklı </w:t>
      </w:r>
      <w:proofErr w:type="gramStart"/>
      <w:r w:rsidR="002B3673">
        <w:rPr>
          <w:rFonts w:cs="Times New Roman"/>
          <w:color w:val="000000"/>
          <w:szCs w:val="24"/>
        </w:rPr>
        <w:t>konsantrasyonlu</w:t>
      </w:r>
      <w:proofErr w:type="gramEnd"/>
      <w:r w:rsidR="002B3673">
        <w:rPr>
          <w:rFonts w:cs="Times New Roman"/>
          <w:color w:val="000000"/>
          <w:szCs w:val="24"/>
        </w:rPr>
        <w:t xml:space="preserve"> uygulama gruplarında 3, 6, 12, 24 ve 48 saat inkübasyonu sonucu elde edilen ekstrasellüler laktat miktarları ve standart hata değerleri.</w:t>
      </w:r>
      <w:r w:rsidR="002B3673" w:rsidRPr="000C0C87">
        <w:rPr>
          <w:rFonts w:cs="Times New Roman"/>
        </w:rPr>
        <w:t xml:space="preserve"> </w:t>
      </w:r>
    </w:p>
    <w:tbl>
      <w:tblPr>
        <w:tblStyle w:val="TabloKlavuzu2"/>
        <w:tblW w:w="8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1353"/>
        <w:gridCol w:w="1353"/>
        <w:gridCol w:w="1353"/>
        <w:gridCol w:w="1454"/>
        <w:gridCol w:w="1538"/>
      </w:tblGrid>
      <w:tr w:rsidR="002827AB" w:rsidRPr="009B698A" w:rsidTr="00054A83">
        <w:trPr>
          <w:trHeight w:val="381"/>
        </w:trPr>
        <w:tc>
          <w:tcPr>
            <w:tcW w:w="1283" w:type="dxa"/>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20"/>
                <w:szCs w:val="20"/>
                <w:lang w:eastAsia="tr-TR"/>
              </w:rPr>
            </w:pPr>
            <w:r w:rsidRPr="009B698A">
              <w:rPr>
                <w:rFonts w:eastAsia="Times New Roman"/>
                <w:b/>
                <w:iCs/>
                <w:sz w:val="20"/>
                <w:szCs w:val="20"/>
                <w:lang w:eastAsia="tr-TR"/>
              </w:rPr>
              <w:t>N</w:t>
            </w:r>
            <w:r w:rsidR="009B698A" w:rsidRPr="009B698A">
              <w:rPr>
                <w:rFonts w:eastAsia="Times New Roman"/>
                <w:b/>
                <w:iCs/>
                <w:sz w:val="20"/>
                <w:szCs w:val="20"/>
                <w:lang w:eastAsia="tr-TR"/>
              </w:rPr>
              <w:t>ormoksi</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20"/>
                <w:szCs w:val="20"/>
                <w:lang w:eastAsia="tr-TR"/>
              </w:rPr>
            </w:pPr>
            <w:r w:rsidRPr="009B698A">
              <w:rPr>
                <w:rFonts w:eastAsia="Times New Roman"/>
                <w:b/>
                <w:iCs/>
                <w:sz w:val="20"/>
                <w:szCs w:val="20"/>
                <w:lang w:eastAsia="tr-TR"/>
              </w:rPr>
              <w:t>3.S</w:t>
            </w:r>
            <w:r w:rsidR="009B698A" w:rsidRPr="009B698A">
              <w:rPr>
                <w:rFonts w:eastAsia="Times New Roman"/>
                <w:b/>
                <w:iCs/>
                <w:sz w:val="20"/>
                <w:szCs w:val="20"/>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20"/>
                <w:szCs w:val="20"/>
                <w:lang w:eastAsia="tr-TR"/>
              </w:rPr>
            </w:pPr>
            <w:r w:rsidRPr="009B698A">
              <w:rPr>
                <w:rFonts w:eastAsia="Times New Roman"/>
                <w:b/>
                <w:iCs/>
                <w:sz w:val="20"/>
                <w:szCs w:val="20"/>
                <w:lang w:eastAsia="tr-TR"/>
              </w:rPr>
              <w:t>6.S</w:t>
            </w:r>
            <w:r w:rsidR="009B698A" w:rsidRPr="009B698A">
              <w:rPr>
                <w:rFonts w:eastAsia="Times New Roman"/>
                <w:b/>
                <w:iCs/>
                <w:sz w:val="20"/>
                <w:szCs w:val="20"/>
                <w:lang w:eastAsia="tr-TR"/>
              </w:rPr>
              <w:t>aat</w:t>
            </w:r>
            <w:r w:rsidRPr="009B698A">
              <w:rPr>
                <w:rFonts w:eastAsia="Times New Roman"/>
                <w:b/>
                <w:iCs/>
                <w:sz w:val="20"/>
                <w:szCs w:val="20"/>
                <w:lang w:eastAsia="tr-TR"/>
              </w:rPr>
              <w:t xml:space="preserve"> </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20"/>
                <w:szCs w:val="20"/>
                <w:lang w:eastAsia="tr-TR"/>
              </w:rPr>
            </w:pPr>
            <w:r w:rsidRPr="009B698A">
              <w:rPr>
                <w:rFonts w:eastAsia="Times New Roman"/>
                <w:b/>
                <w:iCs/>
                <w:sz w:val="20"/>
                <w:szCs w:val="20"/>
                <w:lang w:eastAsia="tr-TR"/>
              </w:rPr>
              <w:t>12.S</w:t>
            </w:r>
            <w:r w:rsidR="009B698A" w:rsidRPr="009B698A">
              <w:rPr>
                <w:rFonts w:eastAsia="Times New Roman"/>
                <w:b/>
                <w:iCs/>
                <w:sz w:val="20"/>
                <w:szCs w:val="20"/>
                <w:lang w:eastAsia="tr-TR"/>
              </w:rPr>
              <w:t>aat</w:t>
            </w:r>
            <w:r w:rsidRPr="009B698A">
              <w:rPr>
                <w:rFonts w:eastAsia="Times New Roman"/>
                <w:b/>
                <w:iCs/>
                <w:sz w:val="20"/>
                <w:szCs w:val="20"/>
                <w:lang w:eastAsia="tr-TR"/>
              </w:rPr>
              <w:t xml:space="preserve"> </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20"/>
                <w:szCs w:val="20"/>
                <w:lang w:eastAsia="tr-TR"/>
              </w:rPr>
            </w:pPr>
            <w:r w:rsidRPr="009B698A">
              <w:rPr>
                <w:rFonts w:eastAsia="Times New Roman"/>
                <w:b/>
                <w:iCs/>
                <w:sz w:val="20"/>
                <w:szCs w:val="20"/>
                <w:lang w:eastAsia="tr-TR"/>
              </w:rPr>
              <w:t>24.S</w:t>
            </w:r>
            <w:r w:rsidR="009B698A" w:rsidRPr="009B698A">
              <w:rPr>
                <w:rFonts w:eastAsia="Times New Roman"/>
                <w:b/>
                <w:iCs/>
                <w:sz w:val="20"/>
                <w:szCs w:val="20"/>
                <w:lang w:eastAsia="tr-TR"/>
              </w:rPr>
              <w:t>aat</w:t>
            </w:r>
            <w:r w:rsidRPr="009B698A">
              <w:rPr>
                <w:rFonts w:eastAsia="Times New Roman"/>
                <w:b/>
                <w:iCs/>
                <w:sz w:val="20"/>
                <w:szCs w:val="20"/>
                <w:lang w:eastAsia="tr-TR"/>
              </w:rPr>
              <w:t xml:space="preserve"> </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20"/>
                <w:szCs w:val="20"/>
                <w:lang w:eastAsia="tr-TR"/>
              </w:rPr>
            </w:pPr>
            <w:r w:rsidRPr="009B698A">
              <w:rPr>
                <w:rFonts w:eastAsia="Times New Roman"/>
                <w:b/>
                <w:iCs/>
                <w:sz w:val="20"/>
                <w:szCs w:val="20"/>
                <w:lang w:eastAsia="tr-TR"/>
              </w:rPr>
              <w:t>48.S</w:t>
            </w:r>
            <w:r w:rsidR="009B698A" w:rsidRPr="009B698A">
              <w:rPr>
                <w:rFonts w:eastAsia="Times New Roman"/>
                <w:b/>
                <w:iCs/>
                <w:sz w:val="20"/>
                <w:szCs w:val="20"/>
                <w:lang w:eastAsia="tr-TR"/>
              </w:rPr>
              <w:t>aat</w:t>
            </w:r>
            <w:r w:rsidRPr="009B698A">
              <w:rPr>
                <w:rFonts w:eastAsia="Times New Roman"/>
                <w:b/>
                <w:iCs/>
                <w:sz w:val="20"/>
                <w:szCs w:val="20"/>
                <w:lang w:eastAsia="tr-TR"/>
              </w:rPr>
              <w:t xml:space="preserve"> </w:t>
            </w:r>
          </w:p>
        </w:tc>
      </w:tr>
      <w:tr w:rsidR="002827AB" w:rsidRPr="009B698A" w:rsidTr="009B698A">
        <w:trPr>
          <w:trHeight w:val="381"/>
        </w:trPr>
        <w:tc>
          <w:tcPr>
            <w:tcW w:w="1283" w:type="dxa"/>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18"/>
                <w:szCs w:val="20"/>
                <w:lang w:eastAsia="tr-TR"/>
              </w:rPr>
            </w:pPr>
            <w:r w:rsidRPr="009B698A">
              <w:rPr>
                <w:rFonts w:eastAsia="Times New Roman"/>
                <w:b/>
                <w:iCs/>
                <w:sz w:val="18"/>
                <w:szCs w:val="20"/>
                <w:lang w:eastAsia="tr-TR"/>
              </w:rPr>
              <w:t>0mM</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1,74</w:t>
            </w:r>
            <w:r w:rsidRPr="009B698A">
              <w:rPr>
                <w:rFonts w:eastAsia="Times New Roman"/>
                <w:sz w:val="18"/>
                <w:szCs w:val="20"/>
                <w:lang w:eastAsia="tr-TR"/>
              </w:rPr>
              <w:t>±</w:t>
            </w:r>
            <w:r w:rsidRPr="009B698A">
              <w:rPr>
                <w:rFonts w:eastAsia="Times New Roman"/>
                <w:iCs/>
                <w:sz w:val="18"/>
                <w:szCs w:val="20"/>
                <w:lang w:eastAsia="tr-TR"/>
              </w:rPr>
              <w:t>0,01</w:t>
            </w:r>
            <w:r w:rsidRPr="009B698A">
              <w:rPr>
                <w:rFonts w:eastAsia="Times New Roman"/>
                <w:iCs/>
                <w:sz w:val="18"/>
                <w:szCs w:val="20"/>
                <w:vertAlign w:val="superscript"/>
                <w:lang w:eastAsia="tr-TR"/>
              </w:rPr>
              <w:t>aA</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1,35</w:t>
            </w:r>
            <w:r w:rsidRPr="009B698A">
              <w:rPr>
                <w:rFonts w:eastAsia="Times New Roman"/>
                <w:sz w:val="18"/>
                <w:szCs w:val="20"/>
                <w:lang w:eastAsia="tr-TR"/>
              </w:rPr>
              <w:t>±</w:t>
            </w:r>
            <w:r w:rsidRPr="009B698A">
              <w:rPr>
                <w:rFonts w:eastAsia="Times New Roman"/>
                <w:iCs/>
                <w:sz w:val="18"/>
                <w:szCs w:val="20"/>
                <w:lang w:eastAsia="tr-TR"/>
              </w:rPr>
              <w:t>0,01</w:t>
            </w:r>
            <w:r w:rsidRPr="009B698A">
              <w:rPr>
                <w:rFonts w:eastAsia="Times New Roman"/>
                <w:iCs/>
                <w:sz w:val="18"/>
                <w:szCs w:val="20"/>
                <w:vertAlign w:val="superscript"/>
                <w:lang w:eastAsia="tr-TR"/>
              </w:rPr>
              <w:t xml:space="preserve"> aA</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1,85</w:t>
            </w:r>
            <w:r w:rsidRPr="009B698A">
              <w:rPr>
                <w:rFonts w:eastAsia="Times New Roman"/>
                <w:sz w:val="18"/>
                <w:szCs w:val="20"/>
                <w:lang w:eastAsia="tr-TR"/>
              </w:rPr>
              <w:t>±</w:t>
            </w:r>
            <w:r w:rsidRPr="009B698A">
              <w:rPr>
                <w:rFonts w:eastAsia="Times New Roman"/>
                <w:iCs/>
                <w:sz w:val="18"/>
                <w:szCs w:val="20"/>
                <w:lang w:eastAsia="tr-TR"/>
              </w:rPr>
              <w:t>0,01</w:t>
            </w:r>
            <w:r w:rsidRPr="009B698A">
              <w:rPr>
                <w:rFonts w:eastAsia="Times New Roman"/>
                <w:iCs/>
                <w:sz w:val="18"/>
                <w:szCs w:val="20"/>
                <w:vertAlign w:val="superscript"/>
                <w:lang w:eastAsia="tr-TR"/>
              </w:rPr>
              <w:t xml:space="preserve"> aA</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1,55</w:t>
            </w:r>
            <w:r w:rsidRPr="009B698A">
              <w:rPr>
                <w:rFonts w:eastAsia="Times New Roman"/>
                <w:sz w:val="18"/>
                <w:szCs w:val="20"/>
                <w:lang w:eastAsia="tr-TR"/>
              </w:rPr>
              <w:t>±</w:t>
            </w:r>
            <w:r w:rsidRPr="009B698A">
              <w:rPr>
                <w:rFonts w:eastAsia="Times New Roman"/>
                <w:iCs/>
                <w:sz w:val="18"/>
                <w:szCs w:val="20"/>
                <w:lang w:eastAsia="tr-TR"/>
              </w:rPr>
              <w:t>0,01</w:t>
            </w:r>
            <w:r w:rsidRPr="009B698A">
              <w:rPr>
                <w:rFonts w:eastAsia="Times New Roman"/>
                <w:iCs/>
                <w:sz w:val="18"/>
                <w:szCs w:val="20"/>
                <w:vertAlign w:val="superscript"/>
                <w:lang w:eastAsia="tr-TR"/>
              </w:rPr>
              <w:t xml:space="preserve"> aA</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0,27</w:t>
            </w:r>
            <w:r w:rsidRPr="009B698A">
              <w:rPr>
                <w:rFonts w:eastAsia="Times New Roman"/>
                <w:sz w:val="18"/>
                <w:szCs w:val="20"/>
                <w:lang w:eastAsia="tr-TR"/>
              </w:rPr>
              <w:t>±</w:t>
            </w:r>
            <w:r w:rsidRPr="009B698A">
              <w:rPr>
                <w:rFonts w:eastAsia="Times New Roman"/>
                <w:iCs/>
                <w:sz w:val="18"/>
                <w:szCs w:val="20"/>
                <w:lang w:eastAsia="tr-TR"/>
              </w:rPr>
              <w:t>0,016</w:t>
            </w:r>
            <w:r w:rsidRPr="009B698A">
              <w:rPr>
                <w:rFonts w:eastAsia="Times New Roman"/>
                <w:iCs/>
                <w:sz w:val="18"/>
                <w:szCs w:val="20"/>
                <w:vertAlign w:val="superscript"/>
                <w:lang w:eastAsia="tr-TR"/>
              </w:rPr>
              <w:t xml:space="preserve"> aA</w:t>
            </w:r>
          </w:p>
        </w:tc>
      </w:tr>
      <w:tr w:rsidR="002827AB" w:rsidRPr="009B698A" w:rsidTr="009B698A">
        <w:trPr>
          <w:trHeight w:val="381"/>
        </w:trPr>
        <w:tc>
          <w:tcPr>
            <w:tcW w:w="1283" w:type="dxa"/>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18"/>
                <w:szCs w:val="20"/>
                <w:lang w:eastAsia="tr-TR"/>
              </w:rPr>
            </w:pPr>
            <w:r w:rsidRPr="009B698A">
              <w:rPr>
                <w:rFonts w:eastAsia="Times New Roman"/>
                <w:b/>
                <w:iCs/>
                <w:sz w:val="18"/>
                <w:szCs w:val="20"/>
                <w:lang w:eastAsia="tr-TR"/>
              </w:rPr>
              <w:t>5.5mM</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2,02</w:t>
            </w:r>
            <w:r w:rsidRPr="009B698A">
              <w:rPr>
                <w:rFonts w:eastAsia="Times New Roman"/>
                <w:sz w:val="18"/>
                <w:szCs w:val="20"/>
                <w:lang w:eastAsia="tr-TR"/>
              </w:rPr>
              <w:t>±0,01</w:t>
            </w:r>
            <w:r w:rsidRPr="009B698A">
              <w:rPr>
                <w:rFonts w:eastAsia="Times New Roman"/>
                <w:iCs/>
                <w:sz w:val="18"/>
                <w:szCs w:val="20"/>
                <w:vertAlign w:val="superscript"/>
                <w:lang w:eastAsia="tr-TR"/>
              </w:rPr>
              <w:t xml:space="preserve"> aA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2,35±0,01</w:t>
            </w:r>
            <w:r w:rsidRPr="009B698A">
              <w:rPr>
                <w:rFonts w:eastAsia="Times New Roman"/>
                <w:iCs/>
                <w:sz w:val="18"/>
                <w:szCs w:val="20"/>
                <w:vertAlign w:val="superscript"/>
                <w:lang w:eastAsia="tr-TR"/>
              </w:rPr>
              <w:t xml:space="preserve"> abA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4,18±0,01</w:t>
            </w:r>
            <w:r w:rsidRPr="009B698A">
              <w:rPr>
                <w:rFonts w:eastAsia="Times New Roman"/>
                <w:iCs/>
                <w:sz w:val="18"/>
                <w:szCs w:val="20"/>
                <w:vertAlign w:val="superscript"/>
                <w:lang w:eastAsia="tr-TR"/>
              </w:rPr>
              <w:t xml:space="preserve"> abA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8,36±0,005</w:t>
            </w:r>
            <w:r w:rsidRPr="009B698A">
              <w:rPr>
                <w:rFonts w:eastAsia="Times New Roman"/>
                <w:iCs/>
                <w:sz w:val="18"/>
                <w:szCs w:val="20"/>
                <w:vertAlign w:val="superscript"/>
                <w:lang w:eastAsia="tr-TR"/>
              </w:rPr>
              <w:t xml:space="preserve"> cB</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6,35±0,01</w:t>
            </w:r>
            <w:r w:rsidRPr="009B698A">
              <w:rPr>
                <w:rFonts w:eastAsia="Times New Roman"/>
                <w:iCs/>
                <w:sz w:val="18"/>
                <w:szCs w:val="20"/>
                <w:vertAlign w:val="superscript"/>
                <w:lang w:eastAsia="tr-TR"/>
              </w:rPr>
              <w:t xml:space="preserve"> bcB</w:t>
            </w:r>
          </w:p>
        </w:tc>
      </w:tr>
      <w:tr w:rsidR="002827AB" w:rsidRPr="009B698A" w:rsidTr="00054A83">
        <w:trPr>
          <w:trHeight w:val="381"/>
        </w:trPr>
        <w:tc>
          <w:tcPr>
            <w:tcW w:w="1283" w:type="dxa"/>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18"/>
                <w:szCs w:val="20"/>
                <w:lang w:eastAsia="tr-TR"/>
              </w:rPr>
            </w:pPr>
            <w:r w:rsidRPr="009B698A">
              <w:rPr>
                <w:rFonts w:eastAsia="Times New Roman"/>
                <w:b/>
                <w:iCs/>
                <w:sz w:val="18"/>
                <w:szCs w:val="20"/>
                <w:lang w:eastAsia="tr-TR"/>
              </w:rPr>
              <w:t>15mM</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0,88±0,01</w:t>
            </w:r>
            <w:r w:rsidRPr="009B698A">
              <w:rPr>
                <w:rFonts w:eastAsia="Times New Roman"/>
                <w:iCs/>
                <w:sz w:val="18"/>
                <w:szCs w:val="20"/>
                <w:vertAlign w:val="superscript"/>
                <w:lang w:eastAsia="tr-TR"/>
              </w:rPr>
              <w:t xml:space="preserve"> aA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2,48±0,01</w:t>
            </w:r>
            <w:r w:rsidRPr="009B698A">
              <w:rPr>
                <w:rFonts w:eastAsia="Times New Roman"/>
                <w:iCs/>
                <w:sz w:val="18"/>
                <w:szCs w:val="20"/>
                <w:vertAlign w:val="superscript"/>
                <w:lang w:eastAsia="tr-TR"/>
              </w:rPr>
              <w:t xml:space="preserve"> abA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5,27±0,01</w:t>
            </w:r>
            <w:r w:rsidRPr="009B698A">
              <w:rPr>
                <w:rFonts w:eastAsia="Times New Roman"/>
                <w:iCs/>
                <w:sz w:val="18"/>
                <w:szCs w:val="20"/>
                <w:vertAlign w:val="superscript"/>
                <w:lang w:eastAsia="tr-TR"/>
              </w:rPr>
              <w:t xml:space="preserve"> bcA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6,72±0,01</w:t>
            </w:r>
            <w:r w:rsidRPr="009B698A">
              <w:rPr>
                <w:rFonts w:eastAsia="Times New Roman"/>
                <w:iCs/>
                <w:sz w:val="18"/>
                <w:szCs w:val="20"/>
                <w:vertAlign w:val="superscript"/>
                <w:lang w:eastAsia="tr-TR"/>
              </w:rPr>
              <w:t xml:space="preserve"> cB</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6,08±0,005</w:t>
            </w:r>
            <w:r w:rsidRPr="009B698A">
              <w:rPr>
                <w:rFonts w:eastAsia="Times New Roman"/>
                <w:iCs/>
                <w:sz w:val="18"/>
                <w:szCs w:val="20"/>
                <w:vertAlign w:val="superscript"/>
                <w:lang w:eastAsia="tr-TR"/>
              </w:rPr>
              <w:t xml:space="preserve"> bcB</w:t>
            </w:r>
          </w:p>
        </w:tc>
      </w:tr>
      <w:tr w:rsidR="002827AB" w:rsidRPr="009B698A" w:rsidTr="00054A83">
        <w:trPr>
          <w:trHeight w:val="381"/>
        </w:trPr>
        <w:tc>
          <w:tcPr>
            <w:tcW w:w="1283" w:type="dxa"/>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18"/>
                <w:szCs w:val="20"/>
                <w:lang w:eastAsia="tr-TR"/>
              </w:rPr>
            </w:pPr>
            <w:r w:rsidRPr="009B698A">
              <w:rPr>
                <w:rFonts w:eastAsia="Times New Roman"/>
                <w:b/>
                <w:iCs/>
                <w:sz w:val="18"/>
                <w:szCs w:val="20"/>
                <w:lang w:eastAsia="tr-TR"/>
              </w:rPr>
              <w:t>55mM</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1,9±0,005</w:t>
            </w:r>
            <w:r w:rsidRPr="009B698A">
              <w:rPr>
                <w:rFonts w:eastAsia="Times New Roman"/>
                <w:iCs/>
                <w:sz w:val="18"/>
                <w:szCs w:val="20"/>
                <w:vertAlign w:val="superscript"/>
                <w:lang w:eastAsia="tr-TR"/>
              </w:rPr>
              <w:t xml:space="preserve"> aA</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2,5±0,009</w:t>
            </w:r>
            <w:r w:rsidRPr="009B698A">
              <w:rPr>
                <w:rFonts w:eastAsia="Times New Roman"/>
                <w:iCs/>
                <w:sz w:val="18"/>
                <w:szCs w:val="20"/>
                <w:vertAlign w:val="superscript"/>
                <w:lang w:eastAsia="tr-TR"/>
              </w:rPr>
              <w:t xml:space="preserve"> aA</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4,93±0,01</w:t>
            </w:r>
            <w:r w:rsidRPr="009B698A">
              <w:rPr>
                <w:rFonts w:eastAsia="Times New Roman"/>
                <w:iCs/>
                <w:sz w:val="18"/>
                <w:szCs w:val="20"/>
                <w:vertAlign w:val="superscript"/>
                <w:lang w:eastAsia="tr-TR"/>
              </w:rPr>
              <w:t xml:space="preserve"> abA</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8,36±0,01</w:t>
            </w:r>
            <w:r w:rsidRPr="009B698A">
              <w:rPr>
                <w:rFonts w:eastAsia="Times New Roman"/>
                <w:iCs/>
                <w:sz w:val="18"/>
                <w:szCs w:val="20"/>
                <w:vertAlign w:val="superscript"/>
                <w:lang w:eastAsia="tr-TR"/>
              </w:rPr>
              <w:t xml:space="preserve"> bB</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7,25±0,005</w:t>
            </w:r>
            <w:r w:rsidRPr="009B698A">
              <w:rPr>
                <w:rFonts w:eastAsia="Times New Roman"/>
                <w:iCs/>
                <w:sz w:val="18"/>
                <w:szCs w:val="20"/>
                <w:vertAlign w:val="superscript"/>
                <w:lang w:eastAsia="tr-TR"/>
              </w:rPr>
              <w:t xml:space="preserve"> bB</w:t>
            </w:r>
          </w:p>
        </w:tc>
      </w:tr>
      <w:tr w:rsidR="002827AB" w:rsidRPr="009B698A" w:rsidTr="00054A83">
        <w:trPr>
          <w:trHeight w:val="381"/>
        </w:trPr>
        <w:tc>
          <w:tcPr>
            <w:tcW w:w="1283" w:type="dxa"/>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20"/>
                <w:szCs w:val="20"/>
                <w:lang w:eastAsia="tr-TR"/>
              </w:rPr>
            </w:pPr>
            <w:r w:rsidRPr="009B698A">
              <w:rPr>
                <w:rFonts w:eastAsia="Times New Roman"/>
                <w:b/>
                <w:iCs/>
                <w:sz w:val="20"/>
                <w:szCs w:val="20"/>
                <w:lang w:eastAsia="tr-TR"/>
              </w:rPr>
              <w:t>H</w:t>
            </w:r>
            <w:r w:rsidR="009B698A" w:rsidRPr="009B698A">
              <w:rPr>
                <w:rFonts w:eastAsia="Times New Roman"/>
                <w:b/>
                <w:iCs/>
                <w:sz w:val="20"/>
                <w:szCs w:val="20"/>
                <w:lang w:eastAsia="tr-TR"/>
              </w:rPr>
              <w:t>ipoksi</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bCs/>
                <w:iCs/>
                <w:sz w:val="20"/>
                <w:szCs w:val="20"/>
                <w:lang w:eastAsia="tr-TR"/>
              </w:rPr>
            </w:pPr>
            <w:r w:rsidRPr="009B698A">
              <w:rPr>
                <w:rFonts w:eastAsia="Times New Roman"/>
                <w:b/>
                <w:bCs/>
                <w:iCs/>
                <w:sz w:val="20"/>
                <w:szCs w:val="20"/>
                <w:lang w:eastAsia="tr-TR"/>
              </w:rPr>
              <w:t>3.S</w:t>
            </w:r>
            <w:r w:rsidR="009B698A" w:rsidRPr="009B698A">
              <w:rPr>
                <w:rFonts w:eastAsia="Times New Roman"/>
                <w:b/>
                <w:bCs/>
                <w:iCs/>
                <w:sz w:val="20"/>
                <w:szCs w:val="20"/>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bCs/>
                <w:iCs/>
                <w:sz w:val="20"/>
                <w:szCs w:val="20"/>
                <w:lang w:eastAsia="tr-TR"/>
              </w:rPr>
            </w:pPr>
            <w:r w:rsidRPr="009B698A">
              <w:rPr>
                <w:rFonts w:eastAsia="Times New Roman"/>
                <w:b/>
                <w:bCs/>
                <w:iCs/>
                <w:sz w:val="20"/>
                <w:szCs w:val="20"/>
                <w:lang w:eastAsia="tr-TR"/>
              </w:rPr>
              <w:t>6.S</w:t>
            </w:r>
            <w:r w:rsidR="009B698A" w:rsidRPr="009B698A">
              <w:rPr>
                <w:rFonts w:eastAsia="Times New Roman"/>
                <w:b/>
                <w:bCs/>
                <w:iCs/>
                <w:sz w:val="20"/>
                <w:szCs w:val="20"/>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bCs/>
                <w:iCs/>
                <w:sz w:val="20"/>
                <w:szCs w:val="20"/>
                <w:lang w:eastAsia="tr-TR"/>
              </w:rPr>
            </w:pPr>
            <w:r w:rsidRPr="009B698A">
              <w:rPr>
                <w:rFonts w:eastAsia="Times New Roman"/>
                <w:b/>
                <w:bCs/>
                <w:iCs/>
                <w:sz w:val="20"/>
                <w:szCs w:val="20"/>
                <w:lang w:eastAsia="tr-TR"/>
              </w:rPr>
              <w:t>12.S</w:t>
            </w:r>
            <w:r w:rsidR="009B698A" w:rsidRPr="009B698A">
              <w:rPr>
                <w:rFonts w:eastAsia="Times New Roman"/>
                <w:b/>
                <w:bCs/>
                <w:iCs/>
                <w:sz w:val="20"/>
                <w:szCs w:val="20"/>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bCs/>
                <w:iCs/>
                <w:sz w:val="20"/>
                <w:szCs w:val="20"/>
                <w:lang w:eastAsia="tr-TR"/>
              </w:rPr>
            </w:pPr>
            <w:r w:rsidRPr="009B698A">
              <w:rPr>
                <w:rFonts w:eastAsia="Times New Roman"/>
                <w:b/>
                <w:bCs/>
                <w:iCs/>
                <w:sz w:val="20"/>
                <w:szCs w:val="20"/>
                <w:lang w:eastAsia="tr-TR"/>
              </w:rPr>
              <w:t>24.S</w:t>
            </w:r>
            <w:r w:rsidR="009B698A" w:rsidRPr="009B698A">
              <w:rPr>
                <w:rFonts w:eastAsia="Times New Roman"/>
                <w:b/>
                <w:bCs/>
                <w:iCs/>
                <w:sz w:val="20"/>
                <w:szCs w:val="20"/>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bCs/>
                <w:iCs/>
                <w:sz w:val="20"/>
                <w:szCs w:val="20"/>
                <w:lang w:eastAsia="tr-TR"/>
              </w:rPr>
            </w:pPr>
            <w:r w:rsidRPr="009B698A">
              <w:rPr>
                <w:rFonts w:eastAsia="Times New Roman"/>
                <w:b/>
                <w:bCs/>
                <w:iCs/>
                <w:sz w:val="20"/>
                <w:szCs w:val="20"/>
                <w:lang w:eastAsia="tr-TR"/>
              </w:rPr>
              <w:t>48.S</w:t>
            </w:r>
            <w:r w:rsidR="009B698A" w:rsidRPr="009B698A">
              <w:rPr>
                <w:rFonts w:eastAsia="Times New Roman"/>
                <w:b/>
                <w:bCs/>
                <w:iCs/>
                <w:sz w:val="20"/>
                <w:szCs w:val="20"/>
                <w:lang w:eastAsia="tr-TR"/>
              </w:rPr>
              <w:t>aat</w:t>
            </w:r>
          </w:p>
        </w:tc>
      </w:tr>
      <w:tr w:rsidR="002827AB" w:rsidRPr="009B698A" w:rsidTr="009B698A">
        <w:trPr>
          <w:trHeight w:val="381"/>
        </w:trPr>
        <w:tc>
          <w:tcPr>
            <w:tcW w:w="1283" w:type="dxa"/>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18"/>
                <w:szCs w:val="20"/>
                <w:lang w:eastAsia="tr-TR"/>
              </w:rPr>
            </w:pPr>
            <w:r w:rsidRPr="009B698A">
              <w:rPr>
                <w:rFonts w:eastAsia="Times New Roman"/>
                <w:b/>
                <w:iCs/>
                <w:sz w:val="18"/>
                <w:szCs w:val="20"/>
                <w:lang w:eastAsia="tr-TR"/>
              </w:rPr>
              <w:t>0mM</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1,32</w:t>
            </w:r>
            <w:r w:rsidRPr="009B698A">
              <w:rPr>
                <w:rFonts w:eastAsia="Times New Roman"/>
                <w:sz w:val="18"/>
                <w:szCs w:val="20"/>
                <w:lang w:eastAsia="tr-TR"/>
              </w:rPr>
              <w:t>±0,007</w:t>
            </w:r>
            <w:r w:rsidRPr="009B698A">
              <w:rPr>
                <w:rFonts w:eastAsia="Times New Roman"/>
                <w:iCs/>
                <w:sz w:val="18"/>
                <w:szCs w:val="20"/>
                <w:vertAlign w:val="superscript"/>
                <w:lang w:eastAsia="tr-TR"/>
              </w:rPr>
              <w:t xml:space="preserve"> aA</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2±0,204</w:t>
            </w:r>
            <w:r w:rsidRPr="009B698A">
              <w:rPr>
                <w:rFonts w:eastAsia="Times New Roman"/>
                <w:iCs/>
                <w:sz w:val="18"/>
                <w:szCs w:val="20"/>
                <w:vertAlign w:val="superscript"/>
                <w:lang w:eastAsia="tr-TR"/>
              </w:rPr>
              <w:t xml:space="preserve"> aA</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1,59±0,005</w:t>
            </w:r>
            <w:r w:rsidRPr="009B698A">
              <w:rPr>
                <w:rFonts w:eastAsia="Times New Roman"/>
                <w:iCs/>
                <w:sz w:val="18"/>
                <w:szCs w:val="20"/>
                <w:vertAlign w:val="superscript"/>
                <w:lang w:eastAsia="tr-TR"/>
              </w:rPr>
              <w:t xml:space="preserve"> aA</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1,96±0,006</w:t>
            </w:r>
            <w:r w:rsidRPr="009B698A">
              <w:rPr>
                <w:rFonts w:eastAsia="Times New Roman"/>
                <w:iCs/>
                <w:sz w:val="18"/>
                <w:szCs w:val="20"/>
                <w:vertAlign w:val="superscript"/>
                <w:lang w:eastAsia="tr-TR"/>
              </w:rPr>
              <w:t xml:space="preserve"> aA</w:t>
            </w:r>
          </w:p>
        </w:tc>
        <w:tc>
          <w:tcPr>
            <w:tcW w:w="0" w:type="auto"/>
            <w:tcBorders>
              <w:top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1,08±0,214</w:t>
            </w:r>
            <w:r w:rsidRPr="009B698A">
              <w:rPr>
                <w:rFonts w:eastAsia="Times New Roman"/>
                <w:iCs/>
                <w:sz w:val="18"/>
                <w:szCs w:val="20"/>
                <w:vertAlign w:val="superscript"/>
                <w:lang w:eastAsia="tr-TR"/>
              </w:rPr>
              <w:t xml:space="preserve"> aA</w:t>
            </w:r>
          </w:p>
        </w:tc>
      </w:tr>
      <w:tr w:rsidR="002827AB" w:rsidRPr="009B698A" w:rsidTr="009B698A">
        <w:trPr>
          <w:trHeight w:val="381"/>
        </w:trPr>
        <w:tc>
          <w:tcPr>
            <w:tcW w:w="1283" w:type="dxa"/>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18"/>
                <w:szCs w:val="20"/>
                <w:lang w:eastAsia="tr-TR"/>
              </w:rPr>
            </w:pPr>
            <w:r w:rsidRPr="009B698A">
              <w:rPr>
                <w:rFonts w:eastAsia="Times New Roman"/>
                <w:b/>
                <w:iCs/>
                <w:sz w:val="18"/>
                <w:szCs w:val="20"/>
                <w:lang w:eastAsia="tr-TR"/>
              </w:rPr>
              <w:t>5.5mM</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1,92±0,013</w:t>
            </w:r>
            <w:r w:rsidRPr="009B698A">
              <w:rPr>
                <w:rFonts w:eastAsia="Times New Roman"/>
                <w:iCs/>
                <w:sz w:val="18"/>
                <w:szCs w:val="20"/>
                <w:vertAlign w:val="superscript"/>
                <w:lang w:eastAsia="tr-TR"/>
              </w:rPr>
              <w:t xml:space="preserve"> aA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2,17±0,144</w:t>
            </w:r>
            <w:r w:rsidRPr="009B698A">
              <w:rPr>
                <w:rFonts w:eastAsia="Times New Roman"/>
                <w:iCs/>
                <w:sz w:val="18"/>
                <w:szCs w:val="20"/>
                <w:vertAlign w:val="superscript"/>
                <w:lang w:eastAsia="tr-TR"/>
              </w:rPr>
              <w:t xml:space="preserve"> aA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4,15±0,03</w:t>
            </w:r>
            <w:r w:rsidRPr="009B698A">
              <w:rPr>
                <w:rFonts w:eastAsia="Times New Roman"/>
                <w:iCs/>
                <w:sz w:val="18"/>
                <w:szCs w:val="20"/>
                <w:vertAlign w:val="superscript"/>
                <w:lang w:eastAsia="tr-TR"/>
              </w:rPr>
              <w:t xml:space="preserve"> aAB</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10,04±1,534</w:t>
            </w:r>
            <w:r w:rsidRPr="009B698A">
              <w:rPr>
                <w:rFonts w:eastAsia="Times New Roman"/>
                <w:iCs/>
                <w:sz w:val="18"/>
                <w:szCs w:val="20"/>
                <w:vertAlign w:val="superscript"/>
                <w:lang w:eastAsia="tr-TR"/>
              </w:rPr>
              <w:t xml:space="preserve"> bB</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9,48±2,083</w:t>
            </w:r>
            <w:r w:rsidRPr="009B698A">
              <w:rPr>
                <w:rFonts w:eastAsia="Times New Roman"/>
                <w:iCs/>
                <w:sz w:val="18"/>
                <w:szCs w:val="20"/>
                <w:vertAlign w:val="superscript"/>
                <w:lang w:eastAsia="tr-TR"/>
              </w:rPr>
              <w:t xml:space="preserve"> bB</w:t>
            </w:r>
          </w:p>
        </w:tc>
      </w:tr>
      <w:tr w:rsidR="002827AB" w:rsidRPr="009B698A" w:rsidTr="009B055A">
        <w:trPr>
          <w:trHeight w:val="381"/>
        </w:trPr>
        <w:tc>
          <w:tcPr>
            <w:tcW w:w="1283" w:type="dxa"/>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18"/>
                <w:szCs w:val="20"/>
                <w:lang w:eastAsia="tr-TR"/>
              </w:rPr>
            </w:pPr>
            <w:r w:rsidRPr="009B698A">
              <w:rPr>
                <w:rFonts w:eastAsia="Times New Roman"/>
                <w:b/>
                <w:iCs/>
                <w:sz w:val="18"/>
                <w:szCs w:val="20"/>
                <w:lang w:eastAsia="tr-TR"/>
              </w:rPr>
              <w:t>15mM</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0,68</w:t>
            </w:r>
            <w:r w:rsidRPr="009B698A">
              <w:rPr>
                <w:rFonts w:eastAsia="Times New Roman"/>
                <w:sz w:val="18"/>
                <w:szCs w:val="20"/>
                <w:lang w:eastAsia="tr-TR"/>
              </w:rPr>
              <w:t>±0,001</w:t>
            </w:r>
            <w:r w:rsidRPr="009B698A">
              <w:rPr>
                <w:rFonts w:eastAsia="Times New Roman"/>
                <w:iCs/>
                <w:sz w:val="18"/>
                <w:szCs w:val="20"/>
                <w:vertAlign w:val="superscript"/>
                <w:lang w:eastAsia="tr-TR"/>
              </w:rPr>
              <w:t xml:space="preserve"> aA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2,69±0,01</w:t>
            </w:r>
            <w:r w:rsidRPr="009B698A">
              <w:rPr>
                <w:rFonts w:eastAsia="Times New Roman"/>
                <w:iCs/>
                <w:sz w:val="18"/>
                <w:szCs w:val="20"/>
                <w:vertAlign w:val="superscript"/>
                <w:lang w:eastAsia="tr-TR"/>
              </w:rPr>
              <w:t xml:space="preserve"> abA</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5,85±0,01</w:t>
            </w:r>
            <w:r w:rsidRPr="009B698A">
              <w:rPr>
                <w:rFonts w:eastAsia="Times New Roman"/>
                <w:iCs/>
                <w:sz w:val="18"/>
                <w:szCs w:val="20"/>
                <w:vertAlign w:val="superscript"/>
                <w:lang w:eastAsia="tr-TR"/>
              </w:rPr>
              <w:t xml:space="preserve"> bB</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6,26±0,01</w:t>
            </w:r>
            <w:r w:rsidRPr="009B698A">
              <w:rPr>
                <w:rFonts w:eastAsia="Times New Roman"/>
                <w:iCs/>
                <w:sz w:val="18"/>
                <w:szCs w:val="20"/>
                <w:vertAlign w:val="superscript"/>
                <w:lang w:eastAsia="tr-TR"/>
              </w:rPr>
              <w:t xml:space="preserve"> bB</w:t>
            </w:r>
          </w:p>
        </w:tc>
        <w:tc>
          <w:tcPr>
            <w:tcW w:w="0" w:type="auto"/>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13,01±4,124</w:t>
            </w:r>
            <w:r w:rsidRPr="009B698A">
              <w:rPr>
                <w:rFonts w:eastAsia="Times New Roman"/>
                <w:iCs/>
                <w:sz w:val="18"/>
                <w:szCs w:val="20"/>
                <w:vertAlign w:val="superscript"/>
                <w:lang w:eastAsia="tr-TR"/>
              </w:rPr>
              <w:t xml:space="preserve"> cBC</w:t>
            </w:r>
          </w:p>
        </w:tc>
      </w:tr>
      <w:tr w:rsidR="002827AB" w:rsidRPr="009B698A" w:rsidTr="009B055A">
        <w:trPr>
          <w:trHeight w:val="381"/>
        </w:trPr>
        <w:tc>
          <w:tcPr>
            <w:tcW w:w="1283" w:type="dxa"/>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b/>
                <w:iCs/>
                <w:sz w:val="18"/>
                <w:szCs w:val="20"/>
                <w:lang w:eastAsia="tr-TR"/>
              </w:rPr>
            </w:pPr>
            <w:r w:rsidRPr="009B698A">
              <w:rPr>
                <w:rFonts w:eastAsia="Times New Roman"/>
                <w:b/>
                <w:iCs/>
                <w:sz w:val="18"/>
                <w:szCs w:val="20"/>
                <w:lang w:eastAsia="tr-TR"/>
              </w:rPr>
              <w:t>55mM</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1,97±0,005</w:t>
            </w:r>
            <w:r w:rsidRPr="009B698A">
              <w:rPr>
                <w:rFonts w:eastAsia="Times New Roman"/>
                <w:iCs/>
                <w:sz w:val="18"/>
                <w:szCs w:val="20"/>
                <w:vertAlign w:val="superscript"/>
                <w:lang w:eastAsia="tr-TR"/>
              </w:rPr>
              <w:t xml:space="preserve"> aA</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2,72±0,008</w:t>
            </w:r>
            <w:r w:rsidRPr="009B698A">
              <w:rPr>
                <w:rFonts w:eastAsia="Times New Roman"/>
                <w:iCs/>
                <w:sz w:val="18"/>
                <w:szCs w:val="20"/>
                <w:vertAlign w:val="superscript"/>
                <w:lang w:eastAsia="tr-TR"/>
              </w:rPr>
              <w:t xml:space="preserve"> aA</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4,84±0,106</w:t>
            </w:r>
            <w:r w:rsidRPr="009B698A">
              <w:rPr>
                <w:rFonts w:eastAsia="Times New Roman"/>
                <w:iCs/>
                <w:sz w:val="18"/>
                <w:szCs w:val="20"/>
                <w:vertAlign w:val="superscript"/>
                <w:lang w:eastAsia="tr-TR"/>
              </w:rPr>
              <w:t xml:space="preserve"> aB</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9,78±0,849</w:t>
            </w:r>
            <w:r w:rsidRPr="009B698A">
              <w:rPr>
                <w:rFonts w:eastAsia="Times New Roman"/>
                <w:iCs/>
                <w:sz w:val="18"/>
                <w:szCs w:val="20"/>
                <w:vertAlign w:val="superscript"/>
                <w:lang w:eastAsia="tr-TR"/>
              </w:rPr>
              <w:t xml:space="preserve"> bB</w:t>
            </w:r>
          </w:p>
        </w:tc>
        <w:tc>
          <w:tcPr>
            <w:tcW w:w="0" w:type="auto"/>
            <w:tcBorders>
              <w:bottom w:val="single" w:sz="4" w:space="0" w:color="auto"/>
            </w:tcBorders>
            <w:shd w:val="clear" w:color="auto" w:fill="FFFFFF" w:themeFill="background1"/>
            <w:noWrap/>
            <w:hideMark/>
          </w:tcPr>
          <w:p w:rsidR="002827AB" w:rsidRPr="009B698A" w:rsidRDefault="002827AB" w:rsidP="002827AB">
            <w:pPr>
              <w:spacing w:line="240" w:lineRule="auto"/>
              <w:ind w:firstLine="0"/>
              <w:jc w:val="center"/>
              <w:rPr>
                <w:rFonts w:eastAsia="Times New Roman"/>
                <w:iCs/>
                <w:sz w:val="18"/>
                <w:szCs w:val="20"/>
                <w:lang w:eastAsia="tr-TR"/>
              </w:rPr>
            </w:pPr>
            <w:r w:rsidRPr="009B698A">
              <w:rPr>
                <w:rFonts w:eastAsia="Times New Roman"/>
                <w:iCs/>
                <w:sz w:val="18"/>
                <w:szCs w:val="20"/>
                <w:lang w:eastAsia="tr-TR"/>
              </w:rPr>
              <w:t>15,04±6,146</w:t>
            </w:r>
            <w:r w:rsidRPr="009B698A">
              <w:rPr>
                <w:rFonts w:eastAsia="Times New Roman"/>
                <w:iCs/>
                <w:sz w:val="18"/>
                <w:szCs w:val="20"/>
                <w:vertAlign w:val="superscript"/>
                <w:lang w:eastAsia="tr-TR"/>
              </w:rPr>
              <w:t xml:space="preserve"> cC</w:t>
            </w:r>
          </w:p>
        </w:tc>
      </w:tr>
    </w:tbl>
    <w:p w:rsidR="004657C4" w:rsidRPr="001B5AA1" w:rsidRDefault="004657C4" w:rsidP="004657C4">
      <w:pPr>
        <w:ind w:firstLine="0"/>
        <w:rPr>
          <w:rFonts w:cs="Times New Roman"/>
          <w:color w:val="000000"/>
          <w:sz w:val="18"/>
          <w:szCs w:val="24"/>
        </w:rPr>
      </w:pPr>
      <w:r w:rsidRPr="001B5AA1">
        <w:rPr>
          <w:rFonts w:cs="Times New Roman"/>
          <w:color w:val="000000"/>
          <w:sz w:val="18"/>
          <w:szCs w:val="24"/>
        </w:rPr>
        <w:t>abcd ayn</w:t>
      </w:r>
      <w:r w:rsidR="00FB7DEA">
        <w:rPr>
          <w:rFonts w:cs="Times New Roman"/>
          <w:color w:val="000000"/>
          <w:sz w:val="18"/>
          <w:szCs w:val="24"/>
        </w:rPr>
        <w:t>ı satırda farklı harfler p&lt;0,0</w:t>
      </w:r>
      <w:r w:rsidR="00640C6D">
        <w:rPr>
          <w:rFonts w:cs="Times New Roman"/>
          <w:color w:val="000000"/>
          <w:sz w:val="18"/>
          <w:szCs w:val="24"/>
        </w:rPr>
        <w:t>01</w:t>
      </w:r>
      <w:r w:rsidRPr="001B5AA1">
        <w:rPr>
          <w:rFonts w:cs="Times New Roman"/>
          <w:color w:val="000000"/>
          <w:sz w:val="18"/>
          <w:szCs w:val="24"/>
        </w:rPr>
        <w:t xml:space="preserve"> düzeyinde önemi ifade etmektedir.</w:t>
      </w:r>
    </w:p>
    <w:p w:rsidR="004657C4" w:rsidRPr="001B5AA1" w:rsidRDefault="004657C4" w:rsidP="004657C4">
      <w:pPr>
        <w:ind w:firstLine="0"/>
        <w:rPr>
          <w:rFonts w:cs="Times New Roman"/>
          <w:color w:val="000000"/>
          <w:sz w:val="18"/>
          <w:szCs w:val="24"/>
        </w:rPr>
      </w:pPr>
      <w:r w:rsidRPr="001B5AA1">
        <w:rPr>
          <w:rFonts w:cs="Times New Roman"/>
          <w:color w:val="000000"/>
          <w:sz w:val="18"/>
          <w:szCs w:val="24"/>
        </w:rPr>
        <w:t>ABCD ayn</w:t>
      </w:r>
      <w:r w:rsidR="00FB7DEA">
        <w:rPr>
          <w:rFonts w:cs="Times New Roman"/>
          <w:color w:val="000000"/>
          <w:sz w:val="18"/>
          <w:szCs w:val="24"/>
        </w:rPr>
        <w:t>ı sütunda farklı harfler p&lt;0,0</w:t>
      </w:r>
      <w:r w:rsidR="00640C6D">
        <w:rPr>
          <w:rFonts w:cs="Times New Roman"/>
          <w:color w:val="000000"/>
          <w:sz w:val="18"/>
          <w:szCs w:val="24"/>
        </w:rPr>
        <w:t>01</w:t>
      </w:r>
      <w:r w:rsidRPr="001B5AA1">
        <w:rPr>
          <w:rFonts w:cs="Times New Roman"/>
          <w:color w:val="000000"/>
          <w:sz w:val="18"/>
          <w:szCs w:val="24"/>
        </w:rPr>
        <w:t xml:space="preserve"> düzeyinde önemi ifade etmektedir.</w:t>
      </w:r>
    </w:p>
    <w:p w:rsidR="002B3673" w:rsidRDefault="002B3673" w:rsidP="002B3673">
      <w:pPr>
        <w:pStyle w:val="NormalWeb"/>
        <w:spacing w:line="360" w:lineRule="auto"/>
        <w:ind w:firstLine="567"/>
        <w:jc w:val="both"/>
        <w:rPr>
          <w:rFonts w:eastAsiaTheme="minorHAnsi"/>
          <w:color w:val="000000"/>
          <w:lang w:eastAsia="en-US"/>
        </w:rPr>
      </w:pPr>
    </w:p>
    <w:p w:rsidR="002B3673" w:rsidRPr="003D2CFB" w:rsidRDefault="002B3673" w:rsidP="002B3673">
      <w:pPr>
        <w:pStyle w:val="NormalWeb"/>
        <w:spacing w:line="360" w:lineRule="auto"/>
        <w:ind w:firstLine="567"/>
        <w:jc w:val="both"/>
        <w:rPr>
          <w:rFonts w:eastAsiaTheme="minorHAnsi"/>
          <w:color w:val="000000"/>
          <w:sz w:val="24"/>
          <w:szCs w:val="24"/>
          <w:lang w:eastAsia="en-US"/>
        </w:rPr>
      </w:pPr>
      <w:r w:rsidRPr="003D2CFB">
        <w:rPr>
          <w:rFonts w:eastAsiaTheme="minorHAnsi"/>
          <w:color w:val="000000"/>
          <w:sz w:val="24"/>
          <w:szCs w:val="24"/>
          <w:lang w:eastAsia="en-US"/>
        </w:rPr>
        <w:t>Hem normoksik hem de hipoksik koşullarda glukoz bulunmayan ortamda inkübe edilen meme kanser hücreleri dışında diğer uygulama gruplarında genel olarak hücre dışına laktat salınımı zamana bağlı olarak artış gösterdi. Her iki ortamda da 15 mM glukoz uygulama grubu için 12</w:t>
      </w:r>
      <w:proofErr w:type="gramStart"/>
      <w:r w:rsidRPr="003D2CFB">
        <w:rPr>
          <w:rFonts w:eastAsiaTheme="minorHAnsi"/>
          <w:color w:val="000000"/>
          <w:sz w:val="24"/>
          <w:szCs w:val="24"/>
          <w:lang w:eastAsia="en-US"/>
        </w:rPr>
        <w:t>.,</w:t>
      </w:r>
      <w:proofErr w:type="gramEnd"/>
      <w:r w:rsidRPr="003D2CFB">
        <w:rPr>
          <w:rFonts w:eastAsiaTheme="minorHAnsi"/>
          <w:color w:val="000000"/>
          <w:sz w:val="24"/>
          <w:szCs w:val="24"/>
          <w:lang w:eastAsia="en-US"/>
        </w:rPr>
        <w:t xml:space="preserve"> 24. ve 48.  saatlerde, 5.5 ve 55 mM glukoz grupları için ise  24. ve 48. saatlerde görülen laktat artışı ve azalışlarının 3.saate göre istatiksel olarak anlamlı olduğu ka</w:t>
      </w:r>
      <w:r w:rsidR="004A5FAC">
        <w:rPr>
          <w:rFonts w:eastAsiaTheme="minorHAnsi"/>
          <w:color w:val="000000"/>
          <w:sz w:val="24"/>
          <w:szCs w:val="24"/>
          <w:lang w:eastAsia="en-US"/>
        </w:rPr>
        <w:t>ydedildi (</w:t>
      </w:r>
      <w:r w:rsidR="0075651D">
        <w:rPr>
          <w:rFonts w:eastAsiaTheme="minorHAnsi"/>
          <w:color w:val="000000"/>
          <w:sz w:val="24"/>
          <w:szCs w:val="24"/>
          <w:lang w:eastAsia="en-US"/>
        </w:rPr>
        <w:t>p&lt;</w:t>
      </w:r>
      <w:r w:rsidR="004A5FAC">
        <w:rPr>
          <w:rFonts w:eastAsiaTheme="minorHAnsi"/>
          <w:color w:val="000000"/>
          <w:sz w:val="24"/>
          <w:szCs w:val="24"/>
          <w:lang w:eastAsia="en-US"/>
        </w:rPr>
        <w:t>0,001) (Tablo 13</w:t>
      </w:r>
      <w:r w:rsidR="0030279F">
        <w:rPr>
          <w:rFonts w:eastAsiaTheme="minorHAnsi"/>
          <w:color w:val="000000"/>
          <w:sz w:val="24"/>
          <w:szCs w:val="24"/>
          <w:lang w:eastAsia="en-US"/>
        </w:rPr>
        <w:t>) (Şekil 66 ve 67).</w:t>
      </w:r>
    </w:p>
    <w:p w:rsidR="002B3673" w:rsidRDefault="002B3673" w:rsidP="002B3673">
      <w:pPr>
        <w:pStyle w:val="NormalWeb"/>
        <w:spacing w:line="360" w:lineRule="auto"/>
        <w:jc w:val="both"/>
        <w:rPr>
          <w:rFonts w:eastAsiaTheme="minorHAnsi"/>
          <w:color w:val="000000"/>
          <w:lang w:eastAsia="en-US"/>
        </w:rPr>
      </w:pPr>
    </w:p>
    <w:p w:rsidR="00972ABE" w:rsidRDefault="00972ABE" w:rsidP="002B3673">
      <w:pPr>
        <w:pStyle w:val="NormalWeb"/>
        <w:spacing w:line="360" w:lineRule="auto"/>
        <w:jc w:val="both"/>
        <w:rPr>
          <w:rFonts w:eastAsiaTheme="minorHAnsi"/>
          <w:color w:val="000000"/>
          <w:lang w:eastAsia="en-US"/>
        </w:rPr>
      </w:pPr>
    </w:p>
    <w:p w:rsidR="00972ABE" w:rsidRDefault="00972ABE" w:rsidP="002B3673">
      <w:pPr>
        <w:pStyle w:val="NormalWeb"/>
        <w:spacing w:line="360" w:lineRule="auto"/>
        <w:jc w:val="both"/>
        <w:rPr>
          <w:rFonts w:eastAsiaTheme="minorHAnsi"/>
          <w:color w:val="000000"/>
          <w:lang w:eastAsia="en-US"/>
        </w:rPr>
      </w:pPr>
    </w:p>
    <w:p w:rsidR="00972ABE" w:rsidRDefault="00972ABE" w:rsidP="002B3673">
      <w:pPr>
        <w:pStyle w:val="NormalWeb"/>
        <w:spacing w:line="360" w:lineRule="auto"/>
        <w:jc w:val="both"/>
        <w:rPr>
          <w:rFonts w:eastAsiaTheme="minorHAnsi"/>
          <w:color w:val="000000"/>
          <w:lang w:eastAsia="en-US"/>
        </w:rPr>
      </w:pPr>
    </w:p>
    <w:p w:rsidR="002B3673" w:rsidRDefault="002B3673" w:rsidP="002B3673">
      <w:pPr>
        <w:pStyle w:val="NormalWeb"/>
        <w:spacing w:line="360" w:lineRule="auto"/>
        <w:jc w:val="center"/>
        <w:rPr>
          <w:rFonts w:eastAsiaTheme="minorHAnsi"/>
          <w:color w:val="000000"/>
          <w:lang w:eastAsia="en-US"/>
        </w:rPr>
      </w:pPr>
      <w:r>
        <w:rPr>
          <w:noProof/>
        </w:rPr>
        <w:lastRenderedPageBreak/>
        <w:drawing>
          <wp:inline distT="0" distB="0" distL="0" distR="0">
            <wp:extent cx="4572000" cy="2743200"/>
            <wp:effectExtent l="0" t="0" r="0" b="0"/>
            <wp:docPr id="93"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B3673" w:rsidRDefault="002B3673" w:rsidP="002B3673">
      <w:pPr>
        <w:pStyle w:val="NormalWeb"/>
        <w:spacing w:line="360" w:lineRule="auto"/>
        <w:jc w:val="center"/>
        <w:rPr>
          <w:rFonts w:eastAsiaTheme="minorHAnsi"/>
          <w:color w:val="000000"/>
          <w:lang w:eastAsia="en-US"/>
        </w:rPr>
      </w:pPr>
    </w:p>
    <w:p w:rsidR="002B3673" w:rsidRPr="003D2CFB" w:rsidRDefault="004A5FAC" w:rsidP="002B3673">
      <w:pPr>
        <w:pStyle w:val="NormalWeb"/>
        <w:spacing w:line="360" w:lineRule="auto"/>
        <w:jc w:val="both"/>
        <w:rPr>
          <w:rFonts w:eastAsiaTheme="minorHAnsi"/>
          <w:color w:val="000000"/>
          <w:sz w:val="24"/>
          <w:szCs w:val="24"/>
          <w:lang w:eastAsia="en-US"/>
        </w:rPr>
      </w:pPr>
      <w:r>
        <w:rPr>
          <w:rFonts w:eastAsiaTheme="minorHAnsi"/>
          <w:b/>
          <w:color w:val="000000"/>
          <w:sz w:val="24"/>
          <w:szCs w:val="24"/>
          <w:lang w:eastAsia="en-US"/>
        </w:rPr>
        <w:t>Şekil 66</w:t>
      </w:r>
      <w:r w:rsidR="002B3673" w:rsidRPr="003D2CFB">
        <w:rPr>
          <w:rFonts w:eastAsiaTheme="minorHAnsi"/>
          <w:b/>
          <w:color w:val="000000"/>
          <w:sz w:val="24"/>
          <w:szCs w:val="24"/>
          <w:lang w:eastAsia="en-US"/>
        </w:rPr>
        <w:t>.</w:t>
      </w:r>
      <w:r w:rsidR="002B3673" w:rsidRPr="003D2CFB">
        <w:rPr>
          <w:rFonts w:eastAsiaTheme="minorHAnsi"/>
          <w:color w:val="000000"/>
          <w:sz w:val="24"/>
          <w:szCs w:val="24"/>
          <w:lang w:eastAsia="en-US"/>
        </w:rPr>
        <w:t xml:space="preserve"> MCF-7 kanser hücrelerinin normoksi altında glukozun farklı </w:t>
      </w:r>
      <w:proofErr w:type="gramStart"/>
      <w:r w:rsidR="002B3673" w:rsidRPr="003D2CFB">
        <w:rPr>
          <w:rFonts w:eastAsiaTheme="minorHAnsi"/>
          <w:color w:val="000000"/>
          <w:sz w:val="24"/>
          <w:szCs w:val="24"/>
          <w:lang w:eastAsia="en-US"/>
        </w:rPr>
        <w:t>konsantrasyonlu</w:t>
      </w:r>
      <w:proofErr w:type="gramEnd"/>
      <w:r w:rsidR="002B3673" w:rsidRPr="003D2CFB">
        <w:rPr>
          <w:rFonts w:eastAsiaTheme="minorHAnsi"/>
          <w:color w:val="000000"/>
          <w:sz w:val="24"/>
          <w:szCs w:val="24"/>
          <w:lang w:eastAsia="en-US"/>
        </w:rPr>
        <w:t xml:space="preserve"> uygulama gruplarında 3,</w:t>
      </w:r>
      <w:r w:rsidR="009B698A">
        <w:rPr>
          <w:rFonts w:eastAsiaTheme="minorHAnsi"/>
          <w:color w:val="000000"/>
          <w:sz w:val="24"/>
          <w:szCs w:val="24"/>
          <w:lang w:eastAsia="en-US"/>
        </w:rPr>
        <w:t xml:space="preserve"> </w:t>
      </w:r>
      <w:r w:rsidR="002B3673" w:rsidRPr="003D2CFB">
        <w:rPr>
          <w:rFonts w:eastAsiaTheme="minorHAnsi"/>
          <w:color w:val="000000"/>
          <w:sz w:val="24"/>
          <w:szCs w:val="24"/>
          <w:lang w:eastAsia="en-US"/>
        </w:rPr>
        <w:t>6,</w:t>
      </w:r>
      <w:r w:rsidR="009B698A">
        <w:rPr>
          <w:rFonts w:eastAsiaTheme="minorHAnsi"/>
          <w:color w:val="000000"/>
          <w:sz w:val="24"/>
          <w:szCs w:val="24"/>
          <w:lang w:eastAsia="en-US"/>
        </w:rPr>
        <w:t xml:space="preserve"> </w:t>
      </w:r>
      <w:r w:rsidR="002B3673" w:rsidRPr="003D2CFB">
        <w:rPr>
          <w:rFonts w:eastAsiaTheme="minorHAnsi"/>
          <w:color w:val="000000"/>
          <w:sz w:val="24"/>
          <w:szCs w:val="24"/>
          <w:lang w:eastAsia="en-US"/>
        </w:rPr>
        <w:t>12,</w:t>
      </w:r>
      <w:r w:rsidR="009B698A">
        <w:rPr>
          <w:rFonts w:eastAsiaTheme="minorHAnsi"/>
          <w:color w:val="000000"/>
          <w:sz w:val="24"/>
          <w:szCs w:val="24"/>
          <w:lang w:eastAsia="en-US"/>
        </w:rPr>
        <w:t xml:space="preserve"> </w:t>
      </w:r>
      <w:r w:rsidR="002B3673" w:rsidRPr="003D2CFB">
        <w:rPr>
          <w:rFonts w:eastAsiaTheme="minorHAnsi"/>
          <w:color w:val="000000"/>
          <w:sz w:val="24"/>
          <w:szCs w:val="24"/>
          <w:lang w:eastAsia="en-US"/>
        </w:rPr>
        <w:t>24 ve 48 saat inkübasyonu sonucu elde edilen laktat üretim miktarları.</w:t>
      </w:r>
    </w:p>
    <w:p w:rsidR="002B3673" w:rsidRDefault="002B3673" w:rsidP="002B3673">
      <w:pPr>
        <w:pStyle w:val="NormalWeb"/>
        <w:spacing w:line="360" w:lineRule="auto"/>
        <w:jc w:val="both"/>
        <w:rPr>
          <w:rFonts w:eastAsiaTheme="minorHAnsi"/>
          <w:color w:val="000000"/>
          <w:lang w:eastAsia="en-US"/>
        </w:rPr>
      </w:pPr>
    </w:p>
    <w:p w:rsidR="002B3673" w:rsidRDefault="002B3673" w:rsidP="002B3673">
      <w:pPr>
        <w:pStyle w:val="NormalWeb"/>
        <w:spacing w:line="360" w:lineRule="auto"/>
        <w:jc w:val="center"/>
        <w:rPr>
          <w:rFonts w:eastAsiaTheme="minorHAnsi"/>
          <w:color w:val="000000"/>
          <w:lang w:eastAsia="en-US"/>
        </w:rPr>
      </w:pPr>
      <w:r>
        <w:rPr>
          <w:noProof/>
        </w:rPr>
        <w:drawing>
          <wp:inline distT="0" distB="0" distL="0" distR="0">
            <wp:extent cx="4572000" cy="2743200"/>
            <wp:effectExtent l="0" t="0" r="0" b="0"/>
            <wp:docPr id="94"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B3673" w:rsidRDefault="002B3673" w:rsidP="002B3673">
      <w:pPr>
        <w:pStyle w:val="NormalWeb"/>
        <w:spacing w:line="360" w:lineRule="auto"/>
        <w:jc w:val="both"/>
        <w:rPr>
          <w:rFonts w:eastAsiaTheme="minorHAnsi"/>
          <w:color w:val="000000"/>
          <w:lang w:eastAsia="en-US"/>
        </w:rPr>
      </w:pPr>
    </w:p>
    <w:p w:rsidR="002B3673" w:rsidRPr="003D2CFB" w:rsidRDefault="004A5FAC" w:rsidP="002B3673">
      <w:pPr>
        <w:pStyle w:val="NormalWeb"/>
        <w:spacing w:line="360" w:lineRule="auto"/>
        <w:jc w:val="both"/>
        <w:rPr>
          <w:rFonts w:eastAsiaTheme="minorHAnsi"/>
          <w:color w:val="000000"/>
          <w:sz w:val="24"/>
          <w:szCs w:val="24"/>
          <w:lang w:eastAsia="en-US"/>
        </w:rPr>
      </w:pPr>
      <w:r>
        <w:rPr>
          <w:rFonts w:eastAsiaTheme="minorHAnsi"/>
          <w:b/>
          <w:color w:val="000000"/>
          <w:sz w:val="24"/>
          <w:szCs w:val="24"/>
          <w:lang w:eastAsia="en-US"/>
        </w:rPr>
        <w:t>Şekil 67</w:t>
      </w:r>
      <w:r w:rsidR="002B3673" w:rsidRPr="003D2CFB">
        <w:rPr>
          <w:rFonts w:eastAsiaTheme="minorHAnsi"/>
          <w:b/>
          <w:color w:val="000000"/>
          <w:sz w:val="24"/>
          <w:szCs w:val="24"/>
          <w:lang w:eastAsia="en-US"/>
        </w:rPr>
        <w:t>.</w:t>
      </w:r>
      <w:r w:rsidR="002B3673" w:rsidRPr="003D2CFB">
        <w:rPr>
          <w:rFonts w:eastAsiaTheme="minorHAnsi"/>
          <w:color w:val="000000"/>
          <w:sz w:val="24"/>
          <w:szCs w:val="24"/>
          <w:lang w:eastAsia="en-US"/>
        </w:rPr>
        <w:t xml:space="preserve"> MCF-7 kanser hücrelerinin hipoksi altında glukozun farklı </w:t>
      </w:r>
      <w:proofErr w:type="gramStart"/>
      <w:r w:rsidR="002B3673" w:rsidRPr="003D2CFB">
        <w:rPr>
          <w:rFonts w:eastAsiaTheme="minorHAnsi"/>
          <w:color w:val="000000"/>
          <w:sz w:val="24"/>
          <w:szCs w:val="24"/>
          <w:lang w:eastAsia="en-US"/>
        </w:rPr>
        <w:t>konsantrasyonlu</w:t>
      </w:r>
      <w:proofErr w:type="gramEnd"/>
      <w:r w:rsidR="002B3673" w:rsidRPr="003D2CFB">
        <w:rPr>
          <w:rFonts w:eastAsiaTheme="minorHAnsi"/>
          <w:color w:val="000000"/>
          <w:sz w:val="24"/>
          <w:szCs w:val="24"/>
          <w:lang w:eastAsia="en-US"/>
        </w:rPr>
        <w:t xml:space="preserve"> uygulama gruplarında 3,</w:t>
      </w:r>
      <w:r w:rsidR="0088024E">
        <w:rPr>
          <w:rFonts w:eastAsiaTheme="minorHAnsi"/>
          <w:color w:val="000000"/>
          <w:sz w:val="24"/>
          <w:szCs w:val="24"/>
          <w:lang w:eastAsia="en-US"/>
        </w:rPr>
        <w:t xml:space="preserve"> </w:t>
      </w:r>
      <w:r w:rsidR="002B3673" w:rsidRPr="003D2CFB">
        <w:rPr>
          <w:rFonts w:eastAsiaTheme="minorHAnsi"/>
          <w:color w:val="000000"/>
          <w:sz w:val="24"/>
          <w:szCs w:val="24"/>
          <w:lang w:eastAsia="en-US"/>
        </w:rPr>
        <w:t>6, 12, 24 ve 48 saat inkübasyonu sonucu elde edilen laktat üretim miktarları.</w:t>
      </w:r>
    </w:p>
    <w:p w:rsidR="002B3673" w:rsidRDefault="002B3673" w:rsidP="002B3673">
      <w:pPr>
        <w:pStyle w:val="NormalWeb"/>
        <w:spacing w:line="360" w:lineRule="auto"/>
        <w:ind w:firstLine="567"/>
        <w:jc w:val="both"/>
        <w:rPr>
          <w:rFonts w:eastAsiaTheme="minorHAnsi"/>
          <w:color w:val="000000"/>
          <w:lang w:eastAsia="en-US"/>
        </w:rPr>
      </w:pPr>
    </w:p>
    <w:p w:rsidR="002B3673" w:rsidRPr="003D2CFB" w:rsidRDefault="002B3673" w:rsidP="002B3673">
      <w:pPr>
        <w:pStyle w:val="NormalWeb"/>
        <w:spacing w:line="360" w:lineRule="auto"/>
        <w:ind w:firstLine="567"/>
        <w:jc w:val="both"/>
        <w:rPr>
          <w:rFonts w:eastAsiaTheme="minorHAnsi"/>
          <w:color w:val="000000"/>
          <w:sz w:val="24"/>
          <w:szCs w:val="24"/>
          <w:lang w:eastAsia="en-US"/>
        </w:rPr>
      </w:pPr>
      <w:r w:rsidRPr="003D2CFB">
        <w:rPr>
          <w:rFonts w:eastAsiaTheme="minorHAnsi"/>
          <w:color w:val="000000"/>
          <w:sz w:val="24"/>
          <w:szCs w:val="24"/>
          <w:lang w:eastAsia="en-US"/>
        </w:rPr>
        <w:t xml:space="preserve">Gruplar arasındaki konsantrasyona bağlı farklılıklara bakıldığında, normoksik koşullarda glukoz içermeyen (0 mM) hücrelerin özellikle hücre dışına saldıkları 24. ve 48.saat laktat düzeylerinin, </w:t>
      </w:r>
      <w:proofErr w:type="gramStart"/>
      <w:r w:rsidRPr="003D2CFB">
        <w:rPr>
          <w:rFonts w:eastAsiaTheme="minorHAnsi"/>
          <w:color w:val="000000"/>
          <w:sz w:val="24"/>
          <w:szCs w:val="24"/>
          <w:lang w:eastAsia="en-US"/>
        </w:rPr>
        <w:t>5.5</w:t>
      </w:r>
      <w:proofErr w:type="gramEnd"/>
      <w:r w:rsidRPr="003D2CFB">
        <w:rPr>
          <w:rFonts w:eastAsiaTheme="minorHAnsi"/>
          <w:color w:val="000000"/>
          <w:sz w:val="24"/>
          <w:szCs w:val="24"/>
          <w:lang w:eastAsia="en-US"/>
        </w:rPr>
        <w:t xml:space="preserve">, 15 ve 55 mM’lık uygulama gruplarında belirlenen laktat miktarlarına </w:t>
      </w:r>
      <w:r w:rsidRPr="003D2CFB">
        <w:rPr>
          <w:rFonts w:eastAsiaTheme="minorHAnsi"/>
          <w:color w:val="000000"/>
          <w:sz w:val="24"/>
          <w:szCs w:val="24"/>
          <w:lang w:eastAsia="en-US"/>
        </w:rPr>
        <w:lastRenderedPageBreak/>
        <w:t>göre çok düşük olduğu belirlendi (p&lt;0,05). 3, 6 ve 12 saat farklı miktarlarda glukoz içeren ortamlarda inkübe edilen MCF-7 kanser hücrelerinin hücredışı laktat salgısı, glukoz içermeyen hücrelerden fazla olmasına rağmen bu fark istatistiki olarak önemsiz bulundu (p˃0,05) (</w:t>
      </w:r>
      <w:r w:rsidR="004A5FAC">
        <w:rPr>
          <w:rFonts w:eastAsiaTheme="minorHAnsi"/>
          <w:color w:val="000000"/>
          <w:sz w:val="24"/>
          <w:szCs w:val="24"/>
          <w:lang w:eastAsia="en-US"/>
        </w:rPr>
        <w:t>Tablo 13</w:t>
      </w:r>
      <w:r w:rsidR="0030279F">
        <w:rPr>
          <w:rFonts w:eastAsiaTheme="minorHAnsi"/>
          <w:color w:val="000000"/>
          <w:sz w:val="24"/>
          <w:szCs w:val="24"/>
          <w:lang w:eastAsia="en-US"/>
        </w:rPr>
        <w:t xml:space="preserve">) (Şekil 68). </w:t>
      </w:r>
    </w:p>
    <w:p w:rsidR="002B3673" w:rsidRPr="003D2CFB" w:rsidRDefault="002B3673" w:rsidP="002B3673">
      <w:pPr>
        <w:pStyle w:val="NormalWeb"/>
        <w:spacing w:line="360" w:lineRule="auto"/>
        <w:ind w:firstLine="567"/>
        <w:jc w:val="both"/>
        <w:rPr>
          <w:rFonts w:eastAsiaTheme="minorHAnsi"/>
          <w:color w:val="000000"/>
          <w:sz w:val="24"/>
          <w:szCs w:val="24"/>
          <w:lang w:eastAsia="en-US"/>
        </w:rPr>
      </w:pPr>
      <w:r w:rsidRPr="003D2CFB">
        <w:rPr>
          <w:rFonts w:eastAsiaTheme="minorHAnsi"/>
          <w:color w:val="000000"/>
          <w:sz w:val="24"/>
          <w:szCs w:val="24"/>
          <w:lang w:eastAsia="en-US"/>
        </w:rPr>
        <w:t xml:space="preserve">Hipoksik koşullarda ise hücrelerin </w:t>
      </w:r>
      <w:proofErr w:type="gramStart"/>
      <w:r w:rsidRPr="003D2CFB">
        <w:rPr>
          <w:rFonts w:eastAsiaTheme="minorHAnsi"/>
          <w:color w:val="000000"/>
          <w:sz w:val="24"/>
          <w:szCs w:val="24"/>
          <w:lang w:eastAsia="en-US"/>
        </w:rPr>
        <w:t>5.5</w:t>
      </w:r>
      <w:proofErr w:type="gramEnd"/>
      <w:r w:rsidRPr="003D2CFB">
        <w:rPr>
          <w:rFonts w:eastAsiaTheme="minorHAnsi"/>
          <w:color w:val="000000"/>
          <w:sz w:val="24"/>
          <w:szCs w:val="24"/>
          <w:lang w:eastAsia="en-US"/>
        </w:rPr>
        <w:t>, 15 ve 55 mM glukoz içeren medyum</w:t>
      </w:r>
      <w:r w:rsidR="0075651D">
        <w:rPr>
          <w:rFonts w:eastAsiaTheme="minorHAnsi"/>
          <w:color w:val="000000"/>
          <w:sz w:val="24"/>
          <w:szCs w:val="24"/>
          <w:lang w:eastAsia="en-US"/>
        </w:rPr>
        <w:t>lar</w:t>
      </w:r>
      <w:r w:rsidRPr="003D2CFB">
        <w:rPr>
          <w:rFonts w:eastAsiaTheme="minorHAnsi"/>
          <w:color w:val="000000"/>
          <w:sz w:val="24"/>
          <w:szCs w:val="24"/>
          <w:lang w:eastAsia="en-US"/>
        </w:rPr>
        <w:t xml:space="preserve">da 24 ve 48 saat inkübasyonu sonrası ekstrasellüler sıvıdaki laktat miktarı, glukoz içermeyen hücrelere göre oldukça yüksek bulundu (p&lt;0,05). Ayrıca 0 mM ve 15 mM 12.saat uygulama grupları laktat miktarları arasında p&lt;0,05 düzeyinde farklılık görüldü. 3. ve 6. saatlerde </w:t>
      </w:r>
      <w:proofErr w:type="gramStart"/>
      <w:r w:rsidRPr="003D2CFB">
        <w:rPr>
          <w:rFonts w:eastAsiaTheme="minorHAnsi"/>
          <w:color w:val="000000"/>
          <w:sz w:val="24"/>
          <w:szCs w:val="24"/>
          <w:lang w:eastAsia="en-US"/>
        </w:rPr>
        <w:t>konsantrasyonlar</w:t>
      </w:r>
      <w:proofErr w:type="gramEnd"/>
      <w:r w:rsidRPr="003D2CFB">
        <w:rPr>
          <w:rFonts w:eastAsiaTheme="minorHAnsi"/>
          <w:color w:val="000000"/>
          <w:sz w:val="24"/>
          <w:szCs w:val="24"/>
          <w:lang w:eastAsia="en-US"/>
        </w:rPr>
        <w:t xml:space="preserve"> arasında önemli bir değişim bulunamadı (p&gt;0,05) (</w:t>
      </w:r>
      <w:r w:rsidR="004A5FAC">
        <w:rPr>
          <w:rFonts w:eastAsiaTheme="minorHAnsi"/>
          <w:color w:val="000000"/>
          <w:sz w:val="24"/>
          <w:szCs w:val="24"/>
          <w:lang w:eastAsia="en-US"/>
        </w:rPr>
        <w:t>Tablo 13</w:t>
      </w:r>
      <w:r w:rsidR="0030279F">
        <w:rPr>
          <w:rFonts w:eastAsiaTheme="minorHAnsi"/>
          <w:color w:val="000000"/>
          <w:sz w:val="24"/>
          <w:szCs w:val="24"/>
          <w:lang w:eastAsia="en-US"/>
        </w:rPr>
        <w:t xml:space="preserve">) (Şekil 69). </w:t>
      </w:r>
    </w:p>
    <w:p w:rsidR="002B3673" w:rsidRDefault="002B3673" w:rsidP="002B3673">
      <w:pPr>
        <w:rPr>
          <w:rFonts w:cs="Times New Roman"/>
          <w:b/>
          <w:color w:val="000000"/>
          <w:szCs w:val="24"/>
        </w:rPr>
      </w:pPr>
    </w:p>
    <w:p w:rsidR="002B3673" w:rsidRDefault="002B3673" w:rsidP="003D2CFB">
      <w:pPr>
        <w:pStyle w:val="AltKonuBal"/>
        <w:rPr>
          <w:color w:val="000000"/>
        </w:rPr>
      </w:pPr>
      <w:r w:rsidRPr="008E446E">
        <w:rPr>
          <w:noProof/>
          <w:lang w:eastAsia="tr-TR"/>
        </w:rPr>
        <w:drawing>
          <wp:inline distT="0" distB="0" distL="0" distR="0">
            <wp:extent cx="4575600" cy="2743200"/>
            <wp:effectExtent l="0" t="0" r="0" b="0"/>
            <wp:docPr id="297" name="Grafik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B3673" w:rsidRDefault="002B3673" w:rsidP="002B3673">
      <w:pPr>
        <w:rPr>
          <w:rFonts w:cs="Times New Roman"/>
          <w:b/>
          <w:color w:val="000000"/>
          <w:szCs w:val="24"/>
        </w:rPr>
      </w:pPr>
    </w:p>
    <w:p w:rsidR="00FB7DEA" w:rsidRDefault="004C3E69" w:rsidP="00FB7DEA">
      <w:pPr>
        <w:rPr>
          <w:rFonts w:cs="Times New Roman"/>
          <w:color w:val="000000"/>
          <w:szCs w:val="24"/>
        </w:rPr>
      </w:pPr>
      <w:r>
        <w:rPr>
          <w:rFonts w:cs="Times New Roman"/>
          <w:b/>
          <w:color w:val="000000"/>
          <w:szCs w:val="24"/>
        </w:rPr>
        <w:t>Şekil 68</w:t>
      </w:r>
      <w:r w:rsidR="002B3673">
        <w:rPr>
          <w:rFonts w:cs="Times New Roman"/>
          <w:b/>
          <w:color w:val="000000"/>
          <w:szCs w:val="24"/>
        </w:rPr>
        <w:t xml:space="preserve">. </w:t>
      </w:r>
      <w:r w:rsidR="002B3673" w:rsidRPr="008F496A">
        <w:rPr>
          <w:rFonts w:cs="Times New Roman"/>
          <w:color w:val="000000"/>
          <w:szCs w:val="24"/>
        </w:rPr>
        <w:t xml:space="preserve">MCF-7 kanser hücrelerinin normoksi altında glukozun farklı </w:t>
      </w:r>
      <w:proofErr w:type="gramStart"/>
      <w:r w:rsidR="002B3673" w:rsidRPr="008F496A">
        <w:rPr>
          <w:rFonts w:cs="Times New Roman"/>
          <w:color w:val="000000"/>
          <w:szCs w:val="24"/>
        </w:rPr>
        <w:t>konsantrasyonlu</w:t>
      </w:r>
      <w:proofErr w:type="gramEnd"/>
      <w:r w:rsidR="002B3673" w:rsidRPr="008F496A">
        <w:rPr>
          <w:rFonts w:cs="Times New Roman"/>
          <w:color w:val="000000"/>
          <w:szCs w:val="24"/>
        </w:rPr>
        <w:t xml:space="preserve"> uygulama gruplarında 3,</w:t>
      </w:r>
      <w:r w:rsidR="0088024E">
        <w:rPr>
          <w:rFonts w:cs="Times New Roman"/>
          <w:color w:val="000000"/>
          <w:szCs w:val="24"/>
        </w:rPr>
        <w:t xml:space="preserve"> </w:t>
      </w:r>
      <w:r w:rsidR="002B3673" w:rsidRPr="008F496A">
        <w:rPr>
          <w:rFonts w:cs="Times New Roman"/>
          <w:color w:val="000000"/>
          <w:szCs w:val="24"/>
        </w:rPr>
        <w:t>6, 12, 24 ve 48 saat inkübasyonu sonucu elde edilen laktat üretim miktarları.</w:t>
      </w:r>
      <w:r w:rsidR="00FB7DEA">
        <w:rPr>
          <w:rFonts w:cs="Times New Roman"/>
          <w:color w:val="000000"/>
          <w:szCs w:val="24"/>
        </w:rPr>
        <w:t xml:space="preserve"> </w:t>
      </w:r>
    </w:p>
    <w:p w:rsidR="002B3673" w:rsidRDefault="002B3673" w:rsidP="002B3673">
      <w:pPr>
        <w:rPr>
          <w:rFonts w:cs="Times New Roman"/>
          <w:b/>
          <w:color w:val="000000"/>
          <w:szCs w:val="24"/>
        </w:rPr>
      </w:pPr>
    </w:p>
    <w:p w:rsidR="002B3673" w:rsidRDefault="002B3673" w:rsidP="002B3673">
      <w:pPr>
        <w:rPr>
          <w:rFonts w:cs="Times New Roman"/>
          <w:b/>
          <w:color w:val="000000"/>
          <w:szCs w:val="24"/>
        </w:rPr>
      </w:pPr>
    </w:p>
    <w:p w:rsidR="002B3673" w:rsidRDefault="002B3673" w:rsidP="003D2CFB">
      <w:pPr>
        <w:pStyle w:val="AltKonuBal"/>
        <w:rPr>
          <w:color w:val="000000"/>
        </w:rPr>
      </w:pPr>
      <w:r>
        <w:rPr>
          <w:noProof/>
          <w:lang w:eastAsia="tr-TR"/>
        </w:rPr>
        <w:lastRenderedPageBreak/>
        <w:drawing>
          <wp:inline distT="0" distB="0" distL="0" distR="0">
            <wp:extent cx="4572000" cy="2743200"/>
            <wp:effectExtent l="0" t="0" r="0" b="0"/>
            <wp:docPr id="300" name="Grafik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B3673" w:rsidRDefault="002B3673" w:rsidP="002B3673">
      <w:pPr>
        <w:rPr>
          <w:rFonts w:cs="Times New Roman"/>
          <w:b/>
          <w:color w:val="000000"/>
          <w:szCs w:val="24"/>
        </w:rPr>
      </w:pPr>
    </w:p>
    <w:p w:rsidR="002B3673" w:rsidRDefault="004C3E69" w:rsidP="002B3673">
      <w:pPr>
        <w:rPr>
          <w:rFonts w:cs="Times New Roman"/>
          <w:b/>
          <w:color w:val="000000"/>
          <w:szCs w:val="24"/>
        </w:rPr>
      </w:pPr>
      <w:r>
        <w:rPr>
          <w:rFonts w:cs="Times New Roman"/>
          <w:b/>
          <w:color w:val="000000"/>
          <w:szCs w:val="24"/>
        </w:rPr>
        <w:t>Şekil 69</w:t>
      </w:r>
      <w:r w:rsidR="002B3673">
        <w:rPr>
          <w:rFonts w:cs="Times New Roman"/>
          <w:b/>
          <w:color w:val="000000"/>
          <w:szCs w:val="24"/>
        </w:rPr>
        <w:t xml:space="preserve">. </w:t>
      </w:r>
      <w:r w:rsidR="002B3673" w:rsidRPr="008F496A">
        <w:rPr>
          <w:rFonts w:cs="Times New Roman"/>
          <w:color w:val="000000"/>
          <w:szCs w:val="24"/>
        </w:rPr>
        <w:t xml:space="preserve">MCF-7 kanser hücrelerinin </w:t>
      </w:r>
      <w:r w:rsidR="002B3673">
        <w:rPr>
          <w:rFonts w:cs="Times New Roman"/>
          <w:color w:val="000000"/>
          <w:szCs w:val="24"/>
        </w:rPr>
        <w:t>hipoksi</w:t>
      </w:r>
      <w:r w:rsidR="002B3673" w:rsidRPr="008F496A">
        <w:rPr>
          <w:rFonts w:cs="Times New Roman"/>
          <w:color w:val="000000"/>
          <w:szCs w:val="24"/>
        </w:rPr>
        <w:t xml:space="preserve"> altında glukozun farklı </w:t>
      </w:r>
      <w:proofErr w:type="gramStart"/>
      <w:r w:rsidR="002B3673" w:rsidRPr="008F496A">
        <w:rPr>
          <w:rFonts w:cs="Times New Roman"/>
          <w:color w:val="000000"/>
          <w:szCs w:val="24"/>
        </w:rPr>
        <w:t>konsantrasyonlu</w:t>
      </w:r>
      <w:proofErr w:type="gramEnd"/>
      <w:r w:rsidR="002B3673" w:rsidRPr="008F496A">
        <w:rPr>
          <w:rFonts w:cs="Times New Roman"/>
          <w:color w:val="000000"/>
          <w:szCs w:val="24"/>
        </w:rPr>
        <w:t xml:space="preserve"> uygulama gruplarında 3,</w:t>
      </w:r>
      <w:r w:rsidR="0088024E">
        <w:rPr>
          <w:rFonts w:cs="Times New Roman"/>
          <w:color w:val="000000"/>
          <w:szCs w:val="24"/>
        </w:rPr>
        <w:t xml:space="preserve"> </w:t>
      </w:r>
      <w:r w:rsidR="002B3673" w:rsidRPr="008F496A">
        <w:rPr>
          <w:rFonts w:cs="Times New Roman"/>
          <w:color w:val="000000"/>
          <w:szCs w:val="24"/>
        </w:rPr>
        <w:t>6, 12, 24 ve 48 saat inkübasyonu sonucu elde edilen laktat üretim miktarları.</w:t>
      </w:r>
    </w:p>
    <w:p w:rsidR="002B3673" w:rsidRDefault="002B3673" w:rsidP="002B3673">
      <w:pPr>
        <w:rPr>
          <w:rFonts w:cs="Times New Roman"/>
          <w:b/>
          <w:color w:val="000000"/>
          <w:szCs w:val="24"/>
        </w:rPr>
      </w:pPr>
    </w:p>
    <w:p w:rsidR="002B3673" w:rsidRDefault="002B3673" w:rsidP="002B3673">
      <w:pPr>
        <w:rPr>
          <w:rFonts w:cs="Times New Roman"/>
          <w:b/>
          <w:color w:val="000000"/>
          <w:szCs w:val="24"/>
        </w:rPr>
      </w:pPr>
    </w:p>
    <w:p w:rsidR="002B3673" w:rsidRDefault="002B3673" w:rsidP="003D2CFB">
      <w:pPr>
        <w:pStyle w:val="Balk2"/>
        <w:rPr>
          <w:rFonts w:eastAsia="Times New Roman"/>
          <w:lang w:eastAsia="tr-TR"/>
        </w:rPr>
      </w:pPr>
      <w:r>
        <w:rPr>
          <w:rFonts w:eastAsia="Times New Roman"/>
          <w:lang w:eastAsia="tr-TR"/>
        </w:rPr>
        <w:t>4.</w:t>
      </w:r>
      <w:r w:rsidR="00A93050">
        <w:rPr>
          <w:rFonts w:eastAsia="Times New Roman"/>
          <w:lang w:eastAsia="tr-TR"/>
        </w:rPr>
        <w:t>4</w:t>
      </w:r>
      <w:r>
        <w:rPr>
          <w:rFonts w:eastAsia="Times New Roman"/>
          <w:lang w:eastAsia="tr-TR"/>
        </w:rPr>
        <w:t>.2 Aynı Konsantrasyonlu Glukoz Uygulamalarında Normoksik ve Hipoksik Ortamdaki Ekstrasellüler Laktat Miktarlarının Karşılaştırılması</w:t>
      </w:r>
    </w:p>
    <w:p w:rsidR="002B3673" w:rsidRDefault="002B3673" w:rsidP="002B3673">
      <w:pPr>
        <w:rPr>
          <w:rFonts w:eastAsia="Times New Roman"/>
          <w:b/>
          <w:szCs w:val="24"/>
          <w:lang w:eastAsia="tr-TR"/>
        </w:rPr>
      </w:pPr>
    </w:p>
    <w:p w:rsidR="002B3673" w:rsidRDefault="002B3673" w:rsidP="002B3673">
      <w:pPr>
        <w:rPr>
          <w:rFonts w:cs="Times New Roman"/>
          <w:color w:val="000000"/>
          <w:szCs w:val="24"/>
        </w:rPr>
      </w:pPr>
      <w:r>
        <w:rPr>
          <w:rFonts w:cs="Times New Roman"/>
          <w:color w:val="000000"/>
          <w:szCs w:val="24"/>
        </w:rPr>
        <w:t>15 mM ve 55 mM uygulama gruplarında 48.saat inkübasyon süresinde hipoksik ortamdaki hücrelerden salınan laktat miktarı normoksik ortamdaki hücrelere göre yaklaşık 2 kat anla</w:t>
      </w:r>
      <w:r w:rsidR="00FB7DEA">
        <w:rPr>
          <w:rFonts w:cs="Times New Roman"/>
          <w:color w:val="000000"/>
          <w:szCs w:val="24"/>
        </w:rPr>
        <w:t>mlı bir artış sergiledi (p&lt;0,05</w:t>
      </w:r>
      <w:r>
        <w:rPr>
          <w:rFonts w:cs="Times New Roman"/>
          <w:color w:val="000000"/>
          <w:szCs w:val="24"/>
        </w:rPr>
        <w:t>). Diğer t</w:t>
      </w:r>
      <w:r w:rsidRPr="00EB79C9">
        <w:rPr>
          <w:rFonts w:cs="Times New Roman"/>
          <w:color w:val="000000"/>
          <w:szCs w:val="24"/>
        </w:rPr>
        <w:t xml:space="preserve">üm uygulama gruplarında </w:t>
      </w:r>
      <w:r>
        <w:rPr>
          <w:rFonts w:cs="Times New Roman"/>
          <w:color w:val="000000"/>
          <w:szCs w:val="24"/>
        </w:rPr>
        <w:t xml:space="preserve">ise </w:t>
      </w:r>
      <w:r w:rsidRPr="00EB79C9">
        <w:rPr>
          <w:rFonts w:cs="Times New Roman"/>
          <w:color w:val="000000"/>
          <w:szCs w:val="24"/>
        </w:rPr>
        <w:t>normoksik ve hipoksik hücrelerin laktat düzeyleri arasında anlam</w:t>
      </w:r>
      <w:r w:rsidR="0030279F">
        <w:rPr>
          <w:rFonts w:cs="Times New Roman"/>
          <w:color w:val="000000"/>
          <w:szCs w:val="24"/>
        </w:rPr>
        <w:t xml:space="preserve">lı bir fark bulunamadı (p&gt;0,05) (Şekil 70-73). </w:t>
      </w:r>
    </w:p>
    <w:p w:rsidR="002B3673" w:rsidRPr="00EB79C9" w:rsidRDefault="002B3673" w:rsidP="002B3673">
      <w:pPr>
        <w:rPr>
          <w:rFonts w:cs="Times New Roman"/>
          <w:color w:val="000000"/>
          <w:szCs w:val="24"/>
        </w:rPr>
      </w:pPr>
    </w:p>
    <w:p w:rsidR="002B3673" w:rsidRDefault="002B3673" w:rsidP="00967259">
      <w:pPr>
        <w:pStyle w:val="AltKonuBal"/>
        <w:rPr>
          <w:color w:val="000000"/>
        </w:rPr>
      </w:pPr>
      <w:r>
        <w:rPr>
          <w:noProof/>
          <w:lang w:eastAsia="tr-TR"/>
        </w:rPr>
        <w:lastRenderedPageBreak/>
        <w:drawing>
          <wp:inline distT="0" distB="0" distL="0" distR="0">
            <wp:extent cx="4576700" cy="2383200"/>
            <wp:effectExtent l="0" t="0" r="0" b="0"/>
            <wp:docPr id="318" name="Grafik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B3673" w:rsidRDefault="002B3673" w:rsidP="002B3673">
      <w:pPr>
        <w:rPr>
          <w:rFonts w:cs="Times New Roman"/>
          <w:color w:val="000000"/>
          <w:szCs w:val="24"/>
        </w:rPr>
      </w:pPr>
    </w:p>
    <w:p w:rsidR="002B3673" w:rsidRDefault="004C3E69" w:rsidP="002B3673">
      <w:pPr>
        <w:rPr>
          <w:rFonts w:cs="Times New Roman"/>
          <w:color w:val="000000"/>
          <w:szCs w:val="24"/>
        </w:rPr>
      </w:pPr>
      <w:r>
        <w:rPr>
          <w:rFonts w:cs="Times New Roman"/>
          <w:b/>
          <w:color w:val="000000"/>
          <w:szCs w:val="24"/>
        </w:rPr>
        <w:t>Şekil 70</w:t>
      </w:r>
      <w:r w:rsidR="002B3673" w:rsidRPr="009352B0">
        <w:rPr>
          <w:rFonts w:cs="Times New Roman"/>
          <w:b/>
          <w:color w:val="000000"/>
          <w:szCs w:val="24"/>
        </w:rPr>
        <w:t>.</w:t>
      </w:r>
      <w:r w:rsidR="002B3673">
        <w:rPr>
          <w:rFonts w:cs="Times New Roman"/>
          <w:color w:val="000000"/>
          <w:szCs w:val="24"/>
        </w:rPr>
        <w:t xml:space="preserve"> 0 mM glukoz </w:t>
      </w:r>
      <w:r w:rsidR="002B3673" w:rsidRPr="006A05E3">
        <w:rPr>
          <w:rFonts w:cs="Times New Roman"/>
          <w:color w:val="000000"/>
          <w:szCs w:val="24"/>
        </w:rPr>
        <w:t>uygulama gruplarında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 xml:space="preserve">koşulların ekstrasellüler laktat salınımı </w:t>
      </w:r>
      <w:r w:rsidR="002B3673" w:rsidRPr="006A05E3">
        <w:rPr>
          <w:rFonts w:cs="Times New Roman"/>
          <w:color w:val="000000"/>
          <w:szCs w:val="24"/>
        </w:rPr>
        <w:t>düzeylerinin karşılaştırılması.</w:t>
      </w:r>
    </w:p>
    <w:p w:rsidR="002B3673" w:rsidRDefault="002B3673" w:rsidP="002B3673">
      <w:pPr>
        <w:rPr>
          <w:rFonts w:cs="Times New Roman"/>
          <w:color w:val="000000"/>
          <w:szCs w:val="24"/>
        </w:rPr>
      </w:pPr>
    </w:p>
    <w:p w:rsidR="002B3673" w:rsidRDefault="002B3673" w:rsidP="00967259">
      <w:pPr>
        <w:pStyle w:val="AltKonuBal"/>
        <w:rPr>
          <w:color w:val="000000"/>
        </w:rPr>
      </w:pPr>
      <w:r>
        <w:rPr>
          <w:noProof/>
          <w:lang w:eastAsia="tr-TR"/>
        </w:rPr>
        <w:drawing>
          <wp:inline distT="0" distB="0" distL="0" distR="0">
            <wp:extent cx="4572000" cy="2743200"/>
            <wp:effectExtent l="0" t="0" r="0" b="0"/>
            <wp:docPr id="319" name="Grafik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B3673" w:rsidRDefault="002B3673" w:rsidP="002B3673">
      <w:pPr>
        <w:jc w:val="center"/>
        <w:rPr>
          <w:rFonts w:cs="Times New Roman"/>
          <w:color w:val="000000"/>
          <w:szCs w:val="24"/>
        </w:rPr>
      </w:pPr>
    </w:p>
    <w:p w:rsidR="002B3673" w:rsidRDefault="004C3E69" w:rsidP="002B3673">
      <w:pPr>
        <w:rPr>
          <w:rFonts w:cs="Times New Roman"/>
          <w:color w:val="000000"/>
          <w:szCs w:val="24"/>
        </w:rPr>
      </w:pPr>
      <w:r>
        <w:rPr>
          <w:rFonts w:cs="Times New Roman"/>
          <w:b/>
          <w:color w:val="000000"/>
          <w:szCs w:val="24"/>
        </w:rPr>
        <w:t>Şekil 71</w:t>
      </w:r>
      <w:r w:rsidR="002B3673" w:rsidRPr="009352B0">
        <w:rPr>
          <w:rFonts w:cs="Times New Roman"/>
          <w:b/>
          <w:color w:val="000000"/>
          <w:szCs w:val="24"/>
        </w:rPr>
        <w:t>.</w:t>
      </w:r>
      <w:r w:rsidR="002B3673">
        <w:rPr>
          <w:rFonts w:cs="Times New Roman"/>
          <w:color w:val="000000"/>
          <w:szCs w:val="24"/>
        </w:rPr>
        <w:t xml:space="preserve"> </w:t>
      </w:r>
      <w:proofErr w:type="gramStart"/>
      <w:r w:rsidR="002B3673">
        <w:rPr>
          <w:rFonts w:cs="Times New Roman"/>
          <w:color w:val="000000"/>
          <w:szCs w:val="24"/>
        </w:rPr>
        <w:t>5.5</w:t>
      </w:r>
      <w:proofErr w:type="gramEnd"/>
      <w:r w:rsidR="002B3673">
        <w:rPr>
          <w:rFonts w:cs="Times New Roman"/>
          <w:color w:val="000000"/>
          <w:szCs w:val="24"/>
        </w:rPr>
        <w:t xml:space="preserve"> mM glukoz </w:t>
      </w:r>
      <w:r w:rsidR="002B3673" w:rsidRPr="006A05E3">
        <w:rPr>
          <w:rFonts w:cs="Times New Roman"/>
          <w:color w:val="000000"/>
          <w:szCs w:val="24"/>
        </w:rPr>
        <w:t>uygulama gruplarında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 xml:space="preserve">koşulların ekstrasellüler laktat salınımı </w:t>
      </w:r>
      <w:r w:rsidR="002B3673" w:rsidRPr="006A05E3">
        <w:rPr>
          <w:rFonts w:cs="Times New Roman"/>
          <w:color w:val="000000"/>
          <w:szCs w:val="24"/>
        </w:rPr>
        <w:t>düzeylerinin karşılaştırılması.</w:t>
      </w:r>
    </w:p>
    <w:p w:rsidR="003D2CFB" w:rsidRDefault="003D2CFB" w:rsidP="002B3673">
      <w:pPr>
        <w:rPr>
          <w:rFonts w:cs="Times New Roman"/>
          <w:color w:val="000000"/>
          <w:szCs w:val="24"/>
        </w:rPr>
      </w:pPr>
    </w:p>
    <w:p w:rsidR="002B3673" w:rsidRDefault="002B3673" w:rsidP="004657C4">
      <w:pPr>
        <w:pStyle w:val="AltKonuBal"/>
        <w:rPr>
          <w:color w:val="000000"/>
        </w:rPr>
      </w:pPr>
      <w:r>
        <w:rPr>
          <w:noProof/>
          <w:lang w:eastAsia="tr-TR"/>
        </w:rPr>
        <w:lastRenderedPageBreak/>
        <w:drawing>
          <wp:inline distT="0" distB="0" distL="0" distR="0">
            <wp:extent cx="4572000" cy="2743200"/>
            <wp:effectExtent l="0" t="0" r="0" b="0"/>
            <wp:docPr id="98" name="Grafik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B3673" w:rsidRDefault="002B3673" w:rsidP="002B3673">
      <w:pPr>
        <w:jc w:val="center"/>
        <w:rPr>
          <w:rFonts w:cs="Times New Roman"/>
          <w:color w:val="000000"/>
          <w:szCs w:val="24"/>
        </w:rPr>
      </w:pPr>
    </w:p>
    <w:p w:rsidR="00FB7DEA" w:rsidRDefault="004C3E69" w:rsidP="00FB7DEA">
      <w:pPr>
        <w:rPr>
          <w:rFonts w:cs="Times New Roman"/>
          <w:color w:val="000000"/>
          <w:szCs w:val="24"/>
        </w:rPr>
      </w:pPr>
      <w:r>
        <w:rPr>
          <w:rFonts w:cs="Times New Roman"/>
          <w:b/>
          <w:color w:val="000000"/>
          <w:szCs w:val="24"/>
        </w:rPr>
        <w:t>Şekil 72</w:t>
      </w:r>
      <w:r w:rsidR="002B3673">
        <w:rPr>
          <w:rFonts w:cs="Times New Roman"/>
          <w:b/>
          <w:color w:val="000000"/>
          <w:szCs w:val="24"/>
        </w:rPr>
        <w:t>.</w:t>
      </w:r>
      <w:r w:rsidR="002B3673">
        <w:rPr>
          <w:rFonts w:cs="Times New Roman"/>
          <w:color w:val="000000"/>
          <w:szCs w:val="24"/>
        </w:rPr>
        <w:t xml:space="preserve"> 15 mM glukoz </w:t>
      </w:r>
      <w:r w:rsidR="002B3673" w:rsidRPr="006A05E3">
        <w:rPr>
          <w:rFonts w:cs="Times New Roman"/>
          <w:color w:val="000000"/>
          <w:szCs w:val="24"/>
        </w:rPr>
        <w:t>uygulama gruplarında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 xml:space="preserve">koşulların ekstrasellüler laktat salınımı </w:t>
      </w:r>
      <w:r w:rsidR="002B3673" w:rsidRPr="006A05E3">
        <w:rPr>
          <w:rFonts w:cs="Times New Roman"/>
          <w:color w:val="000000"/>
          <w:szCs w:val="24"/>
        </w:rPr>
        <w:t>düzeylerinin karşılaştırılması.</w:t>
      </w:r>
      <w:r w:rsidR="00FB7DEA">
        <w:rPr>
          <w:rFonts w:cs="Times New Roman"/>
          <w:color w:val="000000"/>
          <w:szCs w:val="24"/>
        </w:rPr>
        <w:t xml:space="preserve"> *p&lt; 0,05</w:t>
      </w:r>
    </w:p>
    <w:p w:rsidR="002B3673" w:rsidRDefault="002B3673" w:rsidP="00FB7DEA">
      <w:pPr>
        <w:ind w:firstLine="0"/>
        <w:rPr>
          <w:rFonts w:cs="Times New Roman"/>
          <w:color w:val="000000"/>
          <w:szCs w:val="24"/>
        </w:rPr>
      </w:pPr>
    </w:p>
    <w:p w:rsidR="002B3673" w:rsidRDefault="002B3673" w:rsidP="002B3673">
      <w:pPr>
        <w:rPr>
          <w:rFonts w:cs="Times New Roman"/>
          <w:color w:val="000000"/>
          <w:szCs w:val="24"/>
        </w:rPr>
      </w:pPr>
    </w:p>
    <w:p w:rsidR="002B3673" w:rsidRDefault="002B3673" w:rsidP="004657C4">
      <w:pPr>
        <w:pStyle w:val="AltKonuBal"/>
        <w:rPr>
          <w:color w:val="000000"/>
        </w:rPr>
      </w:pPr>
      <w:r>
        <w:rPr>
          <w:noProof/>
          <w:lang w:eastAsia="tr-TR"/>
        </w:rPr>
        <w:drawing>
          <wp:inline distT="0" distB="0" distL="0" distR="0">
            <wp:extent cx="4572000" cy="2743200"/>
            <wp:effectExtent l="0" t="0" r="0" b="0"/>
            <wp:docPr id="99" name="Grafi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B3673" w:rsidRDefault="002B3673" w:rsidP="002B3673">
      <w:pPr>
        <w:jc w:val="center"/>
        <w:rPr>
          <w:rFonts w:cs="Times New Roman"/>
          <w:color w:val="000000"/>
          <w:szCs w:val="24"/>
        </w:rPr>
      </w:pPr>
    </w:p>
    <w:p w:rsidR="00FB7DEA" w:rsidRDefault="004C3E69" w:rsidP="00FB7DEA">
      <w:pPr>
        <w:rPr>
          <w:rFonts w:cs="Times New Roman"/>
          <w:color w:val="000000"/>
          <w:szCs w:val="24"/>
        </w:rPr>
      </w:pPr>
      <w:r>
        <w:rPr>
          <w:rFonts w:cs="Times New Roman"/>
          <w:b/>
          <w:color w:val="000000"/>
          <w:szCs w:val="24"/>
        </w:rPr>
        <w:t>Şekil 73</w:t>
      </w:r>
      <w:r w:rsidR="002B3673" w:rsidRPr="0011447C">
        <w:rPr>
          <w:rFonts w:cs="Times New Roman"/>
          <w:b/>
          <w:color w:val="000000"/>
          <w:szCs w:val="24"/>
        </w:rPr>
        <w:t>.</w:t>
      </w:r>
      <w:r w:rsidR="002B3673">
        <w:rPr>
          <w:rFonts w:cs="Times New Roman"/>
          <w:color w:val="000000"/>
          <w:szCs w:val="24"/>
        </w:rPr>
        <w:t xml:space="preserve"> 55 mM glukoz </w:t>
      </w:r>
      <w:r w:rsidR="002B3673" w:rsidRPr="006A05E3">
        <w:rPr>
          <w:rFonts w:cs="Times New Roman"/>
          <w:color w:val="000000"/>
          <w:szCs w:val="24"/>
        </w:rPr>
        <w:t>uygulama gruplarında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 xml:space="preserve">koşulların ekstrasellüler laktat salınımı </w:t>
      </w:r>
      <w:r w:rsidR="002B3673" w:rsidRPr="006A05E3">
        <w:rPr>
          <w:rFonts w:cs="Times New Roman"/>
          <w:color w:val="000000"/>
          <w:szCs w:val="24"/>
        </w:rPr>
        <w:t>düzeylerinin karşılaştırılması.</w:t>
      </w:r>
      <w:r w:rsidR="00FB7DEA">
        <w:rPr>
          <w:rFonts w:cs="Times New Roman"/>
          <w:color w:val="000000"/>
          <w:szCs w:val="24"/>
        </w:rPr>
        <w:t xml:space="preserve"> *p&lt; 0,05</w:t>
      </w:r>
    </w:p>
    <w:p w:rsidR="002B3673" w:rsidRDefault="002B3673" w:rsidP="002B3673">
      <w:pPr>
        <w:rPr>
          <w:rFonts w:cs="Times New Roman"/>
          <w:color w:val="000000"/>
          <w:szCs w:val="24"/>
        </w:rPr>
      </w:pPr>
    </w:p>
    <w:p w:rsidR="002B3673" w:rsidRDefault="002B3673" w:rsidP="002B3673">
      <w:pPr>
        <w:rPr>
          <w:rFonts w:cs="Times New Roman"/>
          <w:b/>
          <w:color w:val="000000"/>
          <w:szCs w:val="24"/>
        </w:rPr>
      </w:pPr>
    </w:p>
    <w:p w:rsidR="002B3673" w:rsidRDefault="002B3673" w:rsidP="00C93AA8">
      <w:pPr>
        <w:pStyle w:val="Balk2"/>
      </w:pPr>
      <w:r w:rsidRPr="000F411A">
        <w:lastRenderedPageBreak/>
        <w:t>4.</w:t>
      </w:r>
      <w:r w:rsidR="00DD3406">
        <w:t>5</w:t>
      </w:r>
      <w:r w:rsidRPr="000F411A">
        <w:t xml:space="preserve"> Glukoz Tüketim Miktarlarının Belirlenmesi</w:t>
      </w:r>
    </w:p>
    <w:p w:rsidR="002B3673" w:rsidRDefault="002B3673" w:rsidP="00C93AA8">
      <w:pPr>
        <w:pStyle w:val="Balk2"/>
      </w:pPr>
    </w:p>
    <w:p w:rsidR="002B3673" w:rsidRDefault="002B3673" w:rsidP="00C93AA8">
      <w:pPr>
        <w:pStyle w:val="Balk2"/>
      </w:pPr>
      <w:r>
        <w:t>4.</w:t>
      </w:r>
      <w:r w:rsidR="00DD3406">
        <w:t>5</w:t>
      </w:r>
      <w:r>
        <w:t>.1 Normoksik ve Hipoksik Koşullarda Glukoz Tüketim Miktarı</w:t>
      </w:r>
    </w:p>
    <w:p w:rsidR="002B3673" w:rsidRPr="0011447C" w:rsidRDefault="002B3673" w:rsidP="002B3673">
      <w:pPr>
        <w:rPr>
          <w:rFonts w:cs="Times New Roman"/>
          <w:color w:val="000000"/>
          <w:szCs w:val="24"/>
        </w:rPr>
      </w:pPr>
    </w:p>
    <w:p w:rsidR="002B3673" w:rsidRDefault="002B3673" w:rsidP="002B3673">
      <w:pPr>
        <w:rPr>
          <w:rFonts w:cs="Times New Roman"/>
          <w:color w:val="000000"/>
          <w:szCs w:val="24"/>
        </w:rPr>
      </w:pPr>
      <w:r w:rsidRPr="004278A9">
        <w:rPr>
          <w:rFonts w:cs="Times New Roman"/>
          <w:color w:val="000000"/>
          <w:szCs w:val="24"/>
        </w:rPr>
        <w:t>Normoksik ve hipoksik koşullarda glukozun farklı dozlarına maruz bırakılan MCF-7 meme kanser hücre hattı gruplarında hücrelerin büyüdüğü ortama ilave edilen glukozdan nasıl yarar sağladıklarını belirlemek amacıyla, ilk ilave edilen glukoz miktarından uygulama süresi sonunda hücrelerin kullandıkları glukoz miktarı çıkarılara</w:t>
      </w:r>
      <w:r>
        <w:rPr>
          <w:rFonts w:cs="Times New Roman"/>
          <w:color w:val="000000"/>
          <w:szCs w:val="24"/>
        </w:rPr>
        <w:t>k tüketile</w:t>
      </w:r>
      <w:r w:rsidR="0088024E">
        <w:rPr>
          <w:rFonts w:cs="Times New Roman"/>
          <w:color w:val="000000"/>
          <w:szCs w:val="24"/>
        </w:rPr>
        <w:t>n miktar hesaplandı</w:t>
      </w:r>
      <w:r w:rsidR="004C3E69">
        <w:rPr>
          <w:rFonts w:cs="Times New Roman"/>
          <w:color w:val="000000"/>
          <w:szCs w:val="24"/>
        </w:rPr>
        <w:t xml:space="preserve"> (Tablo 14 ve 15</w:t>
      </w:r>
      <w:r>
        <w:rPr>
          <w:rFonts w:cs="Times New Roman"/>
          <w:color w:val="000000"/>
          <w:szCs w:val="24"/>
        </w:rPr>
        <w:t>)</w:t>
      </w:r>
      <w:r w:rsidR="0088024E">
        <w:rPr>
          <w:rFonts w:cs="Times New Roman"/>
          <w:color w:val="000000"/>
          <w:szCs w:val="24"/>
        </w:rPr>
        <w:t>.</w:t>
      </w:r>
    </w:p>
    <w:p w:rsidR="002B3673" w:rsidRDefault="002B3673" w:rsidP="002B3673">
      <w:pPr>
        <w:rPr>
          <w:rFonts w:cs="Times New Roman"/>
          <w:color w:val="000000"/>
          <w:szCs w:val="24"/>
        </w:rPr>
      </w:pPr>
      <w:r>
        <w:rPr>
          <w:rFonts w:cs="Times New Roman"/>
          <w:color w:val="000000"/>
          <w:szCs w:val="24"/>
        </w:rPr>
        <w:t xml:space="preserve">Normoksik ortamda </w:t>
      </w:r>
      <w:proofErr w:type="gramStart"/>
      <w:r>
        <w:rPr>
          <w:rFonts w:cs="Times New Roman"/>
          <w:color w:val="000000"/>
          <w:szCs w:val="24"/>
        </w:rPr>
        <w:t>5.5</w:t>
      </w:r>
      <w:proofErr w:type="gramEnd"/>
      <w:r>
        <w:rPr>
          <w:rFonts w:cs="Times New Roman"/>
          <w:color w:val="000000"/>
          <w:szCs w:val="24"/>
        </w:rPr>
        <w:t xml:space="preserve"> mM glukoz ilave edilen MCF-7 hücrelerinin glukoz tü</w:t>
      </w:r>
      <w:r w:rsidR="00E01B33">
        <w:rPr>
          <w:rFonts w:cs="Times New Roman"/>
          <w:color w:val="000000"/>
          <w:szCs w:val="24"/>
        </w:rPr>
        <w:t>ketimi 6.saatte arttı, 12.saate kadar</w:t>
      </w:r>
      <w:r>
        <w:rPr>
          <w:rFonts w:cs="Times New Roman"/>
          <w:color w:val="000000"/>
          <w:szCs w:val="24"/>
        </w:rPr>
        <w:t xml:space="preserve"> azaldı ve </w:t>
      </w:r>
      <w:r w:rsidR="00E01B33">
        <w:rPr>
          <w:rFonts w:cs="Times New Roman"/>
          <w:color w:val="000000"/>
          <w:szCs w:val="24"/>
        </w:rPr>
        <w:t>12</w:t>
      </w:r>
      <w:r>
        <w:rPr>
          <w:rFonts w:cs="Times New Roman"/>
          <w:color w:val="000000"/>
          <w:szCs w:val="24"/>
        </w:rPr>
        <w:t>. saatten 48.saate kadar tekrar artış sergiledi (p&lt;0,001). 15 mM glukoz ilavesi, hücrelerde glukoz tüketimini 6.saatten itibaren zamana bağlı olarak arttırdı, 24.saatten 48.saate kadar ise glukoz tüketiminde azalma kaydedildi (p&lt;0,001). 55 mM glukoz içeren gruplarda en yüksek glukoz tüketimi 12. saatte görülmekle birlikte, 12.saatten 48.saate kadar glukoz tüketimin</w:t>
      </w:r>
      <w:r w:rsidR="0030279F">
        <w:rPr>
          <w:rFonts w:cs="Times New Roman"/>
          <w:color w:val="000000"/>
          <w:szCs w:val="24"/>
        </w:rPr>
        <w:t>de bir düşme</w:t>
      </w:r>
      <w:r w:rsidR="0088024E">
        <w:rPr>
          <w:rFonts w:cs="Times New Roman"/>
          <w:color w:val="000000"/>
          <w:szCs w:val="24"/>
        </w:rPr>
        <w:t xml:space="preserve"> gözlendi (p&lt;0,001) (Tablo 14) </w:t>
      </w:r>
      <w:r w:rsidR="0030279F">
        <w:rPr>
          <w:rFonts w:cs="Times New Roman"/>
          <w:color w:val="000000"/>
          <w:szCs w:val="24"/>
        </w:rPr>
        <w:t xml:space="preserve">(Şekil 74). </w:t>
      </w:r>
    </w:p>
    <w:p w:rsidR="002B3673" w:rsidRDefault="002B3673" w:rsidP="002B3673">
      <w:pPr>
        <w:rPr>
          <w:rFonts w:cs="Times New Roman"/>
          <w:color w:val="000000"/>
          <w:szCs w:val="24"/>
        </w:rPr>
      </w:pPr>
    </w:p>
    <w:p w:rsidR="002B3673" w:rsidRDefault="004C3E69" w:rsidP="00967259">
      <w:pPr>
        <w:ind w:firstLine="0"/>
        <w:rPr>
          <w:rFonts w:cs="Times New Roman"/>
          <w:color w:val="000000"/>
          <w:szCs w:val="24"/>
        </w:rPr>
      </w:pPr>
      <w:r>
        <w:rPr>
          <w:rFonts w:cs="Times New Roman"/>
          <w:b/>
          <w:color w:val="000000"/>
          <w:szCs w:val="24"/>
        </w:rPr>
        <w:t>Tablo 14</w:t>
      </w:r>
      <w:r w:rsidR="002B3673">
        <w:rPr>
          <w:rFonts w:cs="Times New Roman"/>
          <w:b/>
          <w:color w:val="000000"/>
          <w:szCs w:val="24"/>
        </w:rPr>
        <w:t>.</w:t>
      </w:r>
      <w:r w:rsidR="002B3673">
        <w:rPr>
          <w:rFonts w:cs="Times New Roman"/>
          <w:color w:val="000000"/>
          <w:szCs w:val="24"/>
        </w:rPr>
        <w:t xml:space="preserve"> Normoksi altında glukozun farklı </w:t>
      </w:r>
      <w:proofErr w:type="gramStart"/>
      <w:r w:rsidR="002B3673">
        <w:rPr>
          <w:rFonts w:cs="Times New Roman"/>
          <w:color w:val="000000"/>
          <w:szCs w:val="24"/>
        </w:rPr>
        <w:t>konsantrasyonlu</w:t>
      </w:r>
      <w:proofErr w:type="gramEnd"/>
      <w:r w:rsidR="002B3673">
        <w:rPr>
          <w:rFonts w:cs="Times New Roman"/>
          <w:color w:val="000000"/>
          <w:szCs w:val="24"/>
        </w:rPr>
        <w:t xml:space="preserve"> uygulama gruplarında 3,</w:t>
      </w:r>
      <w:r w:rsidR="0088024E">
        <w:rPr>
          <w:rFonts w:cs="Times New Roman"/>
          <w:color w:val="000000"/>
          <w:szCs w:val="24"/>
        </w:rPr>
        <w:t xml:space="preserve"> </w:t>
      </w:r>
      <w:r w:rsidR="002B3673">
        <w:rPr>
          <w:rFonts w:cs="Times New Roman"/>
          <w:color w:val="000000"/>
          <w:szCs w:val="24"/>
        </w:rPr>
        <w:t>6, 12, 24 ve 48 saat inkübasyonu sonucu elde edilen glukoz tüketim miktarları ve standart hata değerleri</w:t>
      </w:r>
      <w:r w:rsidR="00C173FA">
        <w:rPr>
          <w:rFonts w:cs="Times New Roman"/>
          <w:color w:val="000000"/>
          <w:szCs w:val="24"/>
        </w:rPr>
        <w:t>.</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1371"/>
        <w:gridCol w:w="1378"/>
        <w:gridCol w:w="1371"/>
        <w:gridCol w:w="1385"/>
        <w:gridCol w:w="1378"/>
      </w:tblGrid>
      <w:tr w:rsidR="002827AB" w:rsidRPr="002827AB" w:rsidTr="00054A83">
        <w:trPr>
          <w:trHeight w:val="316"/>
        </w:trPr>
        <w:tc>
          <w:tcPr>
            <w:tcW w:w="882" w:type="dxa"/>
            <w:tcBorders>
              <w:top w:val="single" w:sz="4" w:space="0" w:color="auto"/>
              <w:bottom w:val="single" w:sz="4" w:space="0" w:color="auto"/>
            </w:tcBorders>
            <w:shd w:val="clear" w:color="auto" w:fill="FFFFFF" w:themeFill="background1"/>
            <w:noWrap/>
            <w:hideMark/>
          </w:tcPr>
          <w:p w:rsidR="002827AB" w:rsidRPr="00C173FA" w:rsidRDefault="002827AB" w:rsidP="002827AB">
            <w:pPr>
              <w:spacing w:line="240" w:lineRule="auto"/>
              <w:ind w:firstLine="0"/>
              <w:jc w:val="left"/>
              <w:rPr>
                <w:rFonts w:ascii="Calibri" w:hAnsi="Calibri"/>
              </w:rPr>
            </w:pPr>
          </w:p>
        </w:tc>
        <w:tc>
          <w:tcPr>
            <w:tcW w:w="0" w:type="auto"/>
            <w:tcBorders>
              <w:top w:val="single" w:sz="4" w:space="0" w:color="auto"/>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
                <w:color w:val="000000"/>
                <w:lang w:eastAsia="tr-TR"/>
              </w:rPr>
            </w:pPr>
            <w:r w:rsidRPr="00C173FA">
              <w:rPr>
                <w:rFonts w:eastAsia="Times New Roman"/>
                <w:b/>
                <w:color w:val="000000"/>
                <w:lang w:eastAsia="tr-TR"/>
              </w:rPr>
              <w:t>3.saat</w:t>
            </w:r>
          </w:p>
        </w:tc>
        <w:tc>
          <w:tcPr>
            <w:tcW w:w="0" w:type="auto"/>
            <w:tcBorders>
              <w:top w:val="single" w:sz="4" w:space="0" w:color="auto"/>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
                <w:color w:val="000000"/>
                <w:lang w:eastAsia="tr-TR"/>
              </w:rPr>
            </w:pPr>
            <w:r w:rsidRPr="00C173FA">
              <w:rPr>
                <w:rFonts w:eastAsia="Times New Roman"/>
                <w:b/>
                <w:color w:val="000000"/>
                <w:lang w:eastAsia="tr-TR"/>
              </w:rPr>
              <w:t>6.saat</w:t>
            </w:r>
          </w:p>
        </w:tc>
        <w:tc>
          <w:tcPr>
            <w:tcW w:w="0" w:type="auto"/>
            <w:tcBorders>
              <w:top w:val="single" w:sz="4" w:space="0" w:color="auto"/>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
                <w:color w:val="000000"/>
                <w:lang w:eastAsia="tr-TR"/>
              </w:rPr>
            </w:pPr>
            <w:r w:rsidRPr="00C173FA">
              <w:rPr>
                <w:rFonts w:eastAsia="Times New Roman"/>
                <w:b/>
                <w:color w:val="000000"/>
                <w:lang w:eastAsia="tr-TR"/>
              </w:rPr>
              <w:t>12.saat</w:t>
            </w:r>
          </w:p>
        </w:tc>
        <w:tc>
          <w:tcPr>
            <w:tcW w:w="0" w:type="auto"/>
            <w:tcBorders>
              <w:top w:val="single" w:sz="4" w:space="0" w:color="auto"/>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
                <w:color w:val="000000"/>
                <w:lang w:eastAsia="tr-TR"/>
              </w:rPr>
            </w:pPr>
            <w:r w:rsidRPr="00C173FA">
              <w:rPr>
                <w:rFonts w:eastAsia="Times New Roman"/>
                <w:b/>
                <w:color w:val="000000"/>
                <w:lang w:eastAsia="tr-TR"/>
              </w:rPr>
              <w:t>24.saat</w:t>
            </w:r>
          </w:p>
        </w:tc>
        <w:tc>
          <w:tcPr>
            <w:tcW w:w="0" w:type="auto"/>
            <w:tcBorders>
              <w:top w:val="single" w:sz="4" w:space="0" w:color="auto"/>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
                <w:color w:val="000000"/>
                <w:lang w:eastAsia="tr-TR"/>
              </w:rPr>
            </w:pPr>
            <w:r w:rsidRPr="00C173FA">
              <w:rPr>
                <w:rFonts w:eastAsia="Times New Roman"/>
                <w:b/>
                <w:color w:val="000000"/>
                <w:lang w:eastAsia="tr-TR"/>
              </w:rPr>
              <w:t>48.saat</w:t>
            </w:r>
          </w:p>
        </w:tc>
      </w:tr>
      <w:tr w:rsidR="002827AB" w:rsidRPr="002827AB" w:rsidTr="0088024E">
        <w:trPr>
          <w:trHeight w:val="378"/>
        </w:trPr>
        <w:tc>
          <w:tcPr>
            <w:tcW w:w="882" w:type="dxa"/>
            <w:tcBorders>
              <w:top w:val="single" w:sz="4" w:space="0" w:color="auto"/>
            </w:tcBorders>
            <w:shd w:val="clear" w:color="auto" w:fill="FFFFFF" w:themeFill="background1"/>
            <w:noWrap/>
            <w:hideMark/>
          </w:tcPr>
          <w:p w:rsidR="002827AB" w:rsidRPr="00C173FA" w:rsidRDefault="002827AB" w:rsidP="002827AB">
            <w:pPr>
              <w:spacing w:line="240" w:lineRule="auto"/>
              <w:ind w:firstLine="0"/>
              <w:jc w:val="center"/>
              <w:rPr>
                <w:rFonts w:eastAsia="Times New Roman"/>
                <w:b/>
                <w:lang w:eastAsia="tr-TR"/>
              </w:rPr>
            </w:pPr>
            <w:r w:rsidRPr="00C173FA">
              <w:rPr>
                <w:rFonts w:eastAsia="Times New Roman"/>
                <w:b/>
                <w:lang w:eastAsia="tr-TR"/>
              </w:rPr>
              <w:t>0mM</w:t>
            </w:r>
          </w:p>
        </w:tc>
        <w:tc>
          <w:tcPr>
            <w:tcW w:w="0" w:type="auto"/>
            <w:tcBorders>
              <w:top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0,00±0,147</w:t>
            </w:r>
            <w:r w:rsidRPr="00C173FA">
              <w:rPr>
                <w:rFonts w:eastAsia="Times New Roman"/>
                <w:bCs/>
                <w:color w:val="000000"/>
                <w:sz w:val="20"/>
                <w:vertAlign w:val="superscript"/>
                <w:lang w:eastAsia="tr-TR"/>
              </w:rPr>
              <w:t>A</w:t>
            </w:r>
          </w:p>
        </w:tc>
        <w:tc>
          <w:tcPr>
            <w:tcW w:w="0" w:type="auto"/>
            <w:tcBorders>
              <w:top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0,01±0,000</w:t>
            </w:r>
            <w:r w:rsidRPr="00C173FA">
              <w:rPr>
                <w:rFonts w:eastAsia="Times New Roman"/>
                <w:bCs/>
                <w:color w:val="000000"/>
                <w:sz w:val="20"/>
                <w:vertAlign w:val="superscript"/>
                <w:lang w:eastAsia="tr-TR"/>
              </w:rPr>
              <w:t>A</w:t>
            </w:r>
          </w:p>
        </w:tc>
        <w:tc>
          <w:tcPr>
            <w:tcW w:w="0" w:type="auto"/>
            <w:tcBorders>
              <w:top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0,00±0,000</w:t>
            </w:r>
            <w:r w:rsidRPr="00C173FA">
              <w:rPr>
                <w:rFonts w:eastAsia="Times New Roman"/>
                <w:bCs/>
                <w:color w:val="000000"/>
                <w:sz w:val="20"/>
                <w:vertAlign w:val="superscript"/>
                <w:lang w:eastAsia="tr-TR"/>
              </w:rPr>
              <w:t>A</w:t>
            </w:r>
          </w:p>
        </w:tc>
        <w:tc>
          <w:tcPr>
            <w:tcW w:w="0" w:type="auto"/>
            <w:tcBorders>
              <w:top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0,00±0,000</w:t>
            </w:r>
            <w:r w:rsidRPr="00C173FA">
              <w:rPr>
                <w:rFonts w:eastAsia="Times New Roman"/>
                <w:bCs/>
                <w:color w:val="000000"/>
                <w:sz w:val="20"/>
                <w:vertAlign w:val="superscript"/>
                <w:lang w:eastAsia="tr-TR"/>
              </w:rPr>
              <w:t>A</w:t>
            </w:r>
          </w:p>
        </w:tc>
        <w:tc>
          <w:tcPr>
            <w:tcW w:w="0" w:type="auto"/>
            <w:tcBorders>
              <w:top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0,00±0,000</w:t>
            </w:r>
            <w:r w:rsidRPr="00C173FA">
              <w:rPr>
                <w:rFonts w:eastAsia="Times New Roman"/>
                <w:bCs/>
                <w:color w:val="000000"/>
                <w:sz w:val="20"/>
                <w:vertAlign w:val="superscript"/>
                <w:lang w:eastAsia="tr-TR"/>
              </w:rPr>
              <w:t>A</w:t>
            </w:r>
          </w:p>
        </w:tc>
      </w:tr>
      <w:tr w:rsidR="002827AB" w:rsidRPr="002827AB" w:rsidTr="0088024E">
        <w:trPr>
          <w:trHeight w:val="378"/>
        </w:trPr>
        <w:tc>
          <w:tcPr>
            <w:tcW w:w="882" w:type="dxa"/>
            <w:shd w:val="clear" w:color="auto" w:fill="FFFFFF" w:themeFill="background1"/>
            <w:noWrap/>
            <w:hideMark/>
          </w:tcPr>
          <w:p w:rsidR="002827AB" w:rsidRPr="00C173FA" w:rsidRDefault="002827AB" w:rsidP="002827AB">
            <w:pPr>
              <w:spacing w:line="240" w:lineRule="auto"/>
              <w:ind w:firstLine="0"/>
              <w:jc w:val="center"/>
              <w:rPr>
                <w:rFonts w:eastAsia="Times New Roman"/>
                <w:b/>
                <w:lang w:eastAsia="tr-TR"/>
              </w:rPr>
            </w:pPr>
            <w:r w:rsidRPr="00C173FA">
              <w:rPr>
                <w:rFonts w:eastAsia="Times New Roman"/>
                <w:b/>
                <w:lang w:eastAsia="tr-TR"/>
              </w:rPr>
              <w:t>5.5mM</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0,26±0,045</w:t>
            </w:r>
            <w:r w:rsidRPr="00C173FA">
              <w:rPr>
                <w:rFonts w:eastAsia="Times New Roman"/>
                <w:bCs/>
                <w:color w:val="000000"/>
                <w:sz w:val="20"/>
                <w:vertAlign w:val="superscript"/>
                <w:lang w:eastAsia="tr-TR"/>
              </w:rPr>
              <w:t>aA</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1,11±0,035</w:t>
            </w:r>
            <w:r w:rsidRPr="00C173FA">
              <w:rPr>
                <w:rFonts w:eastAsia="Times New Roman"/>
                <w:bCs/>
                <w:color w:val="000000"/>
                <w:sz w:val="20"/>
                <w:vertAlign w:val="superscript"/>
                <w:lang w:eastAsia="tr-TR"/>
              </w:rPr>
              <w:t>bB</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0,67±0,208</w:t>
            </w:r>
            <w:r w:rsidRPr="00C173FA">
              <w:rPr>
                <w:rFonts w:eastAsia="Times New Roman"/>
                <w:bCs/>
                <w:color w:val="000000"/>
                <w:sz w:val="20"/>
                <w:vertAlign w:val="superscript"/>
                <w:lang w:eastAsia="tr-TR"/>
              </w:rPr>
              <w:t>abA</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2,29±0,072</w:t>
            </w:r>
            <w:r w:rsidRPr="00C173FA">
              <w:rPr>
                <w:rFonts w:eastAsia="Times New Roman"/>
                <w:bCs/>
                <w:color w:val="000000"/>
                <w:sz w:val="20"/>
                <w:vertAlign w:val="superscript"/>
                <w:lang w:eastAsia="tr-TR"/>
              </w:rPr>
              <w:t>cB</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5,22±0,005</w:t>
            </w:r>
            <w:r w:rsidRPr="00C173FA">
              <w:rPr>
                <w:rFonts w:eastAsia="Times New Roman"/>
                <w:bCs/>
                <w:color w:val="000000"/>
                <w:sz w:val="20"/>
                <w:vertAlign w:val="superscript"/>
                <w:lang w:eastAsia="tr-TR"/>
              </w:rPr>
              <w:t>dB</w:t>
            </w:r>
          </w:p>
        </w:tc>
      </w:tr>
      <w:tr w:rsidR="002827AB" w:rsidRPr="002827AB" w:rsidTr="00054A83">
        <w:trPr>
          <w:trHeight w:val="378"/>
        </w:trPr>
        <w:tc>
          <w:tcPr>
            <w:tcW w:w="882" w:type="dxa"/>
            <w:shd w:val="clear" w:color="auto" w:fill="FFFFFF" w:themeFill="background1"/>
            <w:noWrap/>
            <w:hideMark/>
          </w:tcPr>
          <w:p w:rsidR="002827AB" w:rsidRPr="00C173FA" w:rsidRDefault="002827AB" w:rsidP="002827AB">
            <w:pPr>
              <w:spacing w:line="240" w:lineRule="auto"/>
              <w:ind w:firstLine="0"/>
              <w:jc w:val="center"/>
              <w:rPr>
                <w:rFonts w:eastAsia="Times New Roman"/>
                <w:b/>
                <w:lang w:eastAsia="tr-TR"/>
              </w:rPr>
            </w:pPr>
            <w:r w:rsidRPr="00C173FA">
              <w:rPr>
                <w:rFonts w:eastAsia="Times New Roman"/>
                <w:b/>
                <w:lang w:eastAsia="tr-TR"/>
              </w:rPr>
              <w:t>15mM</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0,46±0,000</w:t>
            </w:r>
            <w:r w:rsidRPr="00C173FA">
              <w:rPr>
                <w:rFonts w:eastAsia="Times New Roman"/>
                <w:bCs/>
                <w:color w:val="000000"/>
                <w:sz w:val="20"/>
                <w:vertAlign w:val="superscript"/>
                <w:lang w:eastAsia="tr-TR"/>
              </w:rPr>
              <w:t>aA</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0,57±0,208</w:t>
            </w:r>
            <w:r w:rsidRPr="00C173FA">
              <w:rPr>
                <w:rFonts w:eastAsia="Times New Roman"/>
                <w:bCs/>
                <w:color w:val="000000"/>
                <w:sz w:val="20"/>
                <w:vertAlign w:val="superscript"/>
                <w:lang w:eastAsia="tr-TR"/>
              </w:rPr>
              <w:t>abB</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2,92±0,046</w:t>
            </w:r>
            <w:r w:rsidRPr="00C173FA">
              <w:rPr>
                <w:rFonts w:eastAsia="Times New Roman"/>
                <w:bCs/>
                <w:color w:val="000000"/>
                <w:sz w:val="20"/>
                <w:vertAlign w:val="superscript"/>
                <w:lang w:eastAsia="tr-TR"/>
              </w:rPr>
              <w:t>cB</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4,52±0,153</w:t>
            </w:r>
            <w:r w:rsidRPr="00C173FA">
              <w:rPr>
                <w:rFonts w:eastAsia="Times New Roman"/>
                <w:bCs/>
                <w:color w:val="000000"/>
                <w:sz w:val="20"/>
                <w:vertAlign w:val="superscript"/>
                <w:lang w:eastAsia="tr-TR"/>
              </w:rPr>
              <w:t>dC</w:t>
            </w:r>
          </w:p>
        </w:tc>
        <w:tc>
          <w:tcPr>
            <w:tcW w:w="0" w:type="auto"/>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1,39±0,005</w:t>
            </w:r>
            <w:r w:rsidRPr="00C173FA">
              <w:rPr>
                <w:rFonts w:eastAsia="Times New Roman"/>
                <w:bCs/>
                <w:color w:val="000000"/>
                <w:sz w:val="20"/>
                <w:vertAlign w:val="superscript"/>
                <w:lang w:eastAsia="tr-TR"/>
              </w:rPr>
              <w:t>bC</w:t>
            </w:r>
          </w:p>
        </w:tc>
      </w:tr>
      <w:tr w:rsidR="002827AB" w:rsidRPr="002827AB" w:rsidTr="00054A83">
        <w:trPr>
          <w:trHeight w:val="378"/>
        </w:trPr>
        <w:tc>
          <w:tcPr>
            <w:tcW w:w="882" w:type="dxa"/>
            <w:tcBorders>
              <w:bottom w:val="single" w:sz="4" w:space="0" w:color="auto"/>
            </w:tcBorders>
            <w:shd w:val="clear" w:color="auto" w:fill="FFFFFF" w:themeFill="background1"/>
            <w:noWrap/>
            <w:hideMark/>
          </w:tcPr>
          <w:p w:rsidR="002827AB" w:rsidRPr="00C173FA" w:rsidRDefault="002827AB" w:rsidP="002827AB">
            <w:pPr>
              <w:spacing w:line="240" w:lineRule="auto"/>
              <w:ind w:firstLine="0"/>
              <w:jc w:val="center"/>
              <w:rPr>
                <w:rFonts w:eastAsia="Times New Roman"/>
                <w:b/>
                <w:lang w:eastAsia="tr-TR"/>
              </w:rPr>
            </w:pPr>
            <w:r w:rsidRPr="00C173FA">
              <w:rPr>
                <w:rFonts w:eastAsia="Times New Roman"/>
                <w:b/>
                <w:lang w:eastAsia="tr-TR"/>
              </w:rPr>
              <w:t>55mM</w:t>
            </w:r>
          </w:p>
        </w:tc>
        <w:tc>
          <w:tcPr>
            <w:tcW w:w="0" w:type="auto"/>
            <w:tcBorders>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27,33±0,057</w:t>
            </w:r>
            <w:r w:rsidRPr="00C173FA">
              <w:rPr>
                <w:rFonts w:eastAsia="Times New Roman"/>
                <w:bCs/>
                <w:color w:val="000000"/>
                <w:sz w:val="20"/>
                <w:vertAlign w:val="superscript"/>
                <w:lang w:eastAsia="tr-TR"/>
              </w:rPr>
              <w:t>aB</w:t>
            </w:r>
          </w:p>
        </w:tc>
        <w:tc>
          <w:tcPr>
            <w:tcW w:w="0" w:type="auto"/>
            <w:tcBorders>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13,92±0,057</w:t>
            </w:r>
            <w:r w:rsidRPr="00C173FA">
              <w:rPr>
                <w:rFonts w:eastAsia="Times New Roman"/>
                <w:bCs/>
                <w:color w:val="000000"/>
                <w:sz w:val="20"/>
                <w:vertAlign w:val="superscript"/>
                <w:lang w:eastAsia="tr-TR"/>
              </w:rPr>
              <w:t>bC</w:t>
            </w:r>
          </w:p>
        </w:tc>
        <w:tc>
          <w:tcPr>
            <w:tcW w:w="0" w:type="auto"/>
            <w:tcBorders>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37,47±0,060</w:t>
            </w:r>
            <w:r w:rsidRPr="00C173FA">
              <w:rPr>
                <w:rFonts w:eastAsia="Times New Roman"/>
                <w:bCs/>
                <w:color w:val="000000"/>
                <w:sz w:val="20"/>
                <w:vertAlign w:val="superscript"/>
                <w:lang w:eastAsia="tr-TR"/>
              </w:rPr>
              <w:t>cC</w:t>
            </w:r>
          </w:p>
        </w:tc>
        <w:tc>
          <w:tcPr>
            <w:tcW w:w="0" w:type="auto"/>
            <w:tcBorders>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18,02±0,010</w:t>
            </w:r>
            <w:r w:rsidRPr="00C173FA">
              <w:rPr>
                <w:rFonts w:eastAsia="Times New Roman"/>
                <w:bCs/>
                <w:color w:val="000000"/>
                <w:sz w:val="20"/>
                <w:vertAlign w:val="superscript"/>
                <w:lang w:eastAsia="tr-TR"/>
              </w:rPr>
              <w:t>dD</w:t>
            </w:r>
          </w:p>
        </w:tc>
        <w:tc>
          <w:tcPr>
            <w:tcW w:w="0" w:type="auto"/>
            <w:tcBorders>
              <w:bottom w:val="single" w:sz="4" w:space="0" w:color="auto"/>
            </w:tcBorders>
            <w:shd w:val="clear" w:color="auto" w:fill="FFFFFF" w:themeFill="background1"/>
            <w:noWrap/>
            <w:hideMark/>
          </w:tcPr>
          <w:p w:rsidR="002827AB" w:rsidRPr="00C173FA" w:rsidRDefault="002827AB" w:rsidP="0088024E">
            <w:pPr>
              <w:spacing w:line="240" w:lineRule="auto"/>
              <w:ind w:firstLine="0"/>
              <w:jc w:val="center"/>
              <w:rPr>
                <w:rFonts w:eastAsia="Times New Roman"/>
                <w:bCs/>
                <w:color w:val="000000"/>
                <w:sz w:val="20"/>
                <w:lang w:eastAsia="tr-TR"/>
              </w:rPr>
            </w:pPr>
            <w:r w:rsidRPr="00C173FA">
              <w:rPr>
                <w:rFonts w:eastAsia="Times New Roman"/>
                <w:bCs/>
                <w:color w:val="000000"/>
                <w:sz w:val="20"/>
                <w:lang w:eastAsia="tr-TR"/>
              </w:rPr>
              <w:t>12,09±0,005</w:t>
            </w:r>
            <w:r w:rsidRPr="00C173FA">
              <w:rPr>
                <w:rFonts w:eastAsia="Times New Roman"/>
                <w:bCs/>
                <w:color w:val="000000"/>
                <w:sz w:val="20"/>
                <w:vertAlign w:val="superscript"/>
                <w:lang w:eastAsia="tr-TR"/>
              </w:rPr>
              <w:t>eD</w:t>
            </w:r>
          </w:p>
        </w:tc>
      </w:tr>
    </w:tbl>
    <w:p w:rsidR="004657C4" w:rsidRPr="001B5AA1" w:rsidRDefault="004657C4" w:rsidP="004657C4">
      <w:pPr>
        <w:ind w:firstLine="0"/>
        <w:rPr>
          <w:rFonts w:cs="Times New Roman"/>
          <w:color w:val="000000"/>
          <w:sz w:val="18"/>
          <w:szCs w:val="24"/>
        </w:rPr>
      </w:pPr>
      <w:r w:rsidRPr="001B5AA1">
        <w:rPr>
          <w:rFonts w:cs="Times New Roman"/>
          <w:color w:val="000000"/>
          <w:sz w:val="18"/>
          <w:szCs w:val="24"/>
        </w:rPr>
        <w:t>abcd</w:t>
      </w:r>
      <w:r>
        <w:rPr>
          <w:rFonts w:cs="Times New Roman"/>
          <w:color w:val="000000"/>
          <w:sz w:val="18"/>
          <w:szCs w:val="24"/>
        </w:rPr>
        <w:t>e</w:t>
      </w:r>
      <w:r w:rsidRPr="001B5AA1">
        <w:rPr>
          <w:rFonts w:cs="Times New Roman"/>
          <w:color w:val="000000"/>
          <w:sz w:val="18"/>
          <w:szCs w:val="24"/>
        </w:rPr>
        <w:t xml:space="preserve"> aynı satırda farklı harfler p&lt;0,001 düzeyinde önemi ifade etmektedir.</w:t>
      </w:r>
    </w:p>
    <w:p w:rsidR="004657C4" w:rsidRPr="001B5AA1" w:rsidRDefault="004657C4" w:rsidP="004657C4">
      <w:pPr>
        <w:ind w:firstLine="0"/>
        <w:rPr>
          <w:rFonts w:cs="Times New Roman"/>
          <w:color w:val="000000"/>
          <w:sz w:val="18"/>
          <w:szCs w:val="24"/>
        </w:rPr>
      </w:pPr>
      <w:r w:rsidRPr="001B5AA1">
        <w:rPr>
          <w:rFonts w:cs="Times New Roman"/>
          <w:color w:val="000000"/>
          <w:sz w:val="18"/>
          <w:szCs w:val="24"/>
        </w:rPr>
        <w:t>ABCD aynı sütunda farklı harfler p&lt;0,001 düzeyinde önemi ifade etmektedir.</w:t>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Pr>
          <w:rFonts w:cs="Times New Roman"/>
          <w:color w:val="000000"/>
          <w:szCs w:val="24"/>
        </w:rPr>
        <w:t xml:space="preserve">Hipoksik koşullarda ise 3.saate göre </w:t>
      </w:r>
      <w:proofErr w:type="gramStart"/>
      <w:r>
        <w:rPr>
          <w:rFonts w:cs="Times New Roman"/>
          <w:color w:val="000000"/>
          <w:szCs w:val="24"/>
        </w:rPr>
        <w:t>5.5</w:t>
      </w:r>
      <w:proofErr w:type="gramEnd"/>
      <w:r>
        <w:rPr>
          <w:rFonts w:cs="Times New Roman"/>
          <w:color w:val="000000"/>
          <w:szCs w:val="24"/>
        </w:rPr>
        <w:t xml:space="preserve"> mM’lık uygulamanın 12. 24. ve 48. saat,  15 mM’lık ve 55 mM’lık uygulamanın tüm inkübasyon sürelerinde glukoz tüketim miktarları arasında istatiksel olarak anlamlı farklar belirlendi (p&lt;0,001). 5.5 mM ve 15 mM glukoz uygulama gruplarının her ikisinde de 24. ve 48. saatler arasında glukoz tüketimleri arasında önemli bir</w:t>
      </w:r>
      <w:r w:rsidR="0030279F">
        <w:rPr>
          <w:rFonts w:cs="Times New Roman"/>
          <w:color w:val="000000"/>
          <w:szCs w:val="24"/>
        </w:rPr>
        <w:t xml:space="preserve"> fark tesp</w:t>
      </w:r>
      <w:r w:rsidR="0075651D">
        <w:rPr>
          <w:rFonts w:cs="Times New Roman"/>
          <w:color w:val="000000"/>
          <w:szCs w:val="24"/>
        </w:rPr>
        <w:t>it edilmedi (p&gt;0,05) (Tablo 15)</w:t>
      </w:r>
      <w:r w:rsidR="0030279F">
        <w:rPr>
          <w:rFonts w:cs="Times New Roman"/>
          <w:color w:val="000000"/>
          <w:szCs w:val="24"/>
        </w:rPr>
        <w:t xml:space="preserve"> (Şekil 75). </w:t>
      </w:r>
    </w:p>
    <w:p w:rsidR="002B3673" w:rsidRDefault="00D12989" w:rsidP="002B3673">
      <w:pPr>
        <w:rPr>
          <w:rFonts w:cs="Times New Roman"/>
          <w:color w:val="000000"/>
          <w:szCs w:val="24"/>
        </w:rPr>
      </w:pPr>
      <w:r>
        <w:rPr>
          <w:rFonts w:cs="Times New Roman"/>
          <w:color w:val="000000"/>
          <w:szCs w:val="24"/>
        </w:rPr>
        <w:t xml:space="preserve">Glukozun hücre içine girişinin </w:t>
      </w:r>
      <w:proofErr w:type="gramStart"/>
      <w:r>
        <w:rPr>
          <w:rFonts w:cs="Times New Roman"/>
          <w:color w:val="000000"/>
          <w:szCs w:val="24"/>
        </w:rPr>
        <w:t>5.5</w:t>
      </w:r>
      <w:proofErr w:type="gramEnd"/>
      <w:r>
        <w:rPr>
          <w:rFonts w:cs="Times New Roman"/>
          <w:color w:val="000000"/>
          <w:szCs w:val="24"/>
        </w:rPr>
        <w:t xml:space="preserve"> ve 15 mM glukoz ortamında 6.saatte, 55 mM glukoz ortamında ise 3.saatte önem kazandığı görüldü (p&lt;0,001). </w:t>
      </w:r>
      <w:r w:rsidR="002B3673">
        <w:rPr>
          <w:rFonts w:cs="Times New Roman"/>
          <w:color w:val="000000"/>
          <w:szCs w:val="24"/>
        </w:rPr>
        <w:t xml:space="preserve">Yüksek ve düşük glukoz ilavesinin </w:t>
      </w:r>
      <w:r w:rsidR="002B3673">
        <w:rPr>
          <w:rFonts w:cs="Times New Roman"/>
          <w:color w:val="000000"/>
          <w:szCs w:val="24"/>
        </w:rPr>
        <w:lastRenderedPageBreak/>
        <w:t xml:space="preserve">glukoz tüketimi üzerine etkisi incelendiğinde hem normoksik hem de hipoksik koşullarda glukoz </w:t>
      </w:r>
      <w:proofErr w:type="gramStart"/>
      <w:r w:rsidR="002B3673">
        <w:rPr>
          <w:rFonts w:cs="Times New Roman"/>
          <w:color w:val="000000"/>
          <w:szCs w:val="24"/>
        </w:rPr>
        <w:t>konsantrasyonundaki</w:t>
      </w:r>
      <w:proofErr w:type="gramEnd"/>
      <w:r w:rsidR="002B3673">
        <w:rPr>
          <w:rFonts w:cs="Times New Roman"/>
          <w:color w:val="000000"/>
          <w:szCs w:val="24"/>
        </w:rPr>
        <w:t xml:space="preserve"> artışa bağlı olarak glukoz tüketiminin arttığı saptandı. </w:t>
      </w:r>
    </w:p>
    <w:p w:rsidR="002B3673" w:rsidRDefault="002B3673" w:rsidP="002B3673">
      <w:pPr>
        <w:rPr>
          <w:rFonts w:cs="Times New Roman"/>
          <w:color w:val="000000"/>
          <w:szCs w:val="24"/>
        </w:rPr>
      </w:pPr>
    </w:p>
    <w:p w:rsidR="002B3673" w:rsidRDefault="004C3E69" w:rsidP="00967259">
      <w:pPr>
        <w:ind w:firstLine="0"/>
        <w:rPr>
          <w:rFonts w:cs="Times New Roman"/>
          <w:color w:val="000000"/>
          <w:szCs w:val="24"/>
        </w:rPr>
      </w:pPr>
      <w:r>
        <w:rPr>
          <w:rFonts w:cs="Times New Roman"/>
          <w:b/>
          <w:color w:val="000000"/>
          <w:szCs w:val="24"/>
        </w:rPr>
        <w:t>Tablo 15</w:t>
      </w:r>
      <w:r w:rsidR="002B3673">
        <w:rPr>
          <w:rFonts w:cs="Times New Roman"/>
          <w:b/>
          <w:color w:val="000000"/>
          <w:szCs w:val="24"/>
        </w:rPr>
        <w:t>.</w:t>
      </w:r>
      <w:r w:rsidR="002B3673">
        <w:rPr>
          <w:rFonts w:cs="Times New Roman"/>
          <w:color w:val="000000"/>
          <w:szCs w:val="24"/>
        </w:rPr>
        <w:t xml:space="preserve"> Hipoksi altında glukozun farklı </w:t>
      </w:r>
      <w:proofErr w:type="gramStart"/>
      <w:r w:rsidR="002B3673">
        <w:rPr>
          <w:rFonts w:cs="Times New Roman"/>
          <w:color w:val="000000"/>
          <w:szCs w:val="24"/>
        </w:rPr>
        <w:t>konsantrasyonlu</w:t>
      </w:r>
      <w:proofErr w:type="gramEnd"/>
      <w:r w:rsidR="002B3673">
        <w:rPr>
          <w:rFonts w:cs="Times New Roman"/>
          <w:color w:val="000000"/>
          <w:szCs w:val="24"/>
        </w:rPr>
        <w:t xml:space="preserve"> uygulama gruplarında 3,</w:t>
      </w:r>
      <w:r w:rsidR="00C173FA">
        <w:rPr>
          <w:rFonts w:cs="Times New Roman"/>
          <w:color w:val="000000"/>
          <w:szCs w:val="24"/>
        </w:rPr>
        <w:t xml:space="preserve"> </w:t>
      </w:r>
      <w:r w:rsidR="002B3673">
        <w:rPr>
          <w:rFonts w:cs="Times New Roman"/>
          <w:color w:val="000000"/>
          <w:szCs w:val="24"/>
        </w:rPr>
        <w:t>6, 12, 24 ve 48 saat inkübasyonu sonucu elde edilen glukoz tüketim miktarları ve standart hata değerleri</w:t>
      </w:r>
      <w:r w:rsidR="00C173FA">
        <w:rPr>
          <w:rFonts w:cs="Times New Roman"/>
          <w:color w:val="000000"/>
          <w:szCs w:val="24"/>
        </w:rPr>
        <w:t>.</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1371"/>
        <w:gridCol w:w="1385"/>
        <w:gridCol w:w="1371"/>
        <w:gridCol w:w="1278"/>
        <w:gridCol w:w="1278"/>
      </w:tblGrid>
      <w:tr w:rsidR="002827AB" w:rsidRPr="002827AB" w:rsidTr="00054A83">
        <w:trPr>
          <w:trHeight w:val="323"/>
        </w:trPr>
        <w:tc>
          <w:tcPr>
            <w:tcW w:w="882" w:type="dxa"/>
            <w:tcBorders>
              <w:top w:val="single" w:sz="4" w:space="0" w:color="auto"/>
              <w:bottom w:val="single" w:sz="4" w:space="0" w:color="auto"/>
            </w:tcBorders>
            <w:shd w:val="clear" w:color="auto" w:fill="FFFFFF" w:themeFill="background1"/>
            <w:noWrap/>
            <w:hideMark/>
          </w:tcPr>
          <w:p w:rsidR="002827AB" w:rsidRPr="002827AB" w:rsidRDefault="002827AB" w:rsidP="002827AB">
            <w:pPr>
              <w:spacing w:line="240" w:lineRule="auto"/>
              <w:ind w:firstLine="0"/>
              <w:jc w:val="left"/>
              <w:rPr>
                <w:rFonts w:ascii="Calibri" w:hAnsi="Calibri"/>
                <w:sz w:val="20"/>
              </w:rPr>
            </w:pPr>
          </w:p>
        </w:tc>
        <w:tc>
          <w:tcPr>
            <w:tcW w:w="0" w:type="auto"/>
            <w:tcBorders>
              <w:top w:val="single" w:sz="4" w:space="0" w:color="auto"/>
              <w:bottom w:val="single" w:sz="4" w:space="0" w:color="auto"/>
            </w:tcBorders>
            <w:shd w:val="clear" w:color="auto" w:fill="FFFFFF" w:themeFill="background1"/>
            <w:noWrap/>
            <w:hideMark/>
          </w:tcPr>
          <w:p w:rsidR="002827AB" w:rsidRPr="00C173FA" w:rsidRDefault="00C173FA" w:rsidP="00C173FA">
            <w:pPr>
              <w:spacing w:line="240" w:lineRule="auto"/>
              <w:ind w:firstLine="0"/>
              <w:jc w:val="center"/>
              <w:rPr>
                <w:rFonts w:eastAsia="Times New Roman"/>
                <w:b/>
                <w:color w:val="000000"/>
                <w:szCs w:val="24"/>
                <w:lang w:eastAsia="tr-TR"/>
              </w:rPr>
            </w:pPr>
            <w:r w:rsidRPr="00C173FA">
              <w:rPr>
                <w:rFonts w:eastAsia="Times New Roman"/>
                <w:b/>
                <w:color w:val="000000"/>
                <w:szCs w:val="24"/>
                <w:lang w:eastAsia="tr-TR"/>
              </w:rPr>
              <w:t>3.S</w:t>
            </w:r>
            <w:r w:rsidR="002827AB" w:rsidRPr="00C173FA">
              <w:rPr>
                <w:rFonts w:eastAsia="Times New Roman"/>
                <w:b/>
                <w:color w:val="000000"/>
                <w:szCs w:val="24"/>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C173FA" w:rsidRDefault="00C173FA" w:rsidP="00C173FA">
            <w:pPr>
              <w:spacing w:line="240" w:lineRule="auto"/>
              <w:ind w:firstLine="0"/>
              <w:jc w:val="center"/>
              <w:rPr>
                <w:rFonts w:eastAsia="Times New Roman"/>
                <w:b/>
                <w:color w:val="000000"/>
                <w:szCs w:val="24"/>
                <w:lang w:eastAsia="tr-TR"/>
              </w:rPr>
            </w:pPr>
            <w:r w:rsidRPr="00C173FA">
              <w:rPr>
                <w:rFonts w:eastAsia="Times New Roman"/>
                <w:b/>
                <w:color w:val="000000"/>
                <w:szCs w:val="24"/>
                <w:lang w:eastAsia="tr-TR"/>
              </w:rPr>
              <w:t>6.S</w:t>
            </w:r>
            <w:r w:rsidR="002827AB" w:rsidRPr="00C173FA">
              <w:rPr>
                <w:rFonts w:eastAsia="Times New Roman"/>
                <w:b/>
                <w:color w:val="000000"/>
                <w:szCs w:val="24"/>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C173FA" w:rsidRDefault="00C173FA" w:rsidP="00C173FA">
            <w:pPr>
              <w:spacing w:line="240" w:lineRule="auto"/>
              <w:ind w:firstLine="0"/>
              <w:jc w:val="center"/>
              <w:rPr>
                <w:rFonts w:eastAsia="Times New Roman"/>
                <w:b/>
                <w:color w:val="000000"/>
                <w:szCs w:val="24"/>
                <w:lang w:eastAsia="tr-TR"/>
              </w:rPr>
            </w:pPr>
            <w:r w:rsidRPr="00C173FA">
              <w:rPr>
                <w:rFonts w:eastAsia="Times New Roman"/>
                <w:b/>
                <w:color w:val="000000"/>
                <w:szCs w:val="24"/>
                <w:lang w:eastAsia="tr-TR"/>
              </w:rPr>
              <w:t>12.S</w:t>
            </w:r>
            <w:r w:rsidR="002827AB" w:rsidRPr="00C173FA">
              <w:rPr>
                <w:rFonts w:eastAsia="Times New Roman"/>
                <w:b/>
                <w:color w:val="000000"/>
                <w:szCs w:val="24"/>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C173FA" w:rsidRDefault="00C173FA" w:rsidP="00C173FA">
            <w:pPr>
              <w:spacing w:line="240" w:lineRule="auto"/>
              <w:ind w:firstLine="0"/>
              <w:jc w:val="center"/>
              <w:rPr>
                <w:rFonts w:eastAsia="Times New Roman"/>
                <w:b/>
                <w:color w:val="000000"/>
                <w:szCs w:val="24"/>
                <w:lang w:eastAsia="tr-TR"/>
              </w:rPr>
            </w:pPr>
            <w:r w:rsidRPr="00C173FA">
              <w:rPr>
                <w:rFonts w:eastAsia="Times New Roman"/>
                <w:b/>
                <w:color w:val="000000"/>
                <w:szCs w:val="24"/>
                <w:lang w:eastAsia="tr-TR"/>
              </w:rPr>
              <w:t>24.S</w:t>
            </w:r>
            <w:r w:rsidR="002827AB" w:rsidRPr="00C173FA">
              <w:rPr>
                <w:rFonts w:eastAsia="Times New Roman"/>
                <w:b/>
                <w:color w:val="000000"/>
                <w:szCs w:val="24"/>
                <w:lang w:eastAsia="tr-TR"/>
              </w:rPr>
              <w:t>aat</w:t>
            </w:r>
          </w:p>
        </w:tc>
        <w:tc>
          <w:tcPr>
            <w:tcW w:w="0" w:type="auto"/>
            <w:tcBorders>
              <w:top w:val="single" w:sz="4" w:space="0" w:color="auto"/>
              <w:bottom w:val="single" w:sz="4" w:space="0" w:color="auto"/>
            </w:tcBorders>
            <w:shd w:val="clear" w:color="auto" w:fill="FFFFFF" w:themeFill="background1"/>
            <w:noWrap/>
            <w:hideMark/>
          </w:tcPr>
          <w:p w:rsidR="002827AB" w:rsidRPr="00C173FA" w:rsidRDefault="00C173FA" w:rsidP="00C173FA">
            <w:pPr>
              <w:spacing w:line="240" w:lineRule="auto"/>
              <w:ind w:firstLine="0"/>
              <w:jc w:val="center"/>
              <w:rPr>
                <w:rFonts w:eastAsia="Times New Roman"/>
                <w:b/>
                <w:color w:val="000000"/>
                <w:szCs w:val="24"/>
                <w:lang w:eastAsia="tr-TR"/>
              </w:rPr>
            </w:pPr>
            <w:r w:rsidRPr="00C173FA">
              <w:rPr>
                <w:rFonts w:eastAsia="Times New Roman"/>
                <w:b/>
                <w:color w:val="000000"/>
                <w:szCs w:val="24"/>
                <w:lang w:eastAsia="tr-TR"/>
              </w:rPr>
              <w:t>48.S</w:t>
            </w:r>
            <w:r w:rsidR="002827AB" w:rsidRPr="00C173FA">
              <w:rPr>
                <w:rFonts w:eastAsia="Times New Roman"/>
                <w:b/>
                <w:color w:val="000000"/>
                <w:szCs w:val="24"/>
                <w:lang w:eastAsia="tr-TR"/>
              </w:rPr>
              <w:t>aat</w:t>
            </w:r>
          </w:p>
        </w:tc>
      </w:tr>
      <w:tr w:rsidR="002827AB" w:rsidRPr="002827AB" w:rsidTr="00C173FA">
        <w:trPr>
          <w:trHeight w:val="387"/>
        </w:trPr>
        <w:tc>
          <w:tcPr>
            <w:tcW w:w="882" w:type="dxa"/>
            <w:tcBorders>
              <w:top w:val="single" w:sz="4" w:space="0" w:color="auto"/>
            </w:tcBorders>
            <w:shd w:val="clear" w:color="auto" w:fill="FFFFFF" w:themeFill="background1"/>
            <w:noWrap/>
            <w:hideMark/>
          </w:tcPr>
          <w:p w:rsidR="002827AB" w:rsidRPr="00C173FA" w:rsidRDefault="002827AB" w:rsidP="002827AB">
            <w:pPr>
              <w:spacing w:line="240" w:lineRule="auto"/>
              <w:ind w:firstLine="0"/>
              <w:jc w:val="center"/>
              <w:rPr>
                <w:rFonts w:eastAsia="Times New Roman"/>
                <w:b/>
                <w:szCs w:val="24"/>
                <w:lang w:eastAsia="tr-TR"/>
              </w:rPr>
            </w:pPr>
            <w:r w:rsidRPr="00C173FA">
              <w:rPr>
                <w:rFonts w:eastAsia="Times New Roman"/>
                <w:b/>
                <w:szCs w:val="24"/>
                <w:lang w:eastAsia="tr-TR"/>
              </w:rPr>
              <w:t>0mM</w:t>
            </w:r>
          </w:p>
        </w:tc>
        <w:tc>
          <w:tcPr>
            <w:tcW w:w="0" w:type="auto"/>
            <w:tcBorders>
              <w:top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0,00±0,278</w:t>
            </w:r>
            <w:r w:rsidRPr="00C173FA">
              <w:rPr>
                <w:rFonts w:eastAsia="Times New Roman"/>
                <w:bCs/>
                <w:color w:val="000000"/>
                <w:sz w:val="20"/>
                <w:szCs w:val="24"/>
                <w:vertAlign w:val="superscript"/>
                <w:lang w:eastAsia="tr-TR"/>
              </w:rPr>
              <w:t>A</w:t>
            </w:r>
          </w:p>
        </w:tc>
        <w:tc>
          <w:tcPr>
            <w:tcW w:w="0" w:type="auto"/>
            <w:tcBorders>
              <w:top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0,00±0,000</w:t>
            </w:r>
            <w:r w:rsidRPr="00C173FA">
              <w:rPr>
                <w:rFonts w:eastAsia="Times New Roman"/>
                <w:bCs/>
                <w:color w:val="000000"/>
                <w:sz w:val="20"/>
                <w:szCs w:val="24"/>
                <w:vertAlign w:val="superscript"/>
                <w:lang w:eastAsia="tr-TR"/>
              </w:rPr>
              <w:t>A</w:t>
            </w:r>
          </w:p>
        </w:tc>
        <w:tc>
          <w:tcPr>
            <w:tcW w:w="0" w:type="auto"/>
            <w:tcBorders>
              <w:top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0,00±0,000</w:t>
            </w:r>
            <w:r w:rsidRPr="00C173FA">
              <w:rPr>
                <w:rFonts w:eastAsia="Times New Roman"/>
                <w:bCs/>
                <w:color w:val="000000"/>
                <w:sz w:val="20"/>
                <w:szCs w:val="24"/>
                <w:vertAlign w:val="superscript"/>
                <w:lang w:eastAsia="tr-TR"/>
              </w:rPr>
              <w:t>A</w:t>
            </w:r>
          </w:p>
        </w:tc>
        <w:tc>
          <w:tcPr>
            <w:tcW w:w="0" w:type="auto"/>
            <w:tcBorders>
              <w:top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0,00±0,000</w:t>
            </w:r>
            <w:r w:rsidRPr="00C173FA">
              <w:rPr>
                <w:rFonts w:eastAsia="Times New Roman"/>
                <w:bCs/>
                <w:color w:val="000000"/>
                <w:sz w:val="20"/>
                <w:szCs w:val="24"/>
                <w:vertAlign w:val="superscript"/>
                <w:lang w:eastAsia="tr-TR"/>
              </w:rPr>
              <w:t>A</w:t>
            </w:r>
          </w:p>
        </w:tc>
        <w:tc>
          <w:tcPr>
            <w:tcW w:w="0" w:type="auto"/>
            <w:tcBorders>
              <w:top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0,00±0,000</w:t>
            </w:r>
            <w:r w:rsidRPr="00C173FA">
              <w:rPr>
                <w:rFonts w:eastAsia="Times New Roman"/>
                <w:bCs/>
                <w:color w:val="000000"/>
                <w:sz w:val="20"/>
                <w:szCs w:val="24"/>
                <w:vertAlign w:val="superscript"/>
                <w:lang w:eastAsia="tr-TR"/>
              </w:rPr>
              <w:t>A</w:t>
            </w:r>
          </w:p>
        </w:tc>
      </w:tr>
      <w:tr w:rsidR="002827AB" w:rsidRPr="002827AB" w:rsidTr="00C173FA">
        <w:trPr>
          <w:trHeight w:val="387"/>
        </w:trPr>
        <w:tc>
          <w:tcPr>
            <w:tcW w:w="882" w:type="dxa"/>
            <w:shd w:val="clear" w:color="auto" w:fill="FFFFFF" w:themeFill="background1"/>
            <w:noWrap/>
            <w:hideMark/>
          </w:tcPr>
          <w:p w:rsidR="002827AB" w:rsidRPr="00C173FA" w:rsidRDefault="002827AB" w:rsidP="002827AB">
            <w:pPr>
              <w:spacing w:line="240" w:lineRule="auto"/>
              <w:ind w:firstLine="0"/>
              <w:jc w:val="center"/>
              <w:rPr>
                <w:rFonts w:eastAsia="Times New Roman"/>
                <w:b/>
                <w:szCs w:val="24"/>
                <w:lang w:eastAsia="tr-TR"/>
              </w:rPr>
            </w:pPr>
            <w:r w:rsidRPr="00C173FA">
              <w:rPr>
                <w:rFonts w:eastAsia="Times New Roman"/>
                <w:b/>
                <w:szCs w:val="24"/>
                <w:lang w:eastAsia="tr-TR"/>
              </w:rPr>
              <w:t>5.5mM</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0,56±0,010</w:t>
            </w:r>
            <w:r w:rsidRPr="00C173FA">
              <w:rPr>
                <w:rFonts w:eastAsia="Times New Roman"/>
                <w:bCs/>
                <w:color w:val="000000"/>
                <w:sz w:val="20"/>
                <w:szCs w:val="24"/>
                <w:vertAlign w:val="superscript"/>
                <w:lang w:eastAsia="tr-TR"/>
              </w:rPr>
              <w:t>aA</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1,01±0,011</w:t>
            </w:r>
            <w:r w:rsidRPr="00C173FA">
              <w:rPr>
                <w:rFonts w:eastAsia="Times New Roman"/>
                <w:bCs/>
                <w:color w:val="000000"/>
                <w:sz w:val="20"/>
                <w:szCs w:val="24"/>
                <w:vertAlign w:val="superscript"/>
                <w:lang w:eastAsia="tr-TR"/>
              </w:rPr>
              <w:t>abB</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0,87±0,100</w:t>
            </w:r>
            <w:r w:rsidRPr="00C173FA">
              <w:rPr>
                <w:rFonts w:eastAsia="Times New Roman"/>
                <w:bCs/>
                <w:color w:val="000000"/>
                <w:sz w:val="20"/>
                <w:szCs w:val="24"/>
                <w:vertAlign w:val="superscript"/>
                <w:lang w:eastAsia="tr-TR"/>
              </w:rPr>
              <w:t>bcB</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4,49±0,005</w:t>
            </w:r>
            <w:r w:rsidRPr="00C173FA">
              <w:rPr>
                <w:rFonts w:eastAsia="Times New Roman"/>
                <w:bCs/>
                <w:color w:val="000000"/>
                <w:sz w:val="20"/>
                <w:szCs w:val="24"/>
                <w:vertAlign w:val="superscript"/>
                <w:lang w:eastAsia="tr-TR"/>
              </w:rPr>
              <w:t>dB</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5,19±0,010</w:t>
            </w:r>
            <w:r w:rsidRPr="00C173FA">
              <w:rPr>
                <w:rFonts w:eastAsia="Times New Roman"/>
                <w:bCs/>
                <w:color w:val="000000"/>
                <w:sz w:val="20"/>
                <w:szCs w:val="24"/>
                <w:vertAlign w:val="superscript"/>
                <w:lang w:eastAsia="tr-TR"/>
              </w:rPr>
              <w:t>dB</w:t>
            </w:r>
          </w:p>
        </w:tc>
      </w:tr>
      <w:tr w:rsidR="002827AB" w:rsidRPr="002827AB" w:rsidTr="00054A83">
        <w:trPr>
          <w:trHeight w:val="387"/>
        </w:trPr>
        <w:tc>
          <w:tcPr>
            <w:tcW w:w="882" w:type="dxa"/>
            <w:shd w:val="clear" w:color="auto" w:fill="FFFFFF" w:themeFill="background1"/>
            <w:noWrap/>
            <w:hideMark/>
          </w:tcPr>
          <w:p w:rsidR="002827AB" w:rsidRPr="00C173FA" w:rsidRDefault="002827AB" w:rsidP="002827AB">
            <w:pPr>
              <w:spacing w:line="240" w:lineRule="auto"/>
              <w:ind w:firstLine="0"/>
              <w:jc w:val="center"/>
              <w:rPr>
                <w:rFonts w:eastAsia="Times New Roman"/>
                <w:b/>
                <w:szCs w:val="24"/>
                <w:lang w:eastAsia="tr-TR"/>
              </w:rPr>
            </w:pPr>
            <w:r w:rsidRPr="00C173FA">
              <w:rPr>
                <w:rFonts w:eastAsia="Times New Roman"/>
                <w:b/>
                <w:szCs w:val="24"/>
                <w:lang w:eastAsia="tr-TR"/>
              </w:rPr>
              <w:t>15mM</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0,59±0,00</w:t>
            </w:r>
            <w:r w:rsidRPr="00C173FA">
              <w:rPr>
                <w:rFonts w:eastAsia="Times New Roman"/>
                <w:bCs/>
                <w:color w:val="000000"/>
                <w:sz w:val="20"/>
                <w:szCs w:val="24"/>
                <w:vertAlign w:val="superscript"/>
                <w:lang w:eastAsia="tr-TR"/>
              </w:rPr>
              <w:t>aA</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2,16±0,045</w:t>
            </w:r>
            <w:r w:rsidRPr="00C173FA">
              <w:rPr>
                <w:rFonts w:eastAsia="Times New Roman"/>
                <w:bCs/>
                <w:color w:val="000000"/>
                <w:sz w:val="20"/>
                <w:szCs w:val="24"/>
                <w:vertAlign w:val="superscript"/>
                <w:lang w:eastAsia="tr-TR"/>
              </w:rPr>
              <w:t>bC</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2,25±0,005</w:t>
            </w:r>
            <w:r w:rsidRPr="00C173FA">
              <w:rPr>
                <w:rFonts w:eastAsia="Times New Roman"/>
                <w:bCs/>
                <w:color w:val="000000"/>
                <w:sz w:val="20"/>
                <w:szCs w:val="24"/>
                <w:vertAlign w:val="superscript"/>
                <w:lang w:eastAsia="tr-TR"/>
              </w:rPr>
              <w:t>cB</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5,53±1,256</w:t>
            </w:r>
            <w:r w:rsidRPr="00C173FA">
              <w:rPr>
                <w:rFonts w:eastAsia="Times New Roman"/>
                <w:bCs/>
                <w:color w:val="000000"/>
                <w:sz w:val="20"/>
                <w:szCs w:val="24"/>
                <w:vertAlign w:val="superscript"/>
                <w:lang w:eastAsia="tr-TR"/>
              </w:rPr>
              <w:t>dB</w:t>
            </w:r>
          </w:p>
        </w:tc>
        <w:tc>
          <w:tcPr>
            <w:tcW w:w="0" w:type="auto"/>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5,6±0,754</w:t>
            </w:r>
            <w:r w:rsidR="00CD0396" w:rsidRPr="00C173FA">
              <w:rPr>
                <w:rFonts w:eastAsia="Times New Roman"/>
                <w:bCs/>
                <w:color w:val="000000"/>
                <w:sz w:val="20"/>
                <w:szCs w:val="24"/>
                <w:vertAlign w:val="superscript"/>
                <w:lang w:eastAsia="tr-TR"/>
              </w:rPr>
              <w:t>d</w:t>
            </w:r>
            <w:r w:rsidR="00221600" w:rsidRPr="00C173FA">
              <w:rPr>
                <w:rFonts w:eastAsia="Times New Roman"/>
                <w:bCs/>
                <w:color w:val="000000"/>
                <w:sz w:val="20"/>
                <w:szCs w:val="24"/>
                <w:vertAlign w:val="superscript"/>
                <w:lang w:eastAsia="tr-TR"/>
              </w:rPr>
              <w:t>D</w:t>
            </w:r>
          </w:p>
        </w:tc>
      </w:tr>
      <w:tr w:rsidR="002827AB" w:rsidRPr="002827AB" w:rsidTr="00054A83">
        <w:trPr>
          <w:trHeight w:val="387"/>
        </w:trPr>
        <w:tc>
          <w:tcPr>
            <w:tcW w:w="882" w:type="dxa"/>
            <w:tcBorders>
              <w:bottom w:val="single" w:sz="4" w:space="0" w:color="auto"/>
            </w:tcBorders>
            <w:shd w:val="clear" w:color="auto" w:fill="FFFFFF" w:themeFill="background1"/>
            <w:noWrap/>
            <w:hideMark/>
          </w:tcPr>
          <w:p w:rsidR="002827AB" w:rsidRPr="00C173FA" w:rsidRDefault="002827AB" w:rsidP="002827AB">
            <w:pPr>
              <w:spacing w:line="240" w:lineRule="auto"/>
              <w:ind w:firstLine="0"/>
              <w:jc w:val="center"/>
              <w:rPr>
                <w:rFonts w:eastAsia="Times New Roman"/>
                <w:b/>
                <w:szCs w:val="24"/>
                <w:lang w:eastAsia="tr-TR"/>
              </w:rPr>
            </w:pPr>
            <w:r w:rsidRPr="00C173FA">
              <w:rPr>
                <w:rFonts w:eastAsia="Times New Roman"/>
                <w:b/>
                <w:szCs w:val="24"/>
                <w:lang w:eastAsia="tr-TR"/>
              </w:rPr>
              <w:t>55mM</w:t>
            </w:r>
          </w:p>
        </w:tc>
        <w:tc>
          <w:tcPr>
            <w:tcW w:w="0" w:type="auto"/>
            <w:tcBorders>
              <w:bottom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26,62±0,057</w:t>
            </w:r>
            <w:r w:rsidRPr="00C173FA">
              <w:rPr>
                <w:rFonts w:eastAsia="Times New Roman"/>
                <w:bCs/>
                <w:color w:val="000000"/>
                <w:sz w:val="20"/>
                <w:szCs w:val="24"/>
                <w:vertAlign w:val="superscript"/>
                <w:lang w:eastAsia="tr-TR"/>
              </w:rPr>
              <w:t>aB</w:t>
            </w:r>
          </w:p>
        </w:tc>
        <w:tc>
          <w:tcPr>
            <w:tcW w:w="0" w:type="auto"/>
            <w:tcBorders>
              <w:bottom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24,11±0,057</w:t>
            </w:r>
            <w:r w:rsidRPr="00C173FA">
              <w:rPr>
                <w:rFonts w:eastAsia="Times New Roman"/>
                <w:bCs/>
                <w:color w:val="000000"/>
                <w:sz w:val="20"/>
                <w:szCs w:val="24"/>
                <w:vertAlign w:val="superscript"/>
                <w:lang w:eastAsia="tr-TR"/>
              </w:rPr>
              <w:t>bD</w:t>
            </w:r>
          </w:p>
        </w:tc>
        <w:tc>
          <w:tcPr>
            <w:tcW w:w="0" w:type="auto"/>
            <w:tcBorders>
              <w:bottom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30,19±0,100</w:t>
            </w:r>
            <w:r w:rsidRPr="00C173FA">
              <w:rPr>
                <w:rFonts w:eastAsia="Times New Roman"/>
                <w:bCs/>
                <w:color w:val="000000"/>
                <w:sz w:val="20"/>
                <w:szCs w:val="24"/>
                <w:vertAlign w:val="superscript"/>
                <w:lang w:eastAsia="tr-TR"/>
              </w:rPr>
              <w:t>cC</w:t>
            </w:r>
          </w:p>
        </w:tc>
        <w:tc>
          <w:tcPr>
            <w:tcW w:w="0" w:type="auto"/>
            <w:tcBorders>
              <w:bottom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36,89</w:t>
            </w:r>
            <w:r w:rsidR="00C222B1" w:rsidRPr="00C173FA">
              <w:rPr>
                <w:rFonts w:eastAsia="Times New Roman"/>
                <w:bCs/>
                <w:color w:val="000000"/>
                <w:sz w:val="20"/>
                <w:szCs w:val="24"/>
                <w:lang w:eastAsia="tr-TR"/>
              </w:rPr>
              <w:t>±1,16</w:t>
            </w:r>
            <w:r w:rsidRPr="00C173FA">
              <w:rPr>
                <w:rFonts w:eastAsia="Times New Roman"/>
                <w:bCs/>
                <w:color w:val="000000"/>
                <w:sz w:val="20"/>
                <w:szCs w:val="24"/>
                <w:vertAlign w:val="superscript"/>
                <w:lang w:eastAsia="tr-TR"/>
              </w:rPr>
              <w:t>dC</w:t>
            </w:r>
          </w:p>
        </w:tc>
        <w:tc>
          <w:tcPr>
            <w:tcW w:w="0" w:type="auto"/>
            <w:tcBorders>
              <w:bottom w:val="single" w:sz="4" w:space="0" w:color="auto"/>
            </w:tcBorders>
            <w:shd w:val="clear" w:color="auto" w:fill="FFFFFF" w:themeFill="background1"/>
            <w:noWrap/>
            <w:hideMark/>
          </w:tcPr>
          <w:p w:rsidR="002827AB" w:rsidRPr="00C173FA" w:rsidRDefault="002827AB" w:rsidP="00C173FA">
            <w:pPr>
              <w:spacing w:line="240" w:lineRule="auto"/>
              <w:ind w:firstLine="0"/>
              <w:jc w:val="center"/>
              <w:rPr>
                <w:rFonts w:eastAsia="Times New Roman"/>
                <w:bCs/>
                <w:color w:val="000000"/>
                <w:sz w:val="20"/>
                <w:szCs w:val="24"/>
                <w:lang w:eastAsia="tr-TR"/>
              </w:rPr>
            </w:pPr>
            <w:r w:rsidRPr="00C173FA">
              <w:rPr>
                <w:rFonts w:eastAsia="Times New Roman"/>
                <w:bCs/>
                <w:color w:val="000000"/>
                <w:sz w:val="20"/>
                <w:szCs w:val="24"/>
                <w:lang w:eastAsia="tr-TR"/>
              </w:rPr>
              <w:t>21,37</w:t>
            </w:r>
            <w:r w:rsidR="00C222B1" w:rsidRPr="00C173FA">
              <w:rPr>
                <w:rFonts w:eastAsia="Times New Roman"/>
                <w:bCs/>
                <w:color w:val="000000"/>
                <w:sz w:val="20"/>
                <w:szCs w:val="24"/>
                <w:lang w:eastAsia="tr-TR"/>
              </w:rPr>
              <w:t>±0,45</w:t>
            </w:r>
            <w:r w:rsidRPr="00C173FA">
              <w:rPr>
                <w:rFonts w:eastAsia="Times New Roman"/>
                <w:bCs/>
                <w:color w:val="000000"/>
                <w:sz w:val="20"/>
                <w:szCs w:val="24"/>
                <w:vertAlign w:val="superscript"/>
                <w:lang w:eastAsia="tr-TR"/>
              </w:rPr>
              <w:t>eC</w:t>
            </w:r>
          </w:p>
        </w:tc>
      </w:tr>
    </w:tbl>
    <w:p w:rsidR="004657C4" w:rsidRPr="001B5AA1" w:rsidRDefault="004657C4" w:rsidP="004657C4">
      <w:pPr>
        <w:ind w:firstLine="0"/>
        <w:rPr>
          <w:rFonts w:cs="Times New Roman"/>
          <w:color w:val="000000"/>
          <w:sz w:val="18"/>
          <w:szCs w:val="24"/>
        </w:rPr>
      </w:pPr>
      <w:r w:rsidRPr="001B5AA1">
        <w:rPr>
          <w:rFonts w:cs="Times New Roman"/>
          <w:color w:val="000000"/>
          <w:sz w:val="18"/>
          <w:szCs w:val="24"/>
        </w:rPr>
        <w:t>abcd</w:t>
      </w:r>
      <w:r>
        <w:rPr>
          <w:rFonts w:cs="Times New Roman"/>
          <w:color w:val="000000"/>
          <w:sz w:val="18"/>
          <w:szCs w:val="24"/>
        </w:rPr>
        <w:t>e</w:t>
      </w:r>
      <w:r w:rsidRPr="001B5AA1">
        <w:rPr>
          <w:rFonts w:cs="Times New Roman"/>
          <w:color w:val="000000"/>
          <w:sz w:val="18"/>
          <w:szCs w:val="24"/>
        </w:rPr>
        <w:t xml:space="preserve"> aynı satırda farklı harfler p&lt;0,001 düzeyinde önemi ifade etmektedir.</w:t>
      </w:r>
    </w:p>
    <w:p w:rsidR="004657C4" w:rsidRPr="001B5AA1" w:rsidRDefault="004657C4" w:rsidP="004657C4">
      <w:pPr>
        <w:ind w:firstLine="0"/>
        <w:rPr>
          <w:rFonts w:cs="Times New Roman"/>
          <w:color w:val="000000"/>
          <w:sz w:val="18"/>
          <w:szCs w:val="24"/>
        </w:rPr>
      </w:pPr>
      <w:r w:rsidRPr="001B5AA1">
        <w:rPr>
          <w:rFonts w:cs="Times New Roman"/>
          <w:color w:val="000000"/>
          <w:sz w:val="18"/>
          <w:szCs w:val="24"/>
        </w:rPr>
        <w:t>ABCD aynı sütunda farklı harfler p&lt;0,001 düzeyinde önemi ifade etmektedir.</w:t>
      </w:r>
    </w:p>
    <w:p w:rsidR="002B3673" w:rsidRDefault="002B3673" w:rsidP="002B3673">
      <w:pPr>
        <w:rPr>
          <w:rFonts w:cs="Times New Roman"/>
          <w:color w:val="000000"/>
          <w:szCs w:val="24"/>
        </w:rPr>
      </w:pPr>
    </w:p>
    <w:p w:rsidR="002B3673" w:rsidRDefault="002B3673" w:rsidP="00967259">
      <w:pPr>
        <w:pStyle w:val="AltKonuBal"/>
        <w:rPr>
          <w:color w:val="000000"/>
        </w:rPr>
      </w:pPr>
      <w:r>
        <w:rPr>
          <w:noProof/>
          <w:lang w:eastAsia="tr-TR"/>
        </w:rPr>
        <w:drawing>
          <wp:inline distT="0" distB="0" distL="0" distR="0">
            <wp:extent cx="4586400" cy="2656205"/>
            <wp:effectExtent l="0" t="0" r="0" b="0"/>
            <wp:docPr id="100" name="Grafik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sidRPr="008060A5">
        <w:rPr>
          <w:rFonts w:cs="Times New Roman"/>
          <w:b/>
          <w:color w:val="000000"/>
          <w:szCs w:val="24"/>
        </w:rPr>
        <w:t>Şekil</w:t>
      </w:r>
      <w:r>
        <w:rPr>
          <w:rFonts w:cs="Times New Roman"/>
          <w:b/>
          <w:color w:val="000000"/>
          <w:szCs w:val="24"/>
        </w:rPr>
        <w:t xml:space="preserve"> </w:t>
      </w:r>
      <w:r w:rsidR="004C3E69">
        <w:rPr>
          <w:rFonts w:cs="Times New Roman"/>
          <w:b/>
          <w:color w:val="000000"/>
          <w:szCs w:val="24"/>
        </w:rPr>
        <w:t>74</w:t>
      </w:r>
      <w:r>
        <w:rPr>
          <w:rFonts w:cs="Times New Roman"/>
          <w:b/>
          <w:color w:val="000000"/>
          <w:szCs w:val="24"/>
        </w:rPr>
        <w:t>.</w:t>
      </w:r>
      <w:r>
        <w:rPr>
          <w:rFonts w:cs="Times New Roman"/>
          <w:color w:val="000000"/>
          <w:szCs w:val="24"/>
        </w:rPr>
        <w:t xml:space="preserve"> MCF-7 kanser hücrelerinin normoksi altında glukozun farklı konsantrasyonlu uygulama gruplarında </w:t>
      </w:r>
      <w:proofErr w:type="gramStart"/>
      <w:r>
        <w:rPr>
          <w:rFonts w:cs="Times New Roman"/>
          <w:color w:val="000000"/>
          <w:szCs w:val="24"/>
        </w:rPr>
        <w:t>3,6,12</w:t>
      </w:r>
      <w:proofErr w:type="gramEnd"/>
      <w:r>
        <w:rPr>
          <w:rFonts w:cs="Times New Roman"/>
          <w:color w:val="000000"/>
          <w:szCs w:val="24"/>
        </w:rPr>
        <w:t xml:space="preserve">, 24 ve 48 saat inkübasyonu sonucu elde edilen glukoz tüketim miktarları. </w:t>
      </w:r>
    </w:p>
    <w:p w:rsidR="002B3673" w:rsidRDefault="002B3673" w:rsidP="002B3673">
      <w:pPr>
        <w:rPr>
          <w:rFonts w:cs="Times New Roman"/>
          <w:color w:val="000000"/>
          <w:szCs w:val="24"/>
        </w:rPr>
      </w:pPr>
    </w:p>
    <w:p w:rsidR="002B3673" w:rsidRDefault="002B3673" w:rsidP="00967259">
      <w:pPr>
        <w:pStyle w:val="AltKonuBal"/>
        <w:rPr>
          <w:color w:val="000000"/>
        </w:rPr>
      </w:pPr>
      <w:r>
        <w:rPr>
          <w:noProof/>
          <w:lang w:eastAsia="tr-TR"/>
        </w:rPr>
        <w:lastRenderedPageBreak/>
        <w:drawing>
          <wp:inline distT="0" distB="0" distL="0" distR="0">
            <wp:extent cx="4536000" cy="2743200"/>
            <wp:effectExtent l="0" t="0" r="0" b="0"/>
            <wp:docPr id="101" name="Grafik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B3673" w:rsidRDefault="002B3673" w:rsidP="002B3673">
      <w:pPr>
        <w:rPr>
          <w:rFonts w:cs="Times New Roman"/>
          <w:color w:val="000000"/>
          <w:szCs w:val="24"/>
        </w:rPr>
      </w:pPr>
    </w:p>
    <w:p w:rsidR="002B3673" w:rsidRDefault="004C3E69" w:rsidP="002B3673">
      <w:pPr>
        <w:rPr>
          <w:rFonts w:cs="Times New Roman"/>
          <w:color w:val="000000"/>
          <w:szCs w:val="24"/>
        </w:rPr>
      </w:pPr>
      <w:r>
        <w:rPr>
          <w:rFonts w:cs="Times New Roman"/>
          <w:b/>
          <w:color w:val="000000"/>
          <w:szCs w:val="24"/>
        </w:rPr>
        <w:t>Şekil 75</w:t>
      </w:r>
      <w:r w:rsidR="002B3673">
        <w:rPr>
          <w:rFonts w:cs="Times New Roman"/>
          <w:b/>
          <w:color w:val="000000"/>
          <w:szCs w:val="24"/>
        </w:rPr>
        <w:t>.</w:t>
      </w:r>
      <w:r w:rsidR="002B3673">
        <w:rPr>
          <w:rFonts w:cs="Times New Roman"/>
          <w:color w:val="000000"/>
          <w:szCs w:val="24"/>
        </w:rPr>
        <w:t xml:space="preserve"> MCF-7 kanser hücrelerinin hipoksi altında glukozun farklı konsantrasyonlu uygulama gruplarında </w:t>
      </w:r>
      <w:proofErr w:type="gramStart"/>
      <w:r w:rsidR="002B3673">
        <w:rPr>
          <w:rFonts w:cs="Times New Roman"/>
          <w:color w:val="000000"/>
          <w:szCs w:val="24"/>
        </w:rPr>
        <w:t>3,6,12</w:t>
      </w:r>
      <w:proofErr w:type="gramEnd"/>
      <w:r w:rsidR="002B3673">
        <w:rPr>
          <w:rFonts w:cs="Times New Roman"/>
          <w:color w:val="000000"/>
          <w:szCs w:val="24"/>
        </w:rPr>
        <w:t xml:space="preserve">, 24 ve 48 saat inkübasyonu sonucu elde edilen glukoz tüketim miktarları. </w:t>
      </w:r>
    </w:p>
    <w:p w:rsidR="002B3673" w:rsidRDefault="002B3673" w:rsidP="002B3673">
      <w:pPr>
        <w:rPr>
          <w:rFonts w:cs="Times New Roman"/>
          <w:color w:val="000000"/>
          <w:szCs w:val="24"/>
        </w:rPr>
      </w:pPr>
    </w:p>
    <w:p w:rsidR="002B3673" w:rsidRDefault="002B3673" w:rsidP="002B3673">
      <w:pPr>
        <w:rPr>
          <w:rFonts w:cs="Times New Roman"/>
          <w:color w:val="000000"/>
          <w:szCs w:val="24"/>
        </w:rPr>
      </w:pPr>
    </w:p>
    <w:p w:rsidR="002B3673" w:rsidRDefault="002B3673" w:rsidP="00967259">
      <w:pPr>
        <w:pStyle w:val="Balk2"/>
      </w:pPr>
      <w:r>
        <w:t>4.</w:t>
      </w:r>
      <w:r w:rsidR="00DD3406">
        <w:t>5</w:t>
      </w:r>
      <w:r>
        <w:t>.2 Normoksik ve Hipoksik Koşulların Glukoz Tüketim Miktarı Üzerine Etkisinin Karşılaştırılması</w:t>
      </w:r>
    </w:p>
    <w:p w:rsidR="002B3673" w:rsidRDefault="002B3673" w:rsidP="002B3673">
      <w:pPr>
        <w:rPr>
          <w:rFonts w:cs="Times New Roman"/>
          <w:b/>
          <w:color w:val="000000"/>
          <w:szCs w:val="24"/>
        </w:rPr>
      </w:pPr>
    </w:p>
    <w:p w:rsidR="002B3673" w:rsidRPr="00717E33" w:rsidRDefault="002B3673" w:rsidP="002B3673">
      <w:pPr>
        <w:rPr>
          <w:rFonts w:cs="Times New Roman"/>
          <w:color w:val="000000"/>
          <w:szCs w:val="24"/>
        </w:rPr>
      </w:pPr>
      <w:r>
        <w:rPr>
          <w:rFonts w:cs="Times New Roman"/>
          <w:color w:val="000000"/>
          <w:szCs w:val="24"/>
        </w:rPr>
        <w:t>5.</w:t>
      </w:r>
      <w:r w:rsidRPr="00717E33">
        <w:rPr>
          <w:rFonts w:cs="Times New Roman"/>
          <w:color w:val="000000"/>
          <w:szCs w:val="24"/>
        </w:rPr>
        <w:t>5 m</w:t>
      </w:r>
      <w:r>
        <w:rPr>
          <w:rFonts w:cs="Times New Roman"/>
          <w:color w:val="000000"/>
          <w:szCs w:val="24"/>
        </w:rPr>
        <w:t>M</w:t>
      </w:r>
      <w:r w:rsidRPr="00717E33">
        <w:rPr>
          <w:rFonts w:cs="Times New Roman"/>
          <w:color w:val="000000"/>
          <w:szCs w:val="24"/>
        </w:rPr>
        <w:t xml:space="preserve"> ve 15 m</w:t>
      </w:r>
      <w:r>
        <w:rPr>
          <w:rFonts w:cs="Times New Roman"/>
          <w:color w:val="000000"/>
          <w:szCs w:val="24"/>
        </w:rPr>
        <w:t>M glukoz</w:t>
      </w:r>
      <w:r w:rsidRPr="00717E33">
        <w:rPr>
          <w:rFonts w:cs="Times New Roman"/>
          <w:color w:val="000000"/>
          <w:szCs w:val="24"/>
        </w:rPr>
        <w:t xml:space="preserve"> ilave edilen uygulama gruplarında normoksik ve hipoksik hücrelerin glukoz tüketimi arasında </w:t>
      </w:r>
      <w:r>
        <w:rPr>
          <w:rFonts w:cs="Times New Roman"/>
          <w:color w:val="000000"/>
          <w:szCs w:val="24"/>
        </w:rPr>
        <w:t xml:space="preserve">inkübasyon sürelerine bağlı </w:t>
      </w:r>
      <w:r w:rsidRPr="00717E33">
        <w:rPr>
          <w:rFonts w:cs="Times New Roman"/>
          <w:color w:val="000000"/>
          <w:szCs w:val="24"/>
        </w:rPr>
        <w:t>genel itiba</w:t>
      </w:r>
      <w:r>
        <w:rPr>
          <w:rFonts w:cs="Times New Roman"/>
          <w:color w:val="000000"/>
          <w:szCs w:val="24"/>
        </w:rPr>
        <w:t>riyle önemli bir fark bulunamadı</w:t>
      </w:r>
      <w:r w:rsidRPr="00717E33">
        <w:rPr>
          <w:rFonts w:cs="Times New Roman"/>
          <w:color w:val="000000"/>
          <w:szCs w:val="24"/>
        </w:rPr>
        <w:t xml:space="preserve"> (p&gt;0,05). </w:t>
      </w:r>
      <w:r>
        <w:rPr>
          <w:rFonts w:cs="Times New Roman"/>
          <w:color w:val="000000"/>
          <w:szCs w:val="24"/>
        </w:rPr>
        <w:t xml:space="preserve">Yalnızca </w:t>
      </w:r>
      <w:proofErr w:type="gramStart"/>
      <w:r>
        <w:rPr>
          <w:rFonts w:cs="Times New Roman"/>
          <w:color w:val="000000"/>
          <w:szCs w:val="24"/>
        </w:rPr>
        <w:t>5.</w:t>
      </w:r>
      <w:r w:rsidRPr="00717E33">
        <w:rPr>
          <w:rFonts w:cs="Times New Roman"/>
          <w:color w:val="000000"/>
          <w:szCs w:val="24"/>
        </w:rPr>
        <w:t>5</w:t>
      </w:r>
      <w:proofErr w:type="gramEnd"/>
      <w:r w:rsidRPr="00717E33">
        <w:rPr>
          <w:rFonts w:cs="Times New Roman"/>
          <w:color w:val="000000"/>
          <w:szCs w:val="24"/>
        </w:rPr>
        <w:t xml:space="preserve"> m</w:t>
      </w:r>
      <w:r>
        <w:rPr>
          <w:rFonts w:cs="Times New Roman"/>
          <w:color w:val="000000"/>
          <w:szCs w:val="24"/>
        </w:rPr>
        <w:t>M 24.saat uygulama grubu ile 1</w:t>
      </w:r>
      <w:r w:rsidRPr="00717E33">
        <w:rPr>
          <w:rFonts w:cs="Times New Roman"/>
          <w:color w:val="000000"/>
          <w:szCs w:val="24"/>
        </w:rPr>
        <w:t>5 m</w:t>
      </w:r>
      <w:r>
        <w:rPr>
          <w:rFonts w:cs="Times New Roman"/>
          <w:color w:val="000000"/>
          <w:szCs w:val="24"/>
        </w:rPr>
        <w:t>M 6.saat ve 48.saat uygulama grubunun hipoksik ortamdaki hücrelerinin glukoz tüketimi normoksik ortamdakilere göre anlamlı olarak yüksek tespit edildi (p&lt;0,001). Yüksek dozda glukoz uygulanan MCF-7 meme kanser hücrelerinde ise fark daha belirgindi. 5</w:t>
      </w:r>
      <w:r w:rsidRPr="00717E33">
        <w:rPr>
          <w:rFonts w:cs="Times New Roman"/>
          <w:color w:val="000000"/>
          <w:szCs w:val="24"/>
        </w:rPr>
        <w:t>5 m</w:t>
      </w:r>
      <w:r>
        <w:rPr>
          <w:rFonts w:cs="Times New Roman"/>
          <w:color w:val="000000"/>
          <w:szCs w:val="24"/>
        </w:rPr>
        <w:t>M glukoz içeren ortamlarda 6</w:t>
      </w:r>
      <w:proofErr w:type="gramStart"/>
      <w:r>
        <w:rPr>
          <w:rFonts w:cs="Times New Roman"/>
          <w:color w:val="000000"/>
          <w:szCs w:val="24"/>
        </w:rPr>
        <w:t>.,</w:t>
      </w:r>
      <w:proofErr w:type="gramEnd"/>
      <w:r>
        <w:rPr>
          <w:rFonts w:cs="Times New Roman"/>
          <w:color w:val="000000"/>
          <w:szCs w:val="24"/>
        </w:rPr>
        <w:t xml:space="preserve"> 24. ve 48. saat inkübasyon sonucu hipoksik hücrelerin glukoz tüketimi normoksik hücrelerle karşılaştırıldığında 2 kata yakın artış olduğu belirlendi (p&lt;0,001). 12. saat de ise aksine hipoksik ortamda normoksik ortama göre glukoz tüketi</w:t>
      </w:r>
      <w:r w:rsidR="0030279F">
        <w:rPr>
          <w:rFonts w:cs="Times New Roman"/>
          <w:color w:val="000000"/>
          <w:szCs w:val="24"/>
        </w:rPr>
        <w:t xml:space="preserve">minde azalma görüldü (p&lt;0,001) (Şekil 76-78). </w:t>
      </w:r>
    </w:p>
    <w:p w:rsidR="002B3673" w:rsidRDefault="002B3673" w:rsidP="002B3673">
      <w:pPr>
        <w:rPr>
          <w:rFonts w:cs="Times New Roman"/>
          <w:color w:val="000000"/>
          <w:szCs w:val="24"/>
        </w:rPr>
      </w:pPr>
    </w:p>
    <w:p w:rsidR="002B3673" w:rsidRDefault="002B3673" w:rsidP="00967259">
      <w:pPr>
        <w:pStyle w:val="AltKonuBal"/>
        <w:rPr>
          <w:color w:val="000000"/>
        </w:rPr>
      </w:pPr>
      <w:r>
        <w:rPr>
          <w:noProof/>
          <w:lang w:eastAsia="tr-TR"/>
        </w:rPr>
        <w:lastRenderedPageBreak/>
        <w:drawing>
          <wp:inline distT="0" distB="0" distL="0" distR="0">
            <wp:extent cx="4582800" cy="2688771"/>
            <wp:effectExtent l="0" t="0" r="0" b="0"/>
            <wp:docPr id="95"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B3673" w:rsidRDefault="002B3673" w:rsidP="002B3673">
      <w:pPr>
        <w:rPr>
          <w:rFonts w:cs="Times New Roman"/>
          <w:b/>
          <w:color w:val="000000"/>
          <w:szCs w:val="24"/>
        </w:rPr>
      </w:pPr>
    </w:p>
    <w:p w:rsidR="002B3673" w:rsidRDefault="004C3E69" w:rsidP="002B3673">
      <w:pPr>
        <w:rPr>
          <w:rFonts w:cs="Times New Roman"/>
          <w:color w:val="000000"/>
          <w:szCs w:val="24"/>
        </w:rPr>
      </w:pPr>
      <w:r>
        <w:rPr>
          <w:rFonts w:cs="Times New Roman"/>
          <w:b/>
          <w:color w:val="000000"/>
          <w:szCs w:val="24"/>
        </w:rPr>
        <w:t>Şekil 76</w:t>
      </w:r>
      <w:r w:rsidR="002B3673" w:rsidRPr="008060A5">
        <w:rPr>
          <w:rFonts w:cs="Times New Roman"/>
          <w:b/>
          <w:color w:val="000000"/>
          <w:szCs w:val="24"/>
        </w:rPr>
        <w:t>.</w:t>
      </w:r>
      <w:r w:rsidR="002B3673">
        <w:rPr>
          <w:rFonts w:cs="Times New Roman"/>
          <w:color w:val="000000"/>
          <w:szCs w:val="24"/>
        </w:rPr>
        <w:t xml:space="preserve"> </w:t>
      </w:r>
      <w:r w:rsidR="002B3673" w:rsidRPr="006A05E3">
        <w:rPr>
          <w:rFonts w:cs="Times New Roman"/>
          <w:color w:val="000000"/>
          <w:szCs w:val="24"/>
        </w:rPr>
        <w:t>MCF-7 kanser hücrelerinin normoksi</w:t>
      </w:r>
      <w:r w:rsidR="002B3673">
        <w:rPr>
          <w:rFonts w:cs="Times New Roman"/>
          <w:color w:val="000000"/>
          <w:szCs w:val="24"/>
        </w:rPr>
        <w:t>k</w:t>
      </w:r>
      <w:r w:rsidR="002B3673" w:rsidRPr="006A05E3">
        <w:rPr>
          <w:rFonts w:cs="Times New Roman"/>
          <w:color w:val="000000"/>
          <w:szCs w:val="24"/>
        </w:rPr>
        <w:t xml:space="preserve"> ve hipoksi</w:t>
      </w:r>
      <w:r w:rsidR="002B3673">
        <w:rPr>
          <w:rFonts w:cs="Times New Roman"/>
          <w:color w:val="000000"/>
          <w:szCs w:val="24"/>
        </w:rPr>
        <w:t>k</w:t>
      </w:r>
      <w:r w:rsidR="002B3673" w:rsidRPr="006A05E3">
        <w:rPr>
          <w:rFonts w:cs="Times New Roman"/>
          <w:color w:val="000000"/>
          <w:szCs w:val="24"/>
        </w:rPr>
        <w:t xml:space="preserve"> </w:t>
      </w:r>
      <w:r w:rsidR="002B3673">
        <w:rPr>
          <w:rFonts w:cs="Times New Roman"/>
          <w:color w:val="000000"/>
          <w:szCs w:val="24"/>
        </w:rPr>
        <w:t>ortamdaki</w:t>
      </w:r>
      <w:r w:rsidR="002B3673" w:rsidRPr="006A05E3">
        <w:rPr>
          <w:rFonts w:cs="Times New Roman"/>
          <w:color w:val="000000"/>
          <w:szCs w:val="24"/>
        </w:rPr>
        <w:t xml:space="preserve"> </w:t>
      </w:r>
      <w:r w:rsidR="002B3673">
        <w:rPr>
          <w:rFonts w:cs="Times New Roman"/>
          <w:color w:val="000000"/>
          <w:szCs w:val="24"/>
        </w:rPr>
        <w:t xml:space="preserve">farklı inkübasyon süreli </w:t>
      </w:r>
      <w:proofErr w:type="gramStart"/>
      <w:r w:rsidR="002B3673">
        <w:rPr>
          <w:rFonts w:cs="Times New Roman"/>
          <w:color w:val="000000"/>
          <w:szCs w:val="24"/>
        </w:rPr>
        <w:t>5.5</w:t>
      </w:r>
      <w:proofErr w:type="gramEnd"/>
      <w:r w:rsidR="002B3673">
        <w:rPr>
          <w:rFonts w:cs="Times New Roman"/>
          <w:color w:val="000000"/>
          <w:szCs w:val="24"/>
        </w:rPr>
        <w:t xml:space="preserve"> mM glukoz </w:t>
      </w:r>
      <w:r w:rsidR="002B3673" w:rsidRPr="006A05E3">
        <w:rPr>
          <w:rFonts w:cs="Times New Roman"/>
          <w:color w:val="000000"/>
          <w:szCs w:val="24"/>
        </w:rPr>
        <w:t xml:space="preserve">uygulama gruplarında </w:t>
      </w:r>
      <w:r w:rsidR="002B3673">
        <w:rPr>
          <w:rFonts w:cs="Times New Roman"/>
          <w:color w:val="000000"/>
          <w:szCs w:val="24"/>
        </w:rPr>
        <w:t>glukoz tüketim miktarlarının</w:t>
      </w:r>
      <w:r w:rsidR="002B3673" w:rsidRPr="006A05E3">
        <w:rPr>
          <w:rFonts w:cs="Times New Roman"/>
          <w:color w:val="000000"/>
          <w:szCs w:val="24"/>
        </w:rPr>
        <w:t xml:space="preserve"> karşılaştırılması. *</w:t>
      </w:r>
      <w:r w:rsidR="00AA1D33">
        <w:rPr>
          <w:rFonts w:cs="Times New Roman"/>
          <w:color w:val="000000"/>
          <w:szCs w:val="24"/>
        </w:rPr>
        <w:t>p</w:t>
      </w:r>
      <w:r w:rsidR="002B3673"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967259">
      <w:pPr>
        <w:pStyle w:val="AltKonuBal"/>
        <w:rPr>
          <w:color w:val="000000"/>
        </w:rPr>
      </w:pPr>
      <w:r>
        <w:rPr>
          <w:noProof/>
          <w:lang w:eastAsia="tr-TR"/>
        </w:rPr>
        <w:drawing>
          <wp:inline distT="0" distB="0" distL="0" distR="0">
            <wp:extent cx="4622400" cy="2688771"/>
            <wp:effectExtent l="0" t="0" r="0" b="0"/>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sidRPr="008060A5">
        <w:rPr>
          <w:rFonts w:cs="Times New Roman"/>
          <w:b/>
          <w:color w:val="000000"/>
          <w:szCs w:val="24"/>
        </w:rPr>
        <w:t>Şekil</w:t>
      </w:r>
      <w:r>
        <w:rPr>
          <w:rFonts w:cs="Times New Roman"/>
          <w:b/>
          <w:color w:val="000000"/>
          <w:szCs w:val="24"/>
        </w:rPr>
        <w:t xml:space="preserve"> </w:t>
      </w:r>
      <w:r w:rsidR="004C3E69">
        <w:rPr>
          <w:rFonts w:cs="Times New Roman"/>
          <w:b/>
          <w:color w:val="000000"/>
          <w:szCs w:val="24"/>
        </w:rPr>
        <w:t>77</w:t>
      </w:r>
      <w:r w:rsidRPr="008060A5">
        <w:rPr>
          <w:rFonts w:cs="Times New Roman"/>
          <w:b/>
          <w:color w:val="000000"/>
          <w:szCs w:val="24"/>
        </w:rPr>
        <w:t xml:space="preserve">. </w:t>
      </w:r>
      <w:r w:rsidRPr="006A05E3">
        <w:rPr>
          <w:rFonts w:cs="Times New Roman"/>
          <w:color w:val="000000"/>
          <w:szCs w:val="24"/>
        </w:rPr>
        <w:t>MCF-7 kanser hücrelerinin normoksi</w:t>
      </w:r>
      <w:r>
        <w:rPr>
          <w:rFonts w:cs="Times New Roman"/>
          <w:color w:val="000000"/>
          <w:szCs w:val="24"/>
        </w:rPr>
        <w:t>k</w:t>
      </w:r>
      <w:r w:rsidRPr="006A05E3">
        <w:rPr>
          <w:rFonts w:cs="Times New Roman"/>
          <w:color w:val="000000"/>
          <w:szCs w:val="24"/>
        </w:rPr>
        <w:t xml:space="preserve"> ve hipoksi</w:t>
      </w:r>
      <w:r>
        <w:rPr>
          <w:rFonts w:cs="Times New Roman"/>
          <w:color w:val="000000"/>
          <w:szCs w:val="24"/>
        </w:rPr>
        <w:t>k</w:t>
      </w:r>
      <w:r w:rsidRPr="006A05E3">
        <w:rPr>
          <w:rFonts w:cs="Times New Roman"/>
          <w:color w:val="000000"/>
          <w:szCs w:val="24"/>
        </w:rPr>
        <w:t xml:space="preserve"> </w:t>
      </w:r>
      <w:r>
        <w:rPr>
          <w:rFonts w:cs="Times New Roman"/>
          <w:color w:val="000000"/>
          <w:szCs w:val="24"/>
        </w:rPr>
        <w:t>ortamdaki</w:t>
      </w:r>
      <w:r w:rsidRPr="006A05E3">
        <w:rPr>
          <w:rFonts w:cs="Times New Roman"/>
          <w:color w:val="000000"/>
          <w:szCs w:val="24"/>
        </w:rPr>
        <w:t xml:space="preserve"> </w:t>
      </w:r>
      <w:r>
        <w:rPr>
          <w:rFonts w:cs="Times New Roman"/>
          <w:color w:val="000000"/>
          <w:szCs w:val="24"/>
        </w:rPr>
        <w:t xml:space="preserve">farklı inkübasyon süreli 15 mM glukoz </w:t>
      </w:r>
      <w:r w:rsidRPr="006A05E3">
        <w:rPr>
          <w:rFonts w:cs="Times New Roman"/>
          <w:color w:val="000000"/>
          <w:szCs w:val="24"/>
        </w:rPr>
        <w:t xml:space="preserve">uygulama gruplarında </w:t>
      </w:r>
      <w:r>
        <w:rPr>
          <w:rFonts w:cs="Times New Roman"/>
          <w:color w:val="000000"/>
          <w:szCs w:val="24"/>
        </w:rPr>
        <w:t>glukoz tüketim miktarlarının</w:t>
      </w:r>
      <w:r w:rsidRPr="006A05E3">
        <w:rPr>
          <w:rFonts w:cs="Times New Roman"/>
          <w:color w:val="000000"/>
          <w:szCs w:val="24"/>
        </w:rPr>
        <w:t xml:space="preserve"> karşılaştırılması. *</w:t>
      </w:r>
      <w:r w:rsidR="00AA1D33">
        <w:rPr>
          <w:rFonts w:cs="Times New Roman"/>
          <w:color w:val="000000"/>
          <w:szCs w:val="24"/>
        </w:rPr>
        <w:t>p</w:t>
      </w:r>
      <w:r w:rsidRPr="006A05E3">
        <w:rPr>
          <w:rFonts w:cs="Times New Roman"/>
          <w:color w:val="000000"/>
          <w:szCs w:val="24"/>
        </w:rPr>
        <w:t>&lt; 0,001</w:t>
      </w:r>
    </w:p>
    <w:p w:rsidR="002B3673" w:rsidRDefault="002B3673" w:rsidP="002B3673">
      <w:pPr>
        <w:rPr>
          <w:rFonts w:cs="Times New Roman"/>
          <w:color w:val="000000"/>
          <w:szCs w:val="24"/>
        </w:rPr>
      </w:pPr>
    </w:p>
    <w:p w:rsidR="002B3673" w:rsidRDefault="002B3673" w:rsidP="00967259">
      <w:pPr>
        <w:pStyle w:val="AltKonuBal"/>
        <w:rPr>
          <w:color w:val="000000"/>
        </w:rPr>
      </w:pPr>
      <w:r>
        <w:rPr>
          <w:noProof/>
          <w:lang w:eastAsia="tr-TR"/>
        </w:rPr>
        <w:lastRenderedPageBreak/>
        <w:drawing>
          <wp:inline distT="0" distB="0" distL="0" distR="0">
            <wp:extent cx="4629600" cy="2917372"/>
            <wp:effectExtent l="0" t="0" r="0" b="0"/>
            <wp:docPr id="104" name="Grafi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B3673" w:rsidRDefault="002B3673" w:rsidP="002B3673">
      <w:pPr>
        <w:rPr>
          <w:rFonts w:cs="Times New Roman"/>
          <w:color w:val="000000"/>
          <w:szCs w:val="24"/>
        </w:rPr>
      </w:pPr>
    </w:p>
    <w:p w:rsidR="002B3673" w:rsidRDefault="002B3673" w:rsidP="002B3673">
      <w:pPr>
        <w:rPr>
          <w:rFonts w:cs="Times New Roman"/>
          <w:color w:val="000000"/>
          <w:szCs w:val="24"/>
        </w:rPr>
      </w:pPr>
      <w:r w:rsidRPr="00FD7517">
        <w:rPr>
          <w:rFonts w:cs="Times New Roman"/>
          <w:b/>
          <w:color w:val="000000"/>
          <w:szCs w:val="24"/>
        </w:rPr>
        <w:t>Şekil</w:t>
      </w:r>
      <w:r>
        <w:rPr>
          <w:rFonts w:cs="Times New Roman"/>
          <w:b/>
          <w:color w:val="000000"/>
          <w:szCs w:val="24"/>
        </w:rPr>
        <w:t xml:space="preserve"> </w:t>
      </w:r>
      <w:r w:rsidR="004C3E69">
        <w:rPr>
          <w:rFonts w:cs="Times New Roman"/>
          <w:b/>
          <w:color w:val="000000"/>
          <w:szCs w:val="24"/>
        </w:rPr>
        <w:t>78</w:t>
      </w:r>
      <w:r w:rsidRPr="00FD7517">
        <w:rPr>
          <w:rFonts w:cs="Times New Roman"/>
          <w:b/>
          <w:color w:val="000000"/>
          <w:szCs w:val="24"/>
        </w:rPr>
        <w:t>.</w:t>
      </w:r>
      <w:r>
        <w:rPr>
          <w:rFonts w:cs="Times New Roman"/>
          <w:color w:val="000000"/>
          <w:szCs w:val="24"/>
        </w:rPr>
        <w:t xml:space="preserve"> </w:t>
      </w:r>
      <w:r w:rsidRPr="006A05E3">
        <w:rPr>
          <w:rFonts w:cs="Times New Roman"/>
          <w:color w:val="000000"/>
          <w:szCs w:val="24"/>
        </w:rPr>
        <w:t>MCF-7 kanser hücrelerinin normoksi</w:t>
      </w:r>
      <w:r>
        <w:rPr>
          <w:rFonts w:cs="Times New Roman"/>
          <w:color w:val="000000"/>
          <w:szCs w:val="24"/>
        </w:rPr>
        <w:t>k</w:t>
      </w:r>
      <w:r w:rsidRPr="006A05E3">
        <w:rPr>
          <w:rFonts w:cs="Times New Roman"/>
          <w:color w:val="000000"/>
          <w:szCs w:val="24"/>
        </w:rPr>
        <w:t xml:space="preserve"> ve hipoksi</w:t>
      </w:r>
      <w:r>
        <w:rPr>
          <w:rFonts w:cs="Times New Roman"/>
          <w:color w:val="000000"/>
          <w:szCs w:val="24"/>
        </w:rPr>
        <w:t>k</w:t>
      </w:r>
      <w:r w:rsidRPr="006A05E3">
        <w:rPr>
          <w:rFonts w:cs="Times New Roman"/>
          <w:color w:val="000000"/>
          <w:szCs w:val="24"/>
        </w:rPr>
        <w:t xml:space="preserve"> </w:t>
      </w:r>
      <w:r>
        <w:rPr>
          <w:rFonts w:cs="Times New Roman"/>
          <w:color w:val="000000"/>
          <w:szCs w:val="24"/>
        </w:rPr>
        <w:t>ortamdaki</w:t>
      </w:r>
      <w:r w:rsidRPr="006A05E3">
        <w:rPr>
          <w:rFonts w:cs="Times New Roman"/>
          <w:color w:val="000000"/>
          <w:szCs w:val="24"/>
        </w:rPr>
        <w:t xml:space="preserve"> </w:t>
      </w:r>
      <w:r>
        <w:rPr>
          <w:rFonts w:cs="Times New Roman"/>
          <w:color w:val="000000"/>
          <w:szCs w:val="24"/>
        </w:rPr>
        <w:t xml:space="preserve">farklı inkübasyon süreli 55 mM glukoz </w:t>
      </w:r>
      <w:r w:rsidRPr="006A05E3">
        <w:rPr>
          <w:rFonts w:cs="Times New Roman"/>
          <w:color w:val="000000"/>
          <w:szCs w:val="24"/>
        </w:rPr>
        <w:t xml:space="preserve">uygulama gruplarında </w:t>
      </w:r>
      <w:r>
        <w:rPr>
          <w:rFonts w:cs="Times New Roman"/>
          <w:color w:val="000000"/>
          <w:szCs w:val="24"/>
        </w:rPr>
        <w:t>glukoz tüketim miktarlarının</w:t>
      </w:r>
      <w:r w:rsidRPr="006A05E3">
        <w:rPr>
          <w:rFonts w:cs="Times New Roman"/>
          <w:color w:val="000000"/>
          <w:szCs w:val="24"/>
        </w:rPr>
        <w:t xml:space="preserve"> karşılaştırılması. *</w:t>
      </w:r>
      <w:r w:rsidR="00AA1D33">
        <w:rPr>
          <w:rFonts w:cs="Times New Roman"/>
          <w:color w:val="000000"/>
          <w:szCs w:val="24"/>
        </w:rPr>
        <w:t>p</w:t>
      </w:r>
      <w:r w:rsidRPr="006A05E3">
        <w:rPr>
          <w:rFonts w:cs="Times New Roman"/>
          <w:color w:val="000000"/>
          <w:szCs w:val="24"/>
        </w:rPr>
        <w:t>&lt; 0,001</w:t>
      </w:r>
    </w:p>
    <w:p w:rsidR="002B3673" w:rsidRDefault="002B3673" w:rsidP="002B3673">
      <w:pPr>
        <w:rPr>
          <w:rFonts w:cs="Times New Roman"/>
          <w:color w:val="000000"/>
          <w:szCs w:val="24"/>
        </w:rPr>
      </w:pPr>
    </w:p>
    <w:p w:rsidR="002B3673" w:rsidRPr="004278A9" w:rsidRDefault="002B3673" w:rsidP="002B3673">
      <w:pPr>
        <w:rPr>
          <w:rFonts w:cs="Times New Roman"/>
          <w:color w:val="000000"/>
          <w:szCs w:val="24"/>
        </w:rPr>
      </w:pPr>
    </w:p>
    <w:p w:rsidR="002B3673" w:rsidRDefault="002B3673" w:rsidP="0049666D">
      <w:pPr>
        <w:pStyle w:val="Balk2"/>
      </w:pPr>
      <w:r>
        <w:t>4.</w:t>
      </w:r>
      <w:r w:rsidR="00DD3406">
        <w:t>6</w:t>
      </w:r>
      <w:r w:rsidR="00845D8E">
        <w:t>.</w:t>
      </w:r>
      <w:r>
        <w:t xml:space="preserve"> Wound Healing Test </w:t>
      </w:r>
      <w:r w:rsidRPr="0049666D">
        <w:rPr>
          <w:szCs w:val="24"/>
        </w:rPr>
        <w:t>Sonuçları</w:t>
      </w:r>
    </w:p>
    <w:p w:rsidR="002B3673" w:rsidRDefault="002B3673" w:rsidP="002B3673">
      <w:pPr>
        <w:rPr>
          <w:rFonts w:cs="Times New Roman"/>
          <w:b/>
          <w:color w:val="000000"/>
          <w:szCs w:val="24"/>
        </w:rPr>
      </w:pPr>
    </w:p>
    <w:p w:rsidR="0047181B" w:rsidRDefault="002B3673" w:rsidP="0047181B">
      <w:pPr>
        <w:rPr>
          <w:rFonts w:cs="Times New Roman"/>
          <w:color w:val="000000"/>
          <w:szCs w:val="24"/>
        </w:rPr>
      </w:pPr>
      <w:r>
        <w:rPr>
          <w:rFonts w:cs="Times New Roman"/>
          <w:color w:val="000000"/>
          <w:szCs w:val="24"/>
        </w:rPr>
        <w:t>Ç</w:t>
      </w:r>
      <w:r w:rsidRPr="00851A10">
        <w:rPr>
          <w:rFonts w:cs="Times New Roman"/>
          <w:color w:val="000000"/>
          <w:szCs w:val="24"/>
        </w:rPr>
        <w:t>e</w:t>
      </w:r>
      <w:r>
        <w:rPr>
          <w:rFonts w:cs="Times New Roman"/>
          <w:color w:val="000000"/>
          <w:szCs w:val="24"/>
        </w:rPr>
        <w:t>ş</w:t>
      </w:r>
      <w:r w:rsidRPr="00851A10">
        <w:rPr>
          <w:rFonts w:cs="Times New Roman"/>
          <w:color w:val="000000"/>
          <w:szCs w:val="24"/>
        </w:rPr>
        <w:t xml:space="preserve">itli konsantrasyonlarda glukoz </w:t>
      </w:r>
      <w:r>
        <w:rPr>
          <w:rFonts w:cs="Times New Roman"/>
          <w:color w:val="000000"/>
          <w:szCs w:val="24"/>
        </w:rPr>
        <w:t>(0, 5.5, 15 ve 55 mM)</w:t>
      </w:r>
      <w:r w:rsidR="00D852FC">
        <w:rPr>
          <w:rFonts w:cs="Times New Roman"/>
          <w:color w:val="000000"/>
          <w:szCs w:val="24"/>
        </w:rPr>
        <w:t xml:space="preserve"> içeren besiyerleri</w:t>
      </w:r>
      <w:r w:rsidR="00D852FC" w:rsidRPr="00851A10">
        <w:rPr>
          <w:rFonts w:cs="Times New Roman"/>
          <w:color w:val="000000"/>
          <w:szCs w:val="24"/>
        </w:rPr>
        <w:t xml:space="preserve"> </w:t>
      </w:r>
      <w:r w:rsidRPr="00851A10">
        <w:rPr>
          <w:rFonts w:cs="Times New Roman"/>
          <w:color w:val="000000"/>
          <w:szCs w:val="24"/>
        </w:rPr>
        <w:t xml:space="preserve">ile muamele </w:t>
      </w:r>
      <w:r>
        <w:rPr>
          <w:rFonts w:cs="Times New Roman"/>
          <w:color w:val="000000"/>
          <w:szCs w:val="24"/>
        </w:rPr>
        <w:t xml:space="preserve">edilen ve </w:t>
      </w:r>
      <w:r w:rsidRPr="00851A10">
        <w:rPr>
          <w:rFonts w:cs="Times New Roman"/>
          <w:color w:val="000000"/>
          <w:szCs w:val="24"/>
        </w:rPr>
        <w:t>normoksi/hipoksi ortamların</w:t>
      </w:r>
      <w:r>
        <w:rPr>
          <w:rFonts w:cs="Times New Roman"/>
          <w:color w:val="000000"/>
          <w:szCs w:val="24"/>
        </w:rPr>
        <w:t xml:space="preserve">a alınan </w:t>
      </w:r>
      <w:r w:rsidRPr="00851A10">
        <w:rPr>
          <w:rFonts w:cs="Times New Roman"/>
          <w:color w:val="000000"/>
          <w:szCs w:val="24"/>
        </w:rPr>
        <w:t>MCF-7 hücrelerin</w:t>
      </w:r>
      <w:r>
        <w:rPr>
          <w:rFonts w:cs="Times New Roman"/>
          <w:color w:val="000000"/>
          <w:szCs w:val="24"/>
        </w:rPr>
        <w:t>de</w:t>
      </w:r>
      <w:r w:rsidRPr="00851A10">
        <w:rPr>
          <w:rFonts w:cs="Times New Roman"/>
          <w:color w:val="000000"/>
          <w:szCs w:val="24"/>
        </w:rPr>
        <w:t xml:space="preserve"> 0</w:t>
      </w:r>
      <w:proofErr w:type="gramStart"/>
      <w:r w:rsidRPr="00851A10">
        <w:rPr>
          <w:rFonts w:cs="Times New Roman"/>
          <w:color w:val="000000"/>
          <w:szCs w:val="24"/>
        </w:rPr>
        <w:t>.,</w:t>
      </w:r>
      <w:proofErr w:type="gramEnd"/>
      <w:r w:rsidRPr="00851A10">
        <w:rPr>
          <w:rFonts w:cs="Times New Roman"/>
          <w:color w:val="000000"/>
          <w:szCs w:val="24"/>
        </w:rPr>
        <w:t xml:space="preserve"> 6., 12., 24. ve 48. saatlerde başlangıçta açılan yarıkların durumu (kapanıp-kapanmadığı) mikrosko</w:t>
      </w:r>
      <w:r>
        <w:rPr>
          <w:rFonts w:cs="Times New Roman"/>
          <w:color w:val="000000"/>
          <w:szCs w:val="24"/>
        </w:rPr>
        <w:t>pla incelenip görüntüleri alındı</w:t>
      </w:r>
      <w:r w:rsidRPr="00851A10">
        <w:rPr>
          <w:rFonts w:cs="Times New Roman"/>
          <w:color w:val="000000"/>
          <w:szCs w:val="24"/>
        </w:rPr>
        <w:t xml:space="preserve"> ve imageJ 1.48 programı</w:t>
      </w:r>
      <w:r>
        <w:rPr>
          <w:rFonts w:cs="Times New Roman"/>
          <w:color w:val="000000"/>
          <w:szCs w:val="24"/>
        </w:rPr>
        <w:t xml:space="preserve"> kullanılarak analizleri yapıldı. 5.5 mM uygulama için yara açıklığı yüzdeleri, </w:t>
      </w:r>
      <w:r w:rsidR="006162F7">
        <w:rPr>
          <w:rFonts w:cs="Times New Roman"/>
          <w:color w:val="000000"/>
          <w:szCs w:val="24"/>
        </w:rPr>
        <w:t xml:space="preserve">normoksik </w:t>
      </w:r>
      <w:proofErr w:type="gramStart"/>
      <w:r w:rsidR="006162F7">
        <w:rPr>
          <w:rFonts w:cs="Times New Roman"/>
          <w:color w:val="000000"/>
          <w:szCs w:val="24"/>
        </w:rPr>
        <w:t xml:space="preserve">ortamda </w:t>
      </w:r>
      <w:r>
        <w:rPr>
          <w:rFonts w:cs="Times New Roman"/>
          <w:color w:val="000000"/>
          <w:szCs w:val="24"/>
        </w:rPr>
        <w:t xml:space="preserve"> 6</w:t>
      </w:r>
      <w:proofErr w:type="gramEnd"/>
      <w:r>
        <w:rPr>
          <w:rFonts w:cs="Times New Roman"/>
          <w:color w:val="000000"/>
          <w:szCs w:val="24"/>
        </w:rPr>
        <w:t xml:space="preserve">. ve 12. saatlerde </w:t>
      </w:r>
      <w:r w:rsidR="00B2566B">
        <w:rPr>
          <w:rFonts w:cs="Times New Roman"/>
          <w:color w:val="000000"/>
          <w:szCs w:val="24"/>
        </w:rPr>
        <w:t xml:space="preserve">(ilk inkübasyon süreleri) kontrole (0.dakika) göre </w:t>
      </w:r>
      <w:r>
        <w:rPr>
          <w:rFonts w:cs="Times New Roman"/>
          <w:color w:val="000000"/>
          <w:szCs w:val="24"/>
        </w:rPr>
        <w:t xml:space="preserve">daha yüksek bulundu. 0 mM glukoz </w:t>
      </w:r>
      <w:proofErr w:type="gramStart"/>
      <w:r>
        <w:rPr>
          <w:rFonts w:cs="Times New Roman"/>
          <w:color w:val="000000"/>
          <w:szCs w:val="24"/>
        </w:rPr>
        <w:t>konsantrasyonunda</w:t>
      </w:r>
      <w:proofErr w:type="gramEnd"/>
      <w:r>
        <w:rPr>
          <w:rFonts w:cs="Times New Roman"/>
          <w:color w:val="000000"/>
          <w:szCs w:val="24"/>
        </w:rPr>
        <w:t xml:space="preserve"> ise hem normoksi hem de hipoksi ortamında </w:t>
      </w:r>
      <w:r w:rsidR="00B2566B">
        <w:rPr>
          <w:rFonts w:cs="Times New Roman"/>
          <w:color w:val="000000"/>
          <w:szCs w:val="24"/>
        </w:rPr>
        <w:t xml:space="preserve">12. saatten itibaren </w:t>
      </w:r>
      <w:r>
        <w:rPr>
          <w:rFonts w:cs="Times New Roman"/>
          <w:color w:val="000000"/>
          <w:szCs w:val="24"/>
        </w:rPr>
        <w:t>artan inkübasyon süresi ile yara açıklığının arttığı</w:t>
      </w:r>
      <w:r w:rsidR="006A7C9B">
        <w:rPr>
          <w:rFonts w:cs="Times New Roman"/>
          <w:color w:val="000000"/>
          <w:szCs w:val="24"/>
        </w:rPr>
        <w:t xml:space="preserve"> (</w:t>
      </w:r>
      <w:r w:rsidR="006A7C9B" w:rsidRPr="006A7C9B">
        <w:rPr>
          <w:rFonts w:cs="Times New Roman"/>
          <w:color w:val="000000"/>
          <w:szCs w:val="24"/>
        </w:rPr>
        <w:t>p&lt;0,001)</w:t>
      </w:r>
      <w:r w:rsidR="006A7C9B">
        <w:rPr>
          <w:rFonts w:cs="Times New Roman"/>
          <w:color w:val="000000"/>
          <w:szCs w:val="24"/>
        </w:rPr>
        <w:t>,</w:t>
      </w:r>
      <w:r>
        <w:rPr>
          <w:rFonts w:cs="Times New Roman"/>
          <w:color w:val="000000"/>
          <w:szCs w:val="24"/>
        </w:rPr>
        <w:t xml:space="preserve"> </w:t>
      </w:r>
      <w:r w:rsidR="00B2566B">
        <w:rPr>
          <w:rFonts w:cs="Times New Roman"/>
          <w:color w:val="000000"/>
          <w:szCs w:val="24"/>
        </w:rPr>
        <w:t>glukozsuz ortamın hücre morfolojilerini</w:t>
      </w:r>
      <w:r>
        <w:rPr>
          <w:rFonts w:cs="Times New Roman"/>
          <w:color w:val="000000"/>
          <w:szCs w:val="24"/>
        </w:rPr>
        <w:t xml:space="preserve"> </w:t>
      </w:r>
      <w:r w:rsidR="00365723">
        <w:rPr>
          <w:rFonts w:cs="Times New Roman"/>
          <w:color w:val="000000"/>
          <w:szCs w:val="24"/>
        </w:rPr>
        <w:t>inkübasyon süresi artışına bağlı olarak</w:t>
      </w:r>
      <w:r>
        <w:rPr>
          <w:rFonts w:cs="Times New Roman"/>
          <w:color w:val="000000"/>
          <w:szCs w:val="24"/>
        </w:rPr>
        <w:t xml:space="preserve"> değişti</w:t>
      </w:r>
      <w:r w:rsidR="00B2566B">
        <w:rPr>
          <w:rFonts w:cs="Times New Roman"/>
          <w:color w:val="000000"/>
          <w:szCs w:val="24"/>
        </w:rPr>
        <w:t>rdiği</w:t>
      </w:r>
      <w:r>
        <w:rPr>
          <w:rFonts w:cs="Times New Roman"/>
          <w:color w:val="000000"/>
          <w:szCs w:val="24"/>
        </w:rPr>
        <w:t xml:space="preserve"> gözlendi. </w:t>
      </w:r>
      <w:r>
        <w:rPr>
          <w:rFonts w:cs="Times New Roman"/>
        </w:rPr>
        <w:t>Her iki ortamda da</w:t>
      </w:r>
      <w:r w:rsidRPr="008620D0">
        <w:rPr>
          <w:rFonts w:cs="Times New Roman"/>
        </w:rPr>
        <w:t xml:space="preserve"> </w:t>
      </w:r>
      <w:r>
        <w:rPr>
          <w:rFonts w:cs="Times New Roman"/>
        </w:rPr>
        <w:t>55 mM</w:t>
      </w:r>
      <w:r w:rsidRPr="008620D0">
        <w:rPr>
          <w:rFonts w:cs="Times New Roman"/>
        </w:rPr>
        <w:t xml:space="preserve"> glukoz </w:t>
      </w:r>
      <w:r>
        <w:rPr>
          <w:rFonts w:cs="Times New Roman"/>
        </w:rPr>
        <w:t xml:space="preserve">içeren </w:t>
      </w:r>
      <w:r w:rsidRPr="008620D0">
        <w:rPr>
          <w:rFonts w:cs="Times New Roman"/>
        </w:rPr>
        <w:t xml:space="preserve">gruplarda </w:t>
      </w:r>
      <w:r w:rsidR="00B2566B">
        <w:rPr>
          <w:rFonts w:cs="Times New Roman"/>
        </w:rPr>
        <w:t>artan inkübasyon süresi ile 6.saate göre</w:t>
      </w:r>
      <w:r w:rsidRPr="008620D0">
        <w:rPr>
          <w:rFonts w:cs="Times New Roman"/>
        </w:rPr>
        <w:t xml:space="preserve"> </w:t>
      </w:r>
      <w:r w:rsidR="00B2566B">
        <w:rPr>
          <w:rFonts w:cs="Times New Roman"/>
        </w:rPr>
        <w:t xml:space="preserve">yara açıklığı </w:t>
      </w:r>
      <w:r w:rsidR="006A7C9B">
        <w:rPr>
          <w:rFonts w:cs="Times New Roman"/>
        </w:rPr>
        <w:t>mesafelerinin azaldığı</w:t>
      </w:r>
      <w:r>
        <w:rPr>
          <w:rFonts w:cs="Times New Roman"/>
        </w:rPr>
        <w:t xml:space="preserve"> </w:t>
      </w:r>
      <w:r w:rsidR="00B2566B">
        <w:rPr>
          <w:rFonts w:cs="Times New Roman"/>
        </w:rPr>
        <w:t>gö</w:t>
      </w:r>
      <w:r w:rsidR="006A7C9B">
        <w:rPr>
          <w:rFonts w:cs="Times New Roman"/>
        </w:rPr>
        <w:t xml:space="preserve">rüldü </w:t>
      </w:r>
      <w:r w:rsidR="006A7C9B">
        <w:rPr>
          <w:rFonts w:cs="Times New Roman"/>
          <w:color w:val="000000"/>
          <w:szCs w:val="24"/>
        </w:rPr>
        <w:t>(</w:t>
      </w:r>
      <w:r w:rsidR="006A7C9B" w:rsidRPr="006A7C9B">
        <w:rPr>
          <w:rFonts w:cs="Times New Roman"/>
          <w:color w:val="000000"/>
          <w:szCs w:val="24"/>
        </w:rPr>
        <w:t>p&lt;0,001)</w:t>
      </w:r>
      <w:r w:rsidR="006A7C9B">
        <w:rPr>
          <w:rFonts w:cs="Times New Roman"/>
          <w:color w:val="000000"/>
          <w:szCs w:val="24"/>
        </w:rPr>
        <w:t>.</w:t>
      </w:r>
      <w:r>
        <w:rPr>
          <w:rFonts w:cs="Times New Roman"/>
        </w:rPr>
        <w:t xml:space="preserve"> </w:t>
      </w:r>
      <w:r w:rsidR="00B8180C">
        <w:rPr>
          <w:rFonts w:cs="Times New Roman"/>
        </w:rPr>
        <w:t>15 ve 55 mM</w:t>
      </w:r>
      <w:r w:rsidR="00B8180C" w:rsidRPr="008620D0">
        <w:rPr>
          <w:rFonts w:cs="Times New Roman"/>
        </w:rPr>
        <w:t xml:space="preserve"> </w:t>
      </w:r>
      <w:proofErr w:type="gramStart"/>
      <w:r w:rsidR="00365723">
        <w:rPr>
          <w:rFonts w:cs="Times New Roman"/>
        </w:rPr>
        <w:t>konsantrasyon</w:t>
      </w:r>
      <w:proofErr w:type="gramEnd"/>
      <w:r w:rsidR="00365723">
        <w:rPr>
          <w:rFonts w:cs="Times New Roman"/>
        </w:rPr>
        <w:t xml:space="preserve"> grupları</w:t>
      </w:r>
      <w:r w:rsidR="00B8180C">
        <w:rPr>
          <w:rFonts w:cs="Times New Roman"/>
        </w:rPr>
        <w:t xml:space="preserve"> için tüm inkübasyon sürelerinde normoksik ortamda hipoksik ortamdakilere kıyasla yara kapanışlarının kontrole göre daha yüksek düzeyde olduğu belirlendi. </w:t>
      </w:r>
      <w:r w:rsidR="00AE02F9">
        <w:rPr>
          <w:rFonts w:cs="Times New Roman"/>
        </w:rPr>
        <w:t xml:space="preserve">Normoksi ve hipoksi ortamında elde edilen </w:t>
      </w:r>
      <w:r>
        <w:rPr>
          <w:rFonts w:cs="Times New Roman"/>
          <w:color w:val="000000"/>
          <w:szCs w:val="24"/>
        </w:rPr>
        <w:t>Wound Healing test sonuçları</w:t>
      </w:r>
      <w:r w:rsidR="0073068F">
        <w:rPr>
          <w:rFonts w:cs="Times New Roman"/>
          <w:color w:val="000000"/>
          <w:szCs w:val="24"/>
        </w:rPr>
        <w:t xml:space="preserve"> </w:t>
      </w:r>
      <w:r w:rsidR="004C3E69">
        <w:rPr>
          <w:rFonts w:cs="Times New Roman"/>
          <w:color w:val="000000"/>
          <w:szCs w:val="24"/>
        </w:rPr>
        <w:t>Tablo 16 ve 17</w:t>
      </w:r>
      <w:r w:rsidR="0073068F">
        <w:rPr>
          <w:rFonts w:cs="Times New Roman"/>
          <w:color w:val="000000"/>
          <w:szCs w:val="24"/>
        </w:rPr>
        <w:t>;</w:t>
      </w:r>
      <w:r>
        <w:rPr>
          <w:rFonts w:cs="Times New Roman"/>
          <w:color w:val="000000"/>
          <w:szCs w:val="24"/>
        </w:rPr>
        <w:t xml:space="preserve"> hücrelerin morfolojik görüntüleri </w:t>
      </w:r>
      <w:r w:rsidR="0073068F">
        <w:rPr>
          <w:rFonts w:cs="Times New Roman"/>
          <w:color w:val="000000"/>
          <w:szCs w:val="24"/>
        </w:rPr>
        <w:t xml:space="preserve">ise </w:t>
      </w:r>
      <w:r>
        <w:rPr>
          <w:rFonts w:cs="Times New Roman"/>
          <w:color w:val="000000"/>
          <w:szCs w:val="24"/>
        </w:rPr>
        <w:t xml:space="preserve">Resim </w:t>
      </w:r>
      <w:r w:rsidR="004C3E69">
        <w:rPr>
          <w:rFonts w:cs="Times New Roman"/>
          <w:color w:val="000000"/>
          <w:szCs w:val="24"/>
        </w:rPr>
        <w:t xml:space="preserve">8 ve 9’da </w:t>
      </w:r>
      <w:r w:rsidR="0047181B">
        <w:rPr>
          <w:rFonts w:cs="Times New Roman"/>
          <w:color w:val="000000"/>
          <w:szCs w:val="24"/>
        </w:rPr>
        <w:t>verilmiştir</w:t>
      </w:r>
      <w:r w:rsidR="00AA1D33">
        <w:rPr>
          <w:rFonts w:cs="Times New Roman"/>
          <w:color w:val="000000"/>
          <w:szCs w:val="24"/>
        </w:rPr>
        <w:t>.</w:t>
      </w:r>
    </w:p>
    <w:p w:rsidR="0047181B" w:rsidRPr="00B9575F" w:rsidRDefault="0047181B" w:rsidP="0047181B">
      <w:pPr>
        <w:ind w:firstLine="0"/>
        <w:rPr>
          <w:rFonts w:cs="Times New Roman"/>
          <w:color w:val="000000"/>
          <w:szCs w:val="24"/>
        </w:rPr>
      </w:pPr>
      <w:r w:rsidRPr="00CD3B97">
        <w:rPr>
          <w:rFonts w:cs="Times New Roman"/>
          <w:b/>
          <w:color w:val="000000"/>
          <w:szCs w:val="24"/>
        </w:rPr>
        <w:lastRenderedPageBreak/>
        <w:t>Tablo</w:t>
      </w:r>
      <w:r w:rsidR="004C3E69">
        <w:rPr>
          <w:rFonts w:cs="Times New Roman"/>
          <w:b/>
          <w:color w:val="000000"/>
          <w:szCs w:val="24"/>
        </w:rPr>
        <w:t xml:space="preserve"> 16</w:t>
      </w:r>
      <w:r w:rsidR="00304074">
        <w:rPr>
          <w:rFonts w:cs="Times New Roman"/>
          <w:b/>
          <w:color w:val="000000"/>
          <w:szCs w:val="24"/>
        </w:rPr>
        <w:t>.</w:t>
      </w:r>
      <w:r>
        <w:rPr>
          <w:rFonts w:cs="Times New Roman"/>
          <w:color w:val="000000"/>
          <w:szCs w:val="24"/>
        </w:rPr>
        <w:t xml:space="preserve"> Normoksi ortamında glukoz muamelesinin MCF-7 hücrelerinde </w:t>
      </w:r>
      <w:proofErr w:type="gramStart"/>
      <w:r>
        <w:rPr>
          <w:rFonts w:cs="Times New Roman"/>
          <w:color w:val="000000"/>
          <w:szCs w:val="24"/>
        </w:rPr>
        <w:t>konsantrasyon</w:t>
      </w:r>
      <w:proofErr w:type="gramEnd"/>
      <w:r>
        <w:rPr>
          <w:rFonts w:cs="Times New Roman"/>
          <w:color w:val="000000"/>
          <w:szCs w:val="24"/>
        </w:rPr>
        <w:t xml:space="preserve"> ve zamana bağlı olarak hücrelerin göç potansiyeli üzerine etkisi</w:t>
      </w:r>
      <w:r w:rsidR="00C173FA">
        <w:rPr>
          <w:rFonts w:cs="Times New Roman"/>
          <w:color w:val="000000"/>
          <w:szCs w:val="24"/>
        </w:rPr>
        <w:t>.</w:t>
      </w:r>
    </w:p>
    <w:tbl>
      <w:tblPr>
        <w:tblStyle w:val="TabloKlavuzu2"/>
        <w:tblpPr w:leftFromText="141" w:rightFromText="141" w:vertAnchor="text" w:horzAnchor="margin" w:tblpY="354"/>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488"/>
        <w:gridCol w:w="1633"/>
        <w:gridCol w:w="1459"/>
        <w:gridCol w:w="1417"/>
        <w:gridCol w:w="1561"/>
      </w:tblGrid>
      <w:tr w:rsidR="00C97A09" w:rsidRPr="00972ABE" w:rsidTr="00054A83">
        <w:trPr>
          <w:trHeight w:val="438"/>
        </w:trPr>
        <w:tc>
          <w:tcPr>
            <w:tcW w:w="1800" w:type="dxa"/>
            <w:tcBorders>
              <w:top w:val="single" w:sz="4" w:space="0" w:color="auto"/>
              <w:bottom w:val="single" w:sz="4" w:space="0" w:color="auto"/>
            </w:tcBorders>
            <w:shd w:val="clear" w:color="auto" w:fill="FFFFFF" w:themeFill="background1"/>
            <w:noWrap/>
            <w:hideMark/>
          </w:tcPr>
          <w:p w:rsidR="00986D30" w:rsidRPr="00C173FA" w:rsidRDefault="00986D30" w:rsidP="00986D30">
            <w:pPr>
              <w:spacing w:line="240" w:lineRule="auto"/>
              <w:ind w:firstLine="0"/>
              <w:jc w:val="center"/>
              <w:rPr>
                <w:rFonts w:eastAsia="Times New Roman"/>
                <w:b/>
                <w:color w:val="000000"/>
                <w:sz w:val="20"/>
                <w:szCs w:val="20"/>
                <w:lang w:eastAsia="tr-TR"/>
              </w:rPr>
            </w:pPr>
            <w:r w:rsidRPr="00C173FA">
              <w:rPr>
                <w:rFonts w:eastAsia="Times New Roman"/>
                <w:b/>
                <w:color w:val="000000"/>
                <w:sz w:val="20"/>
                <w:szCs w:val="20"/>
                <w:lang w:eastAsia="tr-TR"/>
              </w:rPr>
              <w:t>NORMOKSİ</w:t>
            </w:r>
          </w:p>
          <w:p w:rsidR="00C97A09" w:rsidRPr="00C173FA" w:rsidRDefault="00986D30" w:rsidP="00986D30">
            <w:pPr>
              <w:spacing w:line="240" w:lineRule="auto"/>
              <w:ind w:firstLine="0"/>
              <w:jc w:val="center"/>
              <w:rPr>
                <w:rFonts w:eastAsia="Times New Roman"/>
                <w:b/>
                <w:color w:val="000000"/>
                <w:sz w:val="20"/>
                <w:szCs w:val="20"/>
                <w:lang w:eastAsia="tr-TR"/>
              </w:rPr>
            </w:pPr>
            <w:r w:rsidRPr="00C173FA">
              <w:rPr>
                <w:rFonts w:eastAsia="Times New Roman"/>
                <w:b/>
                <w:color w:val="000000"/>
                <w:sz w:val="20"/>
                <w:szCs w:val="20"/>
                <w:lang w:eastAsia="tr-TR"/>
              </w:rPr>
              <w:t>Yara Mesafesi (µm)</w:t>
            </w:r>
          </w:p>
        </w:tc>
        <w:tc>
          <w:tcPr>
            <w:tcW w:w="1488" w:type="dxa"/>
            <w:tcBorders>
              <w:top w:val="single" w:sz="4" w:space="0" w:color="auto"/>
              <w:bottom w:val="single" w:sz="4" w:space="0" w:color="auto"/>
            </w:tcBorders>
            <w:shd w:val="clear" w:color="auto" w:fill="FFFFFF" w:themeFill="background1"/>
            <w:noWrap/>
            <w:hideMark/>
          </w:tcPr>
          <w:p w:rsidR="00C173FA" w:rsidRPr="00C173FA" w:rsidRDefault="00C173FA" w:rsidP="00C173FA">
            <w:pPr>
              <w:spacing w:line="240" w:lineRule="auto"/>
              <w:ind w:firstLine="0"/>
              <w:jc w:val="center"/>
              <w:rPr>
                <w:rFonts w:eastAsia="Times New Roman"/>
                <w:b/>
                <w:color w:val="000000"/>
                <w:sz w:val="20"/>
                <w:szCs w:val="20"/>
                <w:lang w:eastAsia="tr-TR"/>
              </w:rPr>
            </w:pPr>
          </w:p>
          <w:p w:rsidR="00C97A09" w:rsidRPr="00C173FA" w:rsidRDefault="00C97A09" w:rsidP="00C173FA">
            <w:pPr>
              <w:spacing w:line="240" w:lineRule="auto"/>
              <w:ind w:firstLine="0"/>
              <w:jc w:val="center"/>
              <w:rPr>
                <w:rFonts w:eastAsia="Times New Roman"/>
                <w:b/>
                <w:color w:val="000000"/>
                <w:sz w:val="20"/>
                <w:szCs w:val="20"/>
                <w:lang w:eastAsia="tr-TR"/>
              </w:rPr>
            </w:pPr>
            <w:r w:rsidRPr="00C173FA">
              <w:rPr>
                <w:rFonts w:eastAsia="Times New Roman"/>
                <w:b/>
                <w:color w:val="000000"/>
                <w:sz w:val="20"/>
                <w:szCs w:val="20"/>
                <w:lang w:eastAsia="tr-TR"/>
              </w:rPr>
              <w:t>0.saat</w:t>
            </w:r>
          </w:p>
        </w:tc>
        <w:tc>
          <w:tcPr>
            <w:tcW w:w="1633" w:type="dxa"/>
            <w:tcBorders>
              <w:top w:val="single" w:sz="4" w:space="0" w:color="auto"/>
              <w:bottom w:val="single" w:sz="4" w:space="0" w:color="auto"/>
            </w:tcBorders>
            <w:shd w:val="clear" w:color="auto" w:fill="FFFFFF" w:themeFill="background1"/>
            <w:noWrap/>
            <w:hideMark/>
          </w:tcPr>
          <w:p w:rsidR="00C173FA" w:rsidRPr="00C173FA" w:rsidRDefault="00C173FA" w:rsidP="00C173FA">
            <w:pPr>
              <w:spacing w:line="240" w:lineRule="auto"/>
              <w:ind w:firstLine="0"/>
              <w:jc w:val="center"/>
              <w:rPr>
                <w:rFonts w:eastAsia="Times New Roman"/>
                <w:b/>
                <w:color w:val="000000"/>
                <w:sz w:val="20"/>
                <w:szCs w:val="20"/>
                <w:lang w:eastAsia="tr-TR"/>
              </w:rPr>
            </w:pPr>
          </w:p>
          <w:p w:rsidR="00C97A09" w:rsidRPr="00C173FA" w:rsidRDefault="00C97A09" w:rsidP="00C173FA">
            <w:pPr>
              <w:spacing w:line="240" w:lineRule="auto"/>
              <w:ind w:firstLine="0"/>
              <w:jc w:val="center"/>
              <w:rPr>
                <w:rFonts w:eastAsia="Times New Roman"/>
                <w:b/>
                <w:color w:val="000000"/>
                <w:sz w:val="20"/>
                <w:szCs w:val="20"/>
                <w:lang w:eastAsia="tr-TR"/>
              </w:rPr>
            </w:pPr>
            <w:r w:rsidRPr="00C173FA">
              <w:rPr>
                <w:rFonts w:eastAsia="Times New Roman"/>
                <w:b/>
                <w:color w:val="000000"/>
                <w:sz w:val="20"/>
                <w:szCs w:val="20"/>
                <w:lang w:eastAsia="tr-TR"/>
              </w:rPr>
              <w:t>6.saat</w:t>
            </w:r>
          </w:p>
        </w:tc>
        <w:tc>
          <w:tcPr>
            <w:tcW w:w="1459" w:type="dxa"/>
            <w:tcBorders>
              <w:top w:val="single" w:sz="4" w:space="0" w:color="auto"/>
              <w:bottom w:val="single" w:sz="4" w:space="0" w:color="auto"/>
            </w:tcBorders>
            <w:shd w:val="clear" w:color="auto" w:fill="FFFFFF" w:themeFill="background1"/>
            <w:noWrap/>
            <w:hideMark/>
          </w:tcPr>
          <w:p w:rsidR="00C173FA" w:rsidRPr="00C173FA" w:rsidRDefault="00C173FA" w:rsidP="00C173FA">
            <w:pPr>
              <w:spacing w:line="240" w:lineRule="auto"/>
              <w:ind w:firstLine="0"/>
              <w:jc w:val="center"/>
              <w:rPr>
                <w:rFonts w:eastAsia="Times New Roman"/>
                <w:b/>
                <w:color w:val="000000"/>
                <w:sz w:val="20"/>
                <w:szCs w:val="20"/>
                <w:lang w:eastAsia="tr-TR"/>
              </w:rPr>
            </w:pPr>
          </w:p>
          <w:p w:rsidR="00C97A09" w:rsidRPr="00C173FA" w:rsidRDefault="00C97A09" w:rsidP="00C173FA">
            <w:pPr>
              <w:spacing w:line="240" w:lineRule="auto"/>
              <w:ind w:firstLine="0"/>
              <w:jc w:val="center"/>
              <w:rPr>
                <w:rFonts w:eastAsia="Times New Roman"/>
                <w:b/>
                <w:color w:val="000000"/>
                <w:sz w:val="20"/>
                <w:szCs w:val="20"/>
                <w:lang w:eastAsia="tr-TR"/>
              </w:rPr>
            </w:pPr>
            <w:r w:rsidRPr="00C173FA">
              <w:rPr>
                <w:rFonts w:eastAsia="Times New Roman"/>
                <w:b/>
                <w:color w:val="000000"/>
                <w:sz w:val="20"/>
                <w:szCs w:val="20"/>
                <w:lang w:eastAsia="tr-TR"/>
              </w:rPr>
              <w:t>12.saat</w:t>
            </w:r>
          </w:p>
        </w:tc>
        <w:tc>
          <w:tcPr>
            <w:tcW w:w="1417" w:type="dxa"/>
            <w:tcBorders>
              <w:top w:val="single" w:sz="4" w:space="0" w:color="auto"/>
              <w:bottom w:val="single" w:sz="4" w:space="0" w:color="auto"/>
            </w:tcBorders>
            <w:shd w:val="clear" w:color="auto" w:fill="FFFFFF" w:themeFill="background1"/>
            <w:noWrap/>
            <w:hideMark/>
          </w:tcPr>
          <w:p w:rsidR="00C173FA" w:rsidRPr="00C173FA" w:rsidRDefault="00C173FA" w:rsidP="00C173FA">
            <w:pPr>
              <w:spacing w:line="240" w:lineRule="auto"/>
              <w:ind w:firstLine="0"/>
              <w:jc w:val="center"/>
              <w:rPr>
                <w:rFonts w:eastAsia="Times New Roman"/>
                <w:b/>
                <w:color w:val="000000"/>
                <w:sz w:val="20"/>
                <w:szCs w:val="20"/>
                <w:lang w:eastAsia="tr-TR"/>
              </w:rPr>
            </w:pPr>
          </w:p>
          <w:p w:rsidR="00C97A09" w:rsidRPr="00C173FA" w:rsidRDefault="00C97A09" w:rsidP="00C173FA">
            <w:pPr>
              <w:spacing w:line="240" w:lineRule="auto"/>
              <w:ind w:firstLine="0"/>
              <w:jc w:val="center"/>
              <w:rPr>
                <w:rFonts w:eastAsia="Times New Roman"/>
                <w:b/>
                <w:color w:val="000000"/>
                <w:sz w:val="20"/>
                <w:szCs w:val="20"/>
                <w:lang w:eastAsia="tr-TR"/>
              </w:rPr>
            </w:pPr>
            <w:r w:rsidRPr="00C173FA">
              <w:rPr>
                <w:rFonts w:eastAsia="Times New Roman"/>
                <w:b/>
                <w:color w:val="000000"/>
                <w:sz w:val="20"/>
                <w:szCs w:val="20"/>
                <w:lang w:eastAsia="tr-TR"/>
              </w:rPr>
              <w:t>24.saat</w:t>
            </w:r>
          </w:p>
        </w:tc>
        <w:tc>
          <w:tcPr>
            <w:tcW w:w="1561" w:type="dxa"/>
            <w:tcBorders>
              <w:top w:val="single" w:sz="4" w:space="0" w:color="auto"/>
              <w:bottom w:val="single" w:sz="4" w:space="0" w:color="auto"/>
            </w:tcBorders>
            <w:shd w:val="clear" w:color="auto" w:fill="FFFFFF" w:themeFill="background1"/>
            <w:noWrap/>
            <w:hideMark/>
          </w:tcPr>
          <w:p w:rsidR="00C173FA" w:rsidRPr="00C173FA" w:rsidRDefault="00C173FA" w:rsidP="00C173FA">
            <w:pPr>
              <w:spacing w:line="240" w:lineRule="auto"/>
              <w:ind w:firstLine="0"/>
              <w:jc w:val="center"/>
              <w:rPr>
                <w:rFonts w:eastAsia="Times New Roman"/>
                <w:b/>
                <w:color w:val="000000"/>
                <w:sz w:val="20"/>
                <w:szCs w:val="20"/>
                <w:lang w:eastAsia="tr-TR"/>
              </w:rPr>
            </w:pPr>
          </w:p>
          <w:p w:rsidR="00C97A09" w:rsidRPr="00C173FA" w:rsidRDefault="00C97A09" w:rsidP="00C173FA">
            <w:pPr>
              <w:spacing w:line="240" w:lineRule="auto"/>
              <w:ind w:firstLine="0"/>
              <w:jc w:val="center"/>
              <w:rPr>
                <w:rFonts w:eastAsia="Times New Roman"/>
                <w:b/>
                <w:color w:val="000000"/>
                <w:sz w:val="20"/>
                <w:szCs w:val="20"/>
                <w:lang w:eastAsia="tr-TR"/>
              </w:rPr>
            </w:pPr>
            <w:r w:rsidRPr="00C173FA">
              <w:rPr>
                <w:rFonts w:eastAsia="Times New Roman"/>
                <w:b/>
                <w:color w:val="000000"/>
                <w:sz w:val="20"/>
                <w:szCs w:val="20"/>
                <w:lang w:eastAsia="tr-TR"/>
              </w:rPr>
              <w:t>48.saat</w:t>
            </w:r>
          </w:p>
        </w:tc>
      </w:tr>
      <w:tr w:rsidR="00C97A09" w:rsidRPr="00972ABE" w:rsidTr="00C173FA">
        <w:trPr>
          <w:trHeight w:val="327"/>
        </w:trPr>
        <w:tc>
          <w:tcPr>
            <w:tcW w:w="1800" w:type="dxa"/>
            <w:tcBorders>
              <w:top w:val="single" w:sz="4" w:space="0" w:color="auto"/>
            </w:tcBorders>
            <w:shd w:val="clear" w:color="auto" w:fill="FFFFFF" w:themeFill="background1"/>
            <w:noWrap/>
            <w:hideMark/>
          </w:tcPr>
          <w:p w:rsidR="00C97A09" w:rsidRPr="00C173FA" w:rsidRDefault="004A2529" w:rsidP="00986D30">
            <w:pPr>
              <w:spacing w:line="240" w:lineRule="auto"/>
              <w:ind w:firstLine="0"/>
              <w:jc w:val="center"/>
              <w:rPr>
                <w:rFonts w:eastAsia="Times New Roman"/>
                <w:b/>
                <w:sz w:val="20"/>
                <w:szCs w:val="20"/>
                <w:lang w:eastAsia="tr-TR"/>
              </w:rPr>
            </w:pPr>
            <w:r w:rsidRPr="00C173FA">
              <w:rPr>
                <w:rFonts w:eastAsia="Times New Roman"/>
                <w:b/>
                <w:sz w:val="20"/>
                <w:szCs w:val="20"/>
                <w:lang w:eastAsia="tr-TR"/>
              </w:rPr>
              <w:t>K</w:t>
            </w:r>
            <w:r w:rsidR="00C97A09" w:rsidRPr="00C173FA">
              <w:rPr>
                <w:rFonts w:eastAsia="Times New Roman"/>
                <w:b/>
                <w:sz w:val="20"/>
                <w:szCs w:val="20"/>
                <w:lang w:eastAsia="tr-TR"/>
              </w:rPr>
              <w:t>ontrol (0 mM )</w:t>
            </w:r>
          </w:p>
        </w:tc>
        <w:tc>
          <w:tcPr>
            <w:tcW w:w="1488" w:type="dxa"/>
            <w:tcBorders>
              <w:top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845,64±0,01</w:t>
            </w:r>
            <w:r w:rsidR="00746F57" w:rsidRPr="00C173FA">
              <w:rPr>
                <w:rFonts w:eastAsia="Times New Roman"/>
                <w:sz w:val="18"/>
                <w:szCs w:val="20"/>
                <w:vertAlign w:val="superscript"/>
                <w:lang w:eastAsia="tr-TR"/>
              </w:rPr>
              <w:t>aA</w:t>
            </w:r>
          </w:p>
        </w:tc>
        <w:tc>
          <w:tcPr>
            <w:tcW w:w="1633" w:type="dxa"/>
            <w:tcBorders>
              <w:top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895,17</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bA</w:t>
            </w:r>
          </w:p>
        </w:tc>
        <w:tc>
          <w:tcPr>
            <w:tcW w:w="1459" w:type="dxa"/>
            <w:tcBorders>
              <w:top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802,29</w:t>
            </w:r>
            <w:r w:rsidR="00C97A09" w:rsidRPr="00C173FA">
              <w:rPr>
                <w:rFonts w:eastAsia="Times New Roman"/>
                <w:sz w:val="18"/>
                <w:szCs w:val="20"/>
                <w:lang w:eastAsia="tr-TR"/>
              </w:rPr>
              <w:t>±</w:t>
            </w:r>
            <w:r w:rsidR="00746F57" w:rsidRPr="00C173FA">
              <w:rPr>
                <w:rFonts w:eastAsia="Times New Roman"/>
                <w:sz w:val="18"/>
                <w:szCs w:val="20"/>
                <w:lang w:eastAsia="tr-TR"/>
              </w:rPr>
              <w:t>0,08</w:t>
            </w:r>
            <w:r w:rsidR="00746F57" w:rsidRPr="00C173FA">
              <w:rPr>
                <w:rFonts w:eastAsia="Times New Roman"/>
                <w:sz w:val="18"/>
                <w:szCs w:val="20"/>
                <w:vertAlign w:val="superscript"/>
                <w:lang w:eastAsia="tr-TR"/>
              </w:rPr>
              <w:t>cA</w:t>
            </w:r>
          </w:p>
        </w:tc>
        <w:tc>
          <w:tcPr>
            <w:tcW w:w="1417" w:type="dxa"/>
            <w:tcBorders>
              <w:top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831,14</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dA</w:t>
            </w:r>
          </w:p>
        </w:tc>
        <w:tc>
          <w:tcPr>
            <w:tcW w:w="1561" w:type="dxa"/>
            <w:tcBorders>
              <w:top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935,61</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eA</w:t>
            </w:r>
          </w:p>
        </w:tc>
      </w:tr>
      <w:tr w:rsidR="00C97A09" w:rsidRPr="00972ABE" w:rsidTr="00C173FA">
        <w:trPr>
          <w:trHeight w:val="327"/>
        </w:trPr>
        <w:tc>
          <w:tcPr>
            <w:tcW w:w="1800" w:type="dxa"/>
            <w:shd w:val="clear" w:color="auto" w:fill="FFFFFF" w:themeFill="background1"/>
            <w:noWrap/>
            <w:hideMark/>
          </w:tcPr>
          <w:p w:rsidR="00C97A09" w:rsidRPr="00C173FA" w:rsidRDefault="00C97A09" w:rsidP="00986D30">
            <w:pPr>
              <w:spacing w:line="240" w:lineRule="auto"/>
              <w:ind w:firstLine="0"/>
              <w:jc w:val="center"/>
              <w:rPr>
                <w:rFonts w:eastAsia="Times New Roman"/>
                <w:b/>
                <w:sz w:val="20"/>
                <w:szCs w:val="20"/>
                <w:lang w:eastAsia="tr-TR"/>
              </w:rPr>
            </w:pPr>
            <w:r w:rsidRPr="00C173FA">
              <w:rPr>
                <w:rFonts w:eastAsia="Times New Roman"/>
                <w:b/>
                <w:sz w:val="20"/>
                <w:szCs w:val="20"/>
                <w:lang w:eastAsia="tr-TR"/>
              </w:rPr>
              <w:t>5,5 mM</w:t>
            </w:r>
          </w:p>
        </w:tc>
        <w:tc>
          <w:tcPr>
            <w:tcW w:w="1488"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849,09</w:t>
            </w:r>
            <w:r w:rsidR="00C97A09" w:rsidRPr="00C173FA">
              <w:rPr>
                <w:rFonts w:eastAsia="Times New Roman"/>
                <w:sz w:val="18"/>
                <w:szCs w:val="20"/>
                <w:lang w:eastAsia="tr-TR"/>
              </w:rPr>
              <w:t>±</w:t>
            </w:r>
            <w:r w:rsidR="00746F57" w:rsidRPr="00C173FA">
              <w:rPr>
                <w:rFonts w:eastAsia="Times New Roman"/>
                <w:sz w:val="18"/>
                <w:szCs w:val="20"/>
                <w:lang w:eastAsia="tr-TR"/>
              </w:rPr>
              <w:t>0,04</w:t>
            </w:r>
            <w:r w:rsidR="00746F57" w:rsidRPr="00C173FA">
              <w:rPr>
                <w:rFonts w:eastAsia="Times New Roman"/>
                <w:sz w:val="18"/>
                <w:szCs w:val="20"/>
                <w:vertAlign w:val="superscript"/>
                <w:lang w:eastAsia="tr-TR"/>
              </w:rPr>
              <w:t>aB</w:t>
            </w:r>
          </w:p>
        </w:tc>
        <w:tc>
          <w:tcPr>
            <w:tcW w:w="1633"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921,18</w:t>
            </w:r>
            <w:r w:rsidR="00C97A09" w:rsidRPr="00C173FA">
              <w:rPr>
                <w:rFonts w:eastAsia="Times New Roman"/>
                <w:sz w:val="18"/>
                <w:szCs w:val="20"/>
                <w:lang w:eastAsia="tr-TR"/>
              </w:rPr>
              <w:t>±</w:t>
            </w:r>
            <w:r w:rsidRPr="00C173FA">
              <w:rPr>
                <w:rFonts w:eastAsia="Times New Roman"/>
                <w:sz w:val="18"/>
                <w:szCs w:val="20"/>
                <w:lang w:eastAsia="tr-TR"/>
              </w:rPr>
              <w:t>0,06</w:t>
            </w:r>
            <w:r w:rsidR="00746F57" w:rsidRPr="00C173FA">
              <w:rPr>
                <w:rFonts w:eastAsia="Times New Roman"/>
                <w:sz w:val="18"/>
                <w:szCs w:val="20"/>
                <w:vertAlign w:val="superscript"/>
                <w:lang w:eastAsia="tr-TR"/>
              </w:rPr>
              <w:t>bB</w:t>
            </w:r>
          </w:p>
        </w:tc>
        <w:tc>
          <w:tcPr>
            <w:tcW w:w="1459"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869,86</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cB</w:t>
            </w:r>
          </w:p>
        </w:tc>
        <w:tc>
          <w:tcPr>
            <w:tcW w:w="1417"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778,32</w:t>
            </w:r>
            <w:r w:rsidR="00C97A09" w:rsidRPr="00C173FA">
              <w:rPr>
                <w:rFonts w:eastAsia="Times New Roman"/>
                <w:sz w:val="18"/>
                <w:szCs w:val="20"/>
                <w:lang w:eastAsia="tr-TR"/>
              </w:rPr>
              <w:t>±</w:t>
            </w:r>
            <w:r w:rsidR="00746F57" w:rsidRPr="00C173FA">
              <w:rPr>
                <w:rFonts w:eastAsia="Times New Roman"/>
                <w:sz w:val="18"/>
                <w:szCs w:val="20"/>
                <w:lang w:eastAsia="tr-TR"/>
              </w:rPr>
              <w:t>0,03</w:t>
            </w:r>
            <w:r w:rsidR="00746F57" w:rsidRPr="00C173FA">
              <w:rPr>
                <w:rFonts w:eastAsia="Times New Roman"/>
                <w:sz w:val="18"/>
                <w:szCs w:val="20"/>
                <w:vertAlign w:val="superscript"/>
                <w:lang w:eastAsia="tr-TR"/>
              </w:rPr>
              <w:t>dB</w:t>
            </w:r>
          </w:p>
        </w:tc>
        <w:tc>
          <w:tcPr>
            <w:tcW w:w="1561"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774,37</w:t>
            </w:r>
            <w:r w:rsidR="00C97A09" w:rsidRPr="00C173FA">
              <w:rPr>
                <w:rFonts w:eastAsia="Times New Roman"/>
                <w:sz w:val="18"/>
                <w:szCs w:val="20"/>
                <w:lang w:eastAsia="tr-TR"/>
              </w:rPr>
              <w:t>±</w:t>
            </w:r>
            <w:r w:rsidR="00746F57" w:rsidRPr="00C173FA">
              <w:rPr>
                <w:rFonts w:eastAsia="Times New Roman"/>
                <w:sz w:val="18"/>
                <w:szCs w:val="20"/>
                <w:lang w:eastAsia="tr-TR"/>
              </w:rPr>
              <w:t>0,03</w:t>
            </w:r>
            <w:r w:rsidR="00746F57" w:rsidRPr="00C173FA">
              <w:rPr>
                <w:rFonts w:eastAsia="Times New Roman"/>
                <w:sz w:val="18"/>
                <w:szCs w:val="20"/>
                <w:vertAlign w:val="superscript"/>
                <w:lang w:eastAsia="tr-TR"/>
              </w:rPr>
              <w:t>eB</w:t>
            </w:r>
          </w:p>
        </w:tc>
      </w:tr>
      <w:tr w:rsidR="00C97A09" w:rsidRPr="00972ABE" w:rsidTr="00054A83">
        <w:trPr>
          <w:trHeight w:val="327"/>
        </w:trPr>
        <w:tc>
          <w:tcPr>
            <w:tcW w:w="1800" w:type="dxa"/>
            <w:shd w:val="clear" w:color="auto" w:fill="FFFFFF" w:themeFill="background1"/>
            <w:noWrap/>
            <w:hideMark/>
          </w:tcPr>
          <w:p w:rsidR="00C97A09" w:rsidRPr="00C173FA" w:rsidRDefault="00C97A09" w:rsidP="00986D30">
            <w:pPr>
              <w:spacing w:line="240" w:lineRule="auto"/>
              <w:ind w:firstLine="0"/>
              <w:jc w:val="center"/>
              <w:rPr>
                <w:rFonts w:eastAsia="Times New Roman"/>
                <w:b/>
                <w:sz w:val="20"/>
                <w:szCs w:val="20"/>
                <w:lang w:eastAsia="tr-TR"/>
              </w:rPr>
            </w:pPr>
            <w:r w:rsidRPr="00C173FA">
              <w:rPr>
                <w:rFonts w:eastAsia="Times New Roman"/>
                <w:b/>
                <w:sz w:val="20"/>
                <w:szCs w:val="20"/>
                <w:lang w:eastAsia="tr-TR"/>
              </w:rPr>
              <w:t>15 mM</w:t>
            </w:r>
          </w:p>
        </w:tc>
        <w:tc>
          <w:tcPr>
            <w:tcW w:w="1488"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609,74</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aC</w:t>
            </w:r>
          </w:p>
        </w:tc>
        <w:tc>
          <w:tcPr>
            <w:tcW w:w="1633"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550,84</w:t>
            </w:r>
            <w:r w:rsidR="00C97A09" w:rsidRPr="00C173FA">
              <w:rPr>
                <w:rFonts w:eastAsia="Times New Roman"/>
                <w:sz w:val="18"/>
                <w:szCs w:val="20"/>
                <w:lang w:eastAsia="tr-TR"/>
              </w:rPr>
              <w:t>±</w:t>
            </w:r>
            <w:r w:rsidR="00746F57" w:rsidRPr="00C173FA">
              <w:rPr>
                <w:rFonts w:eastAsia="Times New Roman"/>
                <w:sz w:val="18"/>
                <w:szCs w:val="20"/>
                <w:lang w:eastAsia="tr-TR"/>
              </w:rPr>
              <w:t>0,005</w:t>
            </w:r>
            <w:r w:rsidR="00746F57" w:rsidRPr="00C173FA">
              <w:rPr>
                <w:rFonts w:eastAsia="Times New Roman"/>
                <w:sz w:val="18"/>
                <w:szCs w:val="20"/>
                <w:vertAlign w:val="superscript"/>
                <w:lang w:eastAsia="tr-TR"/>
              </w:rPr>
              <w:t>bC</w:t>
            </w:r>
          </w:p>
        </w:tc>
        <w:tc>
          <w:tcPr>
            <w:tcW w:w="1459"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541,23</w:t>
            </w:r>
            <w:r w:rsidR="00C97A09" w:rsidRPr="00C173FA">
              <w:rPr>
                <w:rFonts w:eastAsia="Times New Roman"/>
                <w:sz w:val="18"/>
                <w:szCs w:val="20"/>
                <w:lang w:eastAsia="tr-TR"/>
              </w:rPr>
              <w:t>±</w:t>
            </w:r>
            <w:r w:rsidR="00746F57" w:rsidRPr="00C173FA">
              <w:rPr>
                <w:rFonts w:eastAsia="Times New Roman"/>
                <w:sz w:val="18"/>
                <w:szCs w:val="20"/>
                <w:lang w:eastAsia="tr-TR"/>
              </w:rPr>
              <w:t>0,06</w:t>
            </w:r>
            <w:r w:rsidR="00746F57" w:rsidRPr="00C173FA">
              <w:rPr>
                <w:rFonts w:eastAsia="Times New Roman"/>
                <w:sz w:val="18"/>
                <w:szCs w:val="20"/>
                <w:vertAlign w:val="superscript"/>
                <w:lang w:eastAsia="tr-TR"/>
              </w:rPr>
              <w:t>cC</w:t>
            </w:r>
          </w:p>
        </w:tc>
        <w:tc>
          <w:tcPr>
            <w:tcW w:w="1417"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550,45</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dC</w:t>
            </w:r>
          </w:p>
        </w:tc>
        <w:tc>
          <w:tcPr>
            <w:tcW w:w="1561" w:type="dxa"/>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508,11</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eC</w:t>
            </w:r>
          </w:p>
        </w:tc>
      </w:tr>
      <w:tr w:rsidR="00C97A09" w:rsidRPr="00972ABE" w:rsidTr="00054A83">
        <w:trPr>
          <w:trHeight w:val="327"/>
        </w:trPr>
        <w:tc>
          <w:tcPr>
            <w:tcW w:w="1800" w:type="dxa"/>
            <w:tcBorders>
              <w:bottom w:val="single" w:sz="4" w:space="0" w:color="auto"/>
            </w:tcBorders>
            <w:shd w:val="clear" w:color="auto" w:fill="FFFFFF" w:themeFill="background1"/>
            <w:noWrap/>
            <w:hideMark/>
          </w:tcPr>
          <w:p w:rsidR="00C97A09" w:rsidRPr="00C173FA" w:rsidRDefault="00C97A09" w:rsidP="00986D30">
            <w:pPr>
              <w:spacing w:line="240" w:lineRule="auto"/>
              <w:ind w:firstLine="0"/>
              <w:jc w:val="center"/>
              <w:rPr>
                <w:rFonts w:eastAsia="Times New Roman"/>
                <w:b/>
                <w:sz w:val="20"/>
                <w:szCs w:val="20"/>
                <w:lang w:eastAsia="tr-TR"/>
              </w:rPr>
            </w:pPr>
            <w:r w:rsidRPr="00C173FA">
              <w:rPr>
                <w:rFonts w:eastAsia="Times New Roman"/>
                <w:b/>
                <w:sz w:val="20"/>
                <w:szCs w:val="20"/>
                <w:lang w:eastAsia="tr-TR"/>
              </w:rPr>
              <w:t>55 mM</w:t>
            </w:r>
          </w:p>
        </w:tc>
        <w:tc>
          <w:tcPr>
            <w:tcW w:w="1488" w:type="dxa"/>
            <w:tcBorders>
              <w:bottom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667,81</w:t>
            </w:r>
            <w:r w:rsidR="00C97A09" w:rsidRPr="00C173FA">
              <w:rPr>
                <w:rFonts w:eastAsia="Times New Roman"/>
                <w:sz w:val="18"/>
                <w:szCs w:val="20"/>
                <w:lang w:eastAsia="tr-TR"/>
              </w:rPr>
              <w:t>±</w:t>
            </w:r>
            <w:r w:rsidR="00746F57" w:rsidRPr="00C173FA">
              <w:rPr>
                <w:rFonts w:eastAsia="Times New Roman"/>
                <w:sz w:val="18"/>
                <w:szCs w:val="20"/>
                <w:lang w:eastAsia="tr-TR"/>
              </w:rPr>
              <w:t>0,05</w:t>
            </w:r>
            <w:r w:rsidR="00746F57" w:rsidRPr="00C173FA">
              <w:rPr>
                <w:rFonts w:eastAsia="Times New Roman"/>
                <w:sz w:val="18"/>
                <w:szCs w:val="20"/>
                <w:vertAlign w:val="superscript"/>
                <w:lang w:eastAsia="tr-TR"/>
              </w:rPr>
              <w:t>aD</w:t>
            </w:r>
          </w:p>
        </w:tc>
        <w:tc>
          <w:tcPr>
            <w:tcW w:w="1633" w:type="dxa"/>
            <w:tcBorders>
              <w:bottom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681,81</w:t>
            </w:r>
            <w:r w:rsidR="00C97A09" w:rsidRPr="00C173FA">
              <w:rPr>
                <w:rFonts w:eastAsia="Times New Roman"/>
                <w:sz w:val="18"/>
                <w:szCs w:val="20"/>
                <w:lang w:eastAsia="tr-TR"/>
              </w:rPr>
              <w:t>±</w:t>
            </w:r>
            <w:r w:rsidR="00746F57" w:rsidRPr="00C173FA">
              <w:rPr>
                <w:rFonts w:eastAsia="Times New Roman"/>
                <w:sz w:val="18"/>
                <w:szCs w:val="20"/>
                <w:lang w:eastAsia="tr-TR"/>
              </w:rPr>
              <w:t>0,02</w:t>
            </w:r>
            <w:r w:rsidR="00746F57" w:rsidRPr="00C173FA">
              <w:rPr>
                <w:rFonts w:eastAsia="Times New Roman"/>
                <w:sz w:val="18"/>
                <w:szCs w:val="20"/>
                <w:vertAlign w:val="superscript"/>
                <w:lang w:eastAsia="tr-TR"/>
              </w:rPr>
              <w:t>bD</w:t>
            </w:r>
          </w:p>
        </w:tc>
        <w:tc>
          <w:tcPr>
            <w:tcW w:w="1459" w:type="dxa"/>
            <w:tcBorders>
              <w:bottom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631,36</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cD</w:t>
            </w:r>
          </w:p>
        </w:tc>
        <w:tc>
          <w:tcPr>
            <w:tcW w:w="1417" w:type="dxa"/>
            <w:tcBorders>
              <w:bottom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578,57</w:t>
            </w:r>
            <w:r w:rsidR="00C97A09" w:rsidRPr="00C173FA">
              <w:rPr>
                <w:rFonts w:eastAsia="Times New Roman"/>
                <w:sz w:val="18"/>
                <w:szCs w:val="20"/>
                <w:lang w:eastAsia="tr-TR"/>
              </w:rPr>
              <w:t>±</w:t>
            </w:r>
            <w:r w:rsidR="00746F57" w:rsidRPr="00C173FA">
              <w:rPr>
                <w:rFonts w:eastAsia="Times New Roman"/>
                <w:sz w:val="18"/>
                <w:szCs w:val="20"/>
                <w:lang w:eastAsia="tr-TR"/>
              </w:rPr>
              <w:t>0,04</w:t>
            </w:r>
            <w:r w:rsidR="00746F57" w:rsidRPr="00C173FA">
              <w:rPr>
                <w:rFonts w:eastAsia="Times New Roman"/>
                <w:sz w:val="18"/>
                <w:szCs w:val="20"/>
                <w:vertAlign w:val="superscript"/>
                <w:lang w:eastAsia="tr-TR"/>
              </w:rPr>
              <w:t>dD</w:t>
            </w:r>
          </w:p>
        </w:tc>
        <w:tc>
          <w:tcPr>
            <w:tcW w:w="1561" w:type="dxa"/>
            <w:tcBorders>
              <w:bottom w:val="single" w:sz="4" w:space="0" w:color="auto"/>
            </w:tcBorders>
            <w:shd w:val="clear" w:color="auto" w:fill="FFFFFF" w:themeFill="background1"/>
            <w:noWrap/>
            <w:hideMark/>
          </w:tcPr>
          <w:p w:rsidR="00C97A09" w:rsidRPr="00C173FA" w:rsidRDefault="00986D30" w:rsidP="00746F57">
            <w:pPr>
              <w:spacing w:line="240" w:lineRule="auto"/>
              <w:ind w:firstLine="0"/>
              <w:jc w:val="right"/>
              <w:rPr>
                <w:rFonts w:eastAsia="Times New Roman"/>
                <w:sz w:val="18"/>
                <w:szCs w:val="20"/>
                <w:lang w:eastAsia="tr-TR"/>
              </w:rPr>
            </w:pPr>
            <w:r w:rsidRPr="00C173FA">
              <w:rPr>
                <w:rFonts w:eastAsia="Times New Roman"/>
                <w:sz w:val="18"/>
                <w:szCs w:val="20"/>
                <w:lang w:eastAsia="tr-TR"/>
              </w:rPr>
              <w:t>563,87</w:t>
            </w:r>
            <w:r w:rsidR="00C97A09" w:rsidRPr="00C173FA">
              <w:rPr>
                <w:rFonts w:eastAsia="Times New Roman"/>
                <w:sz w:val="18"/>
                <w:szCs w:val="20"/>
                <w:lang w:eastAsia="tr-TR"/>
              </w:rPr>
              <w:t>±</w:t>
            </w:r>
            <w:r w:rsidRPr="00C173FA">
              <w:rPr>
                <w:rFonts w:eastAsia="Times New Roman"/>
                <w:sz w:val="18"/>
                <w:szCs w:val="20"/>
                <w:lang w:eastAsia="tr-TR"/>
              </w:rPr>
              <w:t>0,01</w:t>
            </w:r>
            <w:r w:rsidR="00746F57" w:rsidRPr="00C173FA">
              <w:rPr>
                <w:rFonts w:eastAsia="Times New Roman"/>
                <w:sz w:val="18"/>
                <w:szCs w:val="20"/>
                <w:vertAlign w:val="superscript"/>
                <w:lang w:eastAsia="tr-TR"/>
              </w:rPr>
              <w:t>eD</w:t>
            </w:r>
          </w:p>
        </w:tc>
      </w:tr>
    </w:tbl>
    <w:p w:rsidR="00746F57" w:rsidRPr="001B5AA1" w:rsidRDefault="00746F57" w:rsidP="00746F57">
      <w:pPr>
        <w:ind w:firstLine="0"/>
        <w:rPr>
          <w:rFonts w:cs="Times New Roman"/>
          <w:color w:val="000000"/>
          <w:sz w:val="18"/>
          <w:szCs w:val="24"/>
        </w:rPr>
      </w:pPr>
    </w:p>
    <w:p w:rsidR="00746F57" w:rsidRPr="001B5AA1" w:rsidRDefault="00746F57" w:rsidP="00746F57">
      <w:pPr>
        <w:ind w:firstLine="0"/>
        <w:rPr>
          <w:rFonts w:cs="Times New Roman"/>
          <w:color w:val="000000"/>
          <w:sz w:val="18"/>
          <w:szCs w:val="24"/>
        </w:rPr>
      </w:pPr>
      <w:r w:rsidRPr="001B5AA1">
        <w:rPr>
          <w:rFonts w:cs="Times New Roman"/>
          <w:color w:val="000000"/>
          <w:sz w:val="18"/>
          <w:szCs w:val="24"/>
        </w:rPr>
        <w:t>abcd</w:t>
      </w:r>
      <w:r>
        <w:rPr>
          <w:rFonts w:cs="Times New Roman"/>
          <w:color w:val="000000"/>
          <w:sz w:val="18"/>
          <w:szCs w:val="24"/>
        </w:rPr>
        <w:t>e</w:t>
      </w:r>
      <w:r w:rsidRPr="001B5AA1">
        <w:rPr>
          <w:rFonts w:cs="Times New Roman"/>
          <w:color w:val="000000"/>
          <w:sz w:val="18"/>
          <w:szCs w:val="24"/>
        </w:rPr>
        <w:t xml:space="preserve"> aynı satırda farklı harfler p&lt;0,001 düzeyinde önemi ifade etmektedir.</w:t>
      </w:r>
    </w:p>
    <w:p w:rsidR="00746F57" w:rsidRDefault="00746F57" w:rsidP="00746F57">
      <w:pPr>
        <w:ind w:firstLine="0"/>
        <w:rPr>
          <w:rFonts w:cs="Times New Roman"/>
          <w:color w:val="000000"/>
          <w:sz w:val="18"/>
          <w:szCs w:val="24"/>
        </w:rPr>
      </w:pPr>
      <w:r w:rsidRPr="001B5AA1">
        <w:rPr>
          <w:rFonts w:cs="Times New Roman"/>
          <w:color w:val="000000"/>
          <w:sz w:val="18"/>
          <w:szCs w:val="24"/>
        </w:rPr>
        <w:t>ABCD aynı sütunda farklı harfler p&lt;0,001 düzeyinde önemi ifade etmektedir.</w:t>
      </w:r>
    </w:p>
    <w:p w:rsidR="00C20089" w:rsidRPr="001B5AA1" w:rsidRDefault="00C20089" w:rsidP="00746F57">
      <w:pPr>
        <w:ind w:firstLine="0"/>
        <w:rPr>
          <w:rFonts w:cs="Times New Roman"/>
          <w:color w:val="000000"/>
          <w:sz w:val="18"/>
          <w:szCs w:val="24"/>
        </w:rPr>
      </w:pPr>
    </w:p>
    <w:p w:rsidR="00746F57" w:rsidRDefault="00746F57" w:rsidP="00746F57">
      <w:pPr>
        <w:ind w:firstLine="0"/>
        <w:rPr>
          <w:rFonts w:cs="Times New Roman"/>
          <w:color w:val="000000"/>
          <w:sz w:val="18"/>
          <w:szCs w:val="24"/>
        </w:rPr>
      </w:pPr>
    </w:p>
    <w:p w:rsidR="002B3673" w:rsidRDefault="002B3673" w:rsidP="00C20089">
      <w:pPr>
        <w:pStyle w:val="AltKonuBal"/>
      </w:pPr>
      <w:r w:rsidRPr="0049666D">
        <w:rPr>
          <w:noProof/>
          <w:lang w:eastAsia="tr-TR"/>
        </w:rPr>
        <w:drawing>
          <wp:inline distT="0" distB="0" distL="0" distR="0">
            <wp:extent cx="4715838" cy="2743200"/>
            <wp:effectExtent l="0" t="0" r="8890" b="0"/>
            <wp:docPr id="28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2B3673" w:rsidRDefault="002B3673" w:rsidP="002B3673">
      <w:pPr>
        <w:rPr>
          <w:rFonts w:cs="Times New Roman"/>
          <w:b/>
          <w:szCs w:val="24"/>
        </w:rPr>
      </w:pPr>
    </w:p>
    <w:p w:rsidR="003D44F3" w:rsidRDefault="002B3673" w:rsidP="00C97A09">
      <w:pPr>
        <w:autoSpaceDE w:val="0"/>
        <w:autoSpaceDN w:val="0"/>
        <w:adjustRightInd w:val="0"/>
        <w:ind w:firstLine="0"/>
        <w:rPr>
          <w:rFonts w:eastAsia="Calibri" w:cs="Times New Roman"/>
          <w:szCs w:val="24"/>
        </w:rPr>
      </w:pPr>
      <w:r w:rsidRPr="00FD7517">
        <w:rPr>
          <w:rFonts w:cs="Times New Roman"/>
          <w:b/>
          <w:szCs w:val="24"/>
        </w:rPr>
        <w:t>Şekil</w:t>
      </w:r>
      <w:r>
        <w:rPr>
          <w:rFonts w:cs="Times New Roman"/>
          <w:b/>
          <w:szCs w:val="24"/>
        </w:rPr>
        <w:t xml:space="preserve"> </w:t>
      </w:r>
      <w:r w:rsidR="004C3E69">
        <w:rPr>
          <w:rFonts w:cs="Times New Roman"/>
          <w:b/>
          <w:szCs w:val="24"/>
        </w:rPr>
        <w:t>79</w:t>
      </w:r>
      <w:r>
        <w:rPr>
          <w:rFonts w:cs="Times New Roman"/>
          <w:b/>
          <w:szCs w:val="24"/>
        </w:rPr>
        <w:t>.</w:t>
      </w:r>
      <w:r>
        <w:rPr>
          <w:rFonts w:cs="Times New Roman"/>
          <w:szCs w:val="24"/>
        </w:rPr>
        <w:t xml:space="preserve"> </w:t>
      </w:r>
      <w:r w:rsidRPr="00C97A09">
        <w:rPr>
          <w:rFonts w:eastAsia="Calibri" w:cs="Times New Roman"/>
          <w:szCs w:val="24"/>
        </w:rPr>
        <w:t>Normoksik ortamdaki MCF7 hücrelerinin 0</w:t>
      </w:r>
      <w:proofErr w:type="gramStart"/>
      <w:r w:rsidRPr="00C97A09">
        <w:rPr>
          <w:rFonts w:eastAsia="Calibri" w:cs="Times New Roman"/>
          <w:szCs w:val="24"/>
        </w:rPr>
        <w:t>.,</w:t>
      </w:r>
      <w:proofErr w:type="gramEnd"/>
      <w:r w:rsidRPr="00C97A09">
        <w:rPr>
          <w:rFonts w:eastAsia="Calibri" w:cs="Times New Roman"/>
          <w:szCs w:val="24"/>
        </w:rPr>
        <w:t xml:space="preserve"> 6., 12., 24 ve 48 saat süreyle farklı konsantrasyonlarda (0, 5.5, 15 ve 55 mM) glukoz muameleleri sonucu oluşan yara açıklığı yüzdeleri.</w:t>
      </w:r>
      <w:r w:rsidR="003D44F3" w:rsidRPr="00C97A09">
        <w:rPr>
          <w:rFonts w:eastAsia="Calibri" w:cs="Times New Roman"/>
          <w:szCs w:val="24"/>
        </w:rPr>
        <w:t xml:space="preserve"> </w:t>
      </w:r>
    </w:p>
    <w:p w:rsidR="0047181B" w:rsidRDefault="0047181B" w:rsidP="0047181B">
      <w:pPr>
        <w:autoSpaceDE w:val="0"/>
        <w:autoSpaceDN w:val="0"/>
        <w:adjustRightInd w:val="0"/>
        <w:ind w:firstLine="0"/>
        <w:rPr>
          <w:rFonts w:eastAsia="Calibri" w:cs="Times New Roman"/>
          <w:szCs w:val="24"/>
        </w:rPr>
      </w:pPr>
    </w:p>
    <w:p w:rsidR="0047181B" w:rsidRDefault="0047181B" w:rsidP="0047181B">
      <w:pPr>
        <w:autoSpaceDE w:val="0"/>
        <w:autoSpaceDN w:val="0"/>
        <w:adjustRightInd w:val="0"/>
        <w:ind w:firstLine="0"/>
        <w:rPr>
          <w:rFonts w:eastAsia="Calibri" w:cs="Times New Roman"/>
          <w:szCs w:val="24"/>
        </w:rPr>
      </w:pPr>
    </w:p>
    <w:p w:rsidR="0047181B" w:rsidRDefault="0047181B" w:rsidP="0047181B">
      <w:pPr>
        <w:autoSpaceDE w:val="0"/>
        <w:autoSpaceDN w:val="0"/>
        <w:adjustRightInd w:val="0"/>
        <w:ind w:firstLine="0"/>
        <w:rPr>
          <w:rFonts w:eastAsia="Calibri" w:cs="Times New Roman"/>
          <w:szCs w:val="24"/>
        </w:rPr>
      </w:pPr>
    </w:p>
    <w:p w:rsidR="0047181B" w:rsidRDefault="0047181B" w:rsidP="0047181B">
      <w:pPr>
        <w:autoSpaceDE w:val="0"/>
        <w:autoSpaceDN w:val="0"/>
        <w:adjustRightInd w:val="0"/>
        <w:ind w:firstLine="0"/>
        <w:rPr>
          <w:rFonts w:eastAsia="Calibri" w:cs="Times New Roman"/>
          <w:szCs w:val="24"/>
        </w:rPr>
      </w:pPr>
    </w:p>
    <w:p w:rsidR="004E4F81" w:rsidRDefault="004E4F81" w:rsidP="0047181B">
      <w:pPr>
        <w:autoSpaceDE w:val="0"/>
        <w:autoSpaceDN w:val="0"/>
        <w:adjustRightInd w:val="0"/>
        <w:ind w:firstLine="0"/>
        <w:rPr>
          <w:rFonts w:eastAsia="Calibri" w:cs="Times New Roman"/>
          <w:szCs w:val="24"/>
        </w:rPr>
      </w:pPr>
    </w:p>
    <w:p w:rsidR="0047181B" w:rsidRDefault="0047181B" w:rsidP="0047181B">
      <w:pPr>
        <w:autoSpaceDE w:val="0"/>
        <w:autoSpaceDN w:val="0"/>
        <w:adjustRightInd w:val="0"/>
        <w:ind w:firstLine="0"/>
        <w:rPr>
          <w:rFonts w:eastAsia="Calibri" w:cs="Times New Roman"/>
          <w:szCs w:val="24"/>
        </w:rPr>
      </w:pPr>
    </w:p>
    <w:p w:rsidR="0047181B" w:rsidRPr="0047181B" w:rsidRDefault="0047181B" w:rsidP="0047181B">
      <w:pPr>
        <w:autoSpaceDE w:val="0"/>
        <w:autoSpaceDN w:val="0"/>
        <w:adjustRightInd w:val="0"/>
        <w:ind w:firstLine="0"/>
        <w:rPr>
          <w:rFonts w:eastAsia="Calibri" w:cs="Times New Roman"/>
          <w:szCs w:val="24"/>
        </w:rPr>
      </w:pPr>
    </w:p>
    <w:p w:rsidR="0047181B" w:rsidRDefault="0047181B" w:rsidP="00482986">
      <w:pPr>
        <w:ind w:firstLine="0"/>
        <w:rPr>
          <w:rFonts w:eastAsia="Calibri" w:cs="Times New Roman"/>
          <w:szCs w:val="24"/>
        </w:rPr>
      </w:pPr>
      <w:r w:rsidRPr="00CD3B97">
        <w:rPr>
          <w:rFonts w:cs="Times New Roman"/>
          <w:b/>
          <w:color w:val="000000"/>
          <w:szCs w:val="24"/>
        </w:rPr>
        <w:lastRenderedPageBreak/>
        <w:t>Tablo</w:t>
      </w:r>
      <w:r w:rsidR="004C3E69">
        <w:rPr>
          <w:rFonts w:cs="Times New Roman"/>
          <w:b/>
          <w:color w:val="000000"/>
          <w:szCs w:val="24"/>
        </w:rPr>
        <w:t xml:space="preserve"> 17.</w:t>
      </w:r>
      <w:r>
        <w:rPr>
          <w:rFonts w:cs="Times New Roman"/>
          <w:color w:val="000000"/>
          <w:szCs w:val="24"/>
        </w:rPr>
        <w:t xml:space="preserve"> Hipoksi ortamında glukoz muamelesinin MCF-7 hücrelerinde </w:t>
      </w:r>
      <w:proofErr w:type="gramStart"/>
      <w:r>
        <w:rPr>
          <w:rFonts w:cs="Times New Roman"/>
          <w:color w:val="000000"/>
          <w:szCs w:val="24"/>
        </w:rPr>
        <w:t>konsantrasyon</w:t>
      </w:r>
      <w:proofErr w:type="gramEnd"/>
      <w:r>
        <w:rPr>
          <w:rFonts w:cs="Times New Roman"/>
          <w:color w:val="000000"/>
          <w:szCs w:val="24"/>
        </w:rPr>
        <w:t xml:space="preserve"> ve zamana bağlı olarak hücrelerin göç potansiyeli üzerine etkisi</w:t>
      </w:r>
      <w:r w:rsidR="00A87F9B">
        <w:rPr>
          <w:rFonts w:cs="Times New Roman"/>
          <w:color w:val="000000"/>
          <w:szCs w:val="24"/>
        </w:rPr>
        <w:t>.</w:t>
      </w:r>
    </w:p>
    <w:tbl>
      <w:tblPr>
        <w:tblStyle w:val="TabloKlavuzu2"/>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442"/>
        <w:gridCol w:w="1582"/>
        <w:gridCol w:w="1415"/>
        <w:gridCol w:w="1385"/>
        <w:gridCol w:w="1511"/>
      </w:tblGrid>
      <w:tr w:rsidR="0047181B" w:rsidRPr="00972ABE" w:rsidTr="00054A83">
        <w:trPr>
          <w:trHeight w:val="453"/>
        </w:trPr>
        <w:tc>
          <w:tcPr>
            <w:tcW w:w="1744" w:type="dxa"/>
            <w:tcBorders>
              <w:top w:val="single" w:sz="4" w:space="0" w:color="auto"/>
              <w:bottom w:val="single" w:sz="4" w:space="0" w:color="auto"/>
            </w:tcBorders>
            <w:shd w:val="clear" w:color="auto" w:fill="FFFFFF" w:themeFill="background1"/>
            <w:noWrap/>
            <w:hideMark/>
          </w:tcPr>
          <w:p w:rsidR="00986D30" w:rsidRPr="00A87F9B" w:rsidRDefault="00986D30" w:rsidP="00A87F9B">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HİPOKSİ</w:t>
            </w:r>
          </w:p>
          <w:p w:rsidR="0047181B" w:rsidRPr="00A87F9B" w:rsidRDefault="00986D30" w:rsidP="00A87F9B">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Yara Mesafesi   (µm)</w:t>
            </w:r>
          </w:p>
        </w:tc>
        <w:tc>
          <w:tcPr>
            <w:tcW w:w="1442" w:type="dxa"/>
            <w:tcBorders>
              <w:top w:val="single" w:sz="4" w:space="0" w:color="auto"/>
              <w:bottom w:val="single" w:sz="4" w:space="0" w:color="auto"/>
            </w:tcBorders>
            <w:shd w:val="clear" w:color="auto" w:fill="FFFFFF" w:themeFill="background1"/>
            <w:noWrap/>
            <w:hideMark/>
          </w:tcPr>
          <w:p w:rsidR="00A87F9B" w:rsidRPr="00A87F9B" w:rsidRDefault="00A87F9B" w:rsidP="00A87F9B">
            <w:pPr>
              <w:spacing w:line="240" w:lineRule="auto"/>
              <w:ind w:firstLine="0"/>
              <w:jc w:val="center"/>
              <w:rPr>
                <w:rFonts w:eastAsia="Times New Roman"/>
                <w:b/>
                <w:color w:val="000000"/>
                <w:sz w:val="20"/>
                <w:szCs w:val="20"/>
                <w:lang w:eastAsia="tr-TR"/>
              </w:rPr>
            </w:pPr>
          </w:p>
          <w:p w:rsidR="0047181B" w:rsidRPr="00A87F9B" w:rsidRDefault="0047181B" w:rsidP="00A87F9B">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0.saat</w:t>
            </w:r>
          </w:p>
        </w:tc>
        <w:tc>
          <w:tcPr>
            <w:tcW w:w="1582" w:type="dxa"/>
            <w:tcBorders>
              <w:top w:val="single" w:sz="4" w:space="0" w:color="auto"/>
              <w:bottom w:val="single" w:sz="4" w:space="0" w:color="auto"/>
            </w:tcBorders>
            <w:shd w:val="clear" w:color="auto" w:fill="FFFFFF" w:themeFill="background1"/>
            <w:noWrap/>
            <w:hideMark/>
          </w:tcPr>
          <w:p w:rsidR="00A87F9B" w:rsidRPr="00A87F9B" w:rsidRDefault="00A87F9B" w:rsidP="00A87F9B">
            <w:pPr>
              <w:spacing w:line="240" w:lineRule="auto"/>
              <w:ind w:firstLine="0"/>
              <w:jc w:val="center"/>
              <w:rPr>
                <w:rFonts w:eastAsia="Times New Roman"/>
                <w:b/>
                <w:color w:val="000000"/>
                <w:sz w:val="20"/>
                <w:szCs w:val="20"/>
                <w:lang w:eastAsia="tr-TR"/>
              </w:rPr>
            </w:pPr>
          </w:p>
          <w:p w:rsidR="0047181B" w:rsidRPr="00A87F9B" w:rsidRDefault="0047181B" w:rsidP="00A87F9B">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6.saat</w:t>
            </w:r>
          </w:p>
        </w:tc>
        <w:tc>
          <w:tcPr>
            <w:tcW w:w="1415" w:type="dxa"/>
            <w:tcBorders>
              <w:top w:val="single" w:sz="4" w:space="0" w:color="auto"/>
              <w:bottom w:val="single" w:sz="4" w:space="0" w:color="auto"/>
            </w:tcBorders>
            <w:shd w:val="clear" w:color="auto" w:fill="FFFFFF" w:themeFill="background1"/>
            <w:noWrap/>
            <w:hideMark/>
          </w:tcPr>
          <w:p w:rsidR="00A87F9B" w:rsidRPr="00A87F9B" w:rsidRDefault="00A87F9B" w:rsidP="00A87F9B">
            <w:pPr>
              <w:spacing w:line="240" w:lineRule="auto"/>
              <w:ind w:firstLine="0"/>
              <w:jc w:val="center"/>
              <w:rPr>
                <w:rFonts w:eastAsia="Times New Roman"/>
                <w:b/>
                <w:color w:val="000000"/>
                <w:sz w:val="20"/>
                <w:szCs w:val="20"/>
                <w:lang w:eastAsia="tr-TR"/>
              </w:rPr>
            </w:pPr>
          </w:p>
          <w:p w:rsidR="0047181B" w:rsidRPr="00A87F9B" w:rsidRDefault="0047181B" w:rsidP="00A87F9B">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12.saat</w:t>
            </w:r>
          </w:p>
        </w:tc>
        <w:tc>
          <w:tcPr>
            <w:tcW w:w="1385" w:type="dxa"/>
            <w:tcBorders>
              <w:top w:val="single" w:sz="4" w:space="0" w:color="auto"/>
              <w:bottom w:val="single" w:sz="4" w:space="0" w:color="auto"/>
            </w:tcBorders>
            <w:shd w:val="clear" w:color="auto" w:fill="FFFFFF" w:themeFill="background1"/>
            <w:noWrap/>
            <w:hideMark/>
          </w:tcPr>
          <w:p w:rsidR="00A87F9B" w:rsidRPr="00A87F9B" w:rsidRDefault="00A87F9B" w:rsidP="00A87F9B">
            <w:pPr>
              <w:spacing w:line="240" w:lineRule="auto"/>
              <w:ind w:firstLine="0"/>
              <w:jc w:val="center"/>
              <w:rPr>
                <w:rFonts w:eastAsia="Times New Roman"/>
                <w:b/>
                <w:color w:val="000000"/>
                <w:sz w:val="20"/>
                <w:szCs w:val="20"/>
                <w:lang w:eastAsia="tr-TR"/>
              </w:rPr>
            </w:pPr>
          </w:p>
          <w:p w:rsidR="0047181B" w:rsidRPr="00A87F9B" w:rsidRDefault="0047181B" w:rsidP="00A87F9B">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24.saat</w:t>
            </w:r>
          </w:p>
        </w:tc>
        <w:tc>
          <w:tcPr>
            <w:tcW w:w="1511" w:type="dxa"/>
            <w:tcBorders>
              <w:top w:val="single" w:sz="4" w:space="0" w:color="auto"/>
              <w:bottom w:val="single" w:sz="4" w:space="0" w:color="auto"/>
            </w:tcBorders>
            <w:shd w:val="clear" w:color="auto" w:fill="FFFFFF" w:themeFill="background1"/>
            <w:noWrap/>
            <w:hideMark/>
          </w:tcPr>
          <w:p w:rsidR="00A87F9B" w:rsidRPr="00A87F9B" w:rsidRDefault="00A87F9B" w:rsidP="00A87F9B">
            <w:pPr>
              <w:spacing w:line="240" w:lineRule="auto"/>
              <w:ind w:firstLine="0"/>
              <w:jc w:val="center"/>
              <w:rPr>
                <w:rFonts w:eastAsia="Times New Roman"/>
                <w:b/>
                <w:color w:val="000000"/>
                <w:sz w:val="20"/>
                <w:szCs w:val="20"/>
                <w:lang w:eastAsia="tr-TR"/>
              </w:rPr>
            </w:pPr>
          </w:p>
          <w:p w:rsidR="0047181B" w:rsidRPr="00A87F9B" w:rsidRDefault="0047181B" w:rsidP="00A87F9B">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48.saat</w:t>
            </w:r>
          </w:p>
        </w:tc>
      </w:tr>
      <w:tr w:rsidR="004A2529" w:rsidRPr="00972ABE" w:rsidTr="00A87F9B">
        <w:trPr>
          <w:trHeight w:val="324"/>
        </w:trPr>
        <w:tc>
          <w:tcPr>
            <w:tcW w:w="1744" w:type="dxa"/>
            <w:tcBorders>
              <w:top w:val="single" w:sz="4" w:space="0" w:color="auto"/>
            </w:tcBorders>
            <w:shd w:val="clear" w:color="auto" w:fill="FFFFFF" w:themeFill="background1"/>
            <w:noWrap/>
            <w:hideMark/>
          </w:tcPr>
          <w:p w:rsidR="0047181B" w:rsidRPr="00A87F9B" w:rsidRDefault="00972ABE" w:rsidP="00986D30">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K</w:t>
            </w:r>
            <w:r w:rsidR="0047181B" w:rsidRPr="00A87F9B">
              <w:rPr>
                <w:rFonts w:eastAsia="Times New Roman"/>
                <w:b/>
                <w:color w:val="000000"/>
                <w:sz w:val="20"/>
                <w:szCs w:val="20"/>
                <w:lang w:eastAsia="tr-TR"/>
              </w:rPr>
              <w:t>ontrol (0 mM )</w:t>
            </w:r>
          </w:p>
        </w:tc>
        <w:tc>
          <w:tcPr>
            <w:tcW w:w="1442" w:type="dxa"/>
            <w:tcBorders>
              <w:top w:val="single" w:sz="4" w:space="0" w:color="auto"/>
            </w:tcBorders>
            <w:shd w:val="clear" w:color="auto" w:fill="FFFFFF" w:themeFill="background1"/>
            <w:noWrap/>
            <w:hideMark/>
          </w:tcPr>
          <w:p w:rsidR="0047181B" w:rsidRPr="00A87F9B" w:rsidRDefault="00986D30"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767,36</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aA</w:t>
            </w:r>
          </w:p>
        </w:tc>
        <w:tc>
          <w:tcPr>
            <w:tcW w:w="1582" w:type="dxa"/>
            <w:tcBorders>
              <w:top w:val="single" w:sz="4" w:space="0" w:color="auto"/>
            </w:tcBorders>
            <w:shd w:val="clear" w:color="auto" w:fill="FFFFFF" w:themeFill="background1"/>
            <w:noWrap/>
            <w:hideMark/>
          </w:tcPr>
          <w:p w:rsidR="0047181B" w:rsidRPr="00A87F9B" w:rsidRDefault="00986D30"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728,6</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bA</w:t>
            </w:r>
          </w:p>
        </w:tc>
        <w:tc>
          <w:tcPr>
            <w:tcW w:w="1415" w:type="dxa"/>
            <w:tcBorders>
              <w:top w:val="single" w:sz="4" w:space="0" w:color="auto"/>
            </w:tcBorders>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735,18</w:t>
            </w:r>
            <w:r w:rsidR="0047181B" w:rsidRPr="00A87F9B">
              <w:rPr>
                <w:rFonts w:eastAsia="Times New Roman"/>
                <w:color w:val="000000"/>
                <w:sz w:val="18"/>
                <w:szCs w:val="20"/>
                <w:lang w:eastAsia="tr-TR"/>
              </w:rPr>
              <w:t>±</w:t>
            </w:r>
            <w:r w:rsidRPr="00A87F9B">
              <w:rPr>
                <w:rFonts w:eastAsia="Times New Roman"/>
                <w:sz w:val="18"/>
                <w:szCs w:val="20"/>
                <w:lang w:eastAsia="tr-TR"/>
              </w:rPr>
              <w:t>0,0</w:t>
            </w:r>
            <w:r w:rsidR="00F506A4" w:rsidRPr="00A87F9B">
              <w:rPr>
                <w:rFonts w:eastAsia="Times New Roman"/>
                <w:sz w:val="18"/>
                <w:szCs w:val="20"/>
                <w:lang w:eastAsia="tr-TR"/>
              </w:rPr>
              <w:t>4</w:t>
            </w:r>
            <w:r w:rsidR="00746F57" w:rsidRPr="00A87F9B">
              <w:rPr>
                <w:rFonts w:eastAsia="Times New Roman"/>
                <w:sz w:val="18"/>
                <w:szCs w:val="20"/>
                <w:vertAlign w:val="superscript"/>
                <w:lang w:eastAsia="tr-TR"/>
              </w:rPr>
              <w:t>cA</w:t>
            </w:r>
          </w:p>
        </w:tc>
        <w:tc>
          <w:tcPr>
            <w:tcW w:w="1385" w:type="dxa"/>
            <w:tcBorders>
              <w:top w:val="single" w:sz="4" w:space="0" w:color="auto"/>
            </w:tcBorders>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805,87</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dA</w:t>
            </w:r>
          </w:p>
        </w:tc>
        <w:tc>
          <w:tcPr>
            <w:tcW w:w="1511" w:type="dxa"/>
            <w:tcBorders>
              <w:top w:val="single" w:sz="4" w:space="0" w:color="auto"/>
            </w:tcBorders>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821,35</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eA</w:t>
            </w:r>
          </w:p>
        </w:tc>
      </w:tr>
      <w:tr w:rsidR="0047181B" w:rsidRPr="00972ABE" w:rsidTr="00A87F9B">
        <w:trPr>
          <w:trHeight w:val="324"/>
        </w:trPr>
        <w:tc>
          <w:tcPr>
            <w:tcW w:w="1744" w:type="dxa"/>
            <w:shd w:val="clear" w:color="auto" w:fill="FFFFFF" w:themeFill="background1"/>
            <w:noWrap/>
            <w:hideMark/>
          </w:tcPr>
          <w:p w:rsidR="0047181B" w:rsidRPr="00A87F9B" w:rsidRDefault="0047181B" w:rsidP="00986D30">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5,5 mM</w:t>
            </w:r>
          </w:p>
        </w:tc>
        <w:tc>
          <w:tcPr>
            <w:tcW w:w="1442" w:type="dxa"/>
            <w:shd w:val="clear" w:color="auto" w:fill="FFFFFF" w:themeFill="background1"/>
            <w:noWrap/>
            <w:hideMark/>
          </w:tcPr>
          <w:p w:rsidR="0047181B" w:rsidRPr="00A87F9B" w:rsidRDefault="00986D30"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835,52</w:t>
            </w:r>
            <w:r w:rsidR="0047181B" w:rsidRPr="00A87F9B">
              <w:rPr>
                <w:rFonts w:eastAsia="Times New Roman"/>
                <w:color w:val="000000"/>
                <w:sz w:val="18"/>
                <w:szCs w:val="20"/>
                <w:lang w:eastAsia="tr-TR"/>
              </w:rPr>
              <w:t>±</w:t>
            </w:r>
            <w:r w:rsidRPr="00A87F9B">
              <w:rPr>
                <w:rFonts w:eastAsia="Times New Roman"/>
                <w:sz w:val="18"/>
                <w:szCs w:val="20"/>
                <w:lang w:eastAsia="tr-TR"/>
              </w:rPr>
              <w:t>0,0</w:t>
            </w:r>
            <w:r w:rsidR="00F506A4" w:rsidRPr="00A87F9B">
              <w:rPr>
                <w:rFonts w:eastAsia="Times New Roman"/>
                <w:sz w:val="18"/>
                <w:szCs w:val="20"/>
                <w:lang w:eastAsia="tr-TR"/>
              </w:rPr>
              <w:t>5</w:t>
            </w:r>
            <w:r w:rsidR="00746F57" w:rsidRPr="00A87F9B">
              <w:rPr>
                <w:rFonts w:eastAsia="Times New Roman"/>
                <w:sz w:val="18"/>
                <w:szCs w:val="20"/>
                <w:vertAlign w:val="superscript"/>
                <w:lang w:eastAsia="tr-TR"/>
              </w:rPr>
              <w:t>aB</w:t>
            </w:r>
          </w:p>
        </w:tc>
        <w:tc>
          <w:tcPr>
            <w:tcW w:w="1582" w:type="dxa"/>
            <w:shd w:val="clear" w:color="auto" w:fill="FFFFFF" w:themeFill="background1"/>
            <w:noWrap/>
            <w:hideMark/>
          </w:tcPr>
          <w:p w:rsidR="0047181B" w:rsidRPr="00A87F9B" w:rsidRDefault="00986D30"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831,35</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bB</w:t>
            </w:r>
          </w:p>
        </w:tc>
        <w:tc>
          <w:tcPr>
            <w:tcW w:w="1415" w:type="dxa"/>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800,43</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cB</w:t>
            </w:r>
          </w:p>
        </w:tc>
        <w:tc>
          <w:tcPr>
            <w:tcW w:w="1385" w:type="dxa"/>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784,56</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dB</w:t>
            </w:r>
          </w:p>
        </w:tc>
        <w:tc>
          <w:tcPr>
            <w:tcW w:w="1511" w:type="dxa"/>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790,42</w:t>
            </w:r>
            <w:r w:rsidR="0047181B" w:rsidRPr="00A87F9B">
              <w:rPr>
                <w:rFonts w:eastAsia="Times New Roman"/>
                <w:color w:val="000000"/>
                <w:sz w:val="18"/>
                <w:szCs w:val="20"/>
                <w:lang w:eastAsia="tr-TR"/>
              </w:rPr>
              <w:t>±</w:t>
            </w:r>
            <w:r w:rsidRPr="00A87F9B">
              <w:rPr>
                <w:rFonts w:eastAsia="Times New Roman"/>
                <w:sz w:val="18"/>
                <w:szCs w:val="20"/>
                <w:lang w:eastAsia="tr-TR"/>
              </w:rPr>
              <w:t>0,0</w:t>
            </w:r>
            <w:r w:rsidR="00F506A4" w:rsidRPr="00A87F9B">
              <w:rPr>
                <w:rFonts w:eastAsia="Times New Roman"/>
                <w:sz w:val="18"/>
                <w:szCs w:val="20"/>
                <w:lang w:eastAsia="tr-TR"/>
              </w:rPr>
              <w:t>3</w:t>
            </w:r>
            <w:r w:rsidR="00746F57" w:rsidRPr="00A87F9B">
              <w:rPr>
                <w:rFonts w:eastAsia="Times New Roman"/>
                <w:sz w:val="18"/>
                <w:szCs w:val="20"/>
                <w:vertAlign w:val="superscript"/>
                <w:lang w:eastAsia="tr-TR"/>
              </w:rPr>
              <w:t>eB</w:t>
            </w:r>
          </w:p>
        </w:tc>
      </w:tr>
      <w:tr w:rsidR="004A2529" w:rsidRPr="00972ABE" w:rsidTr="00054A83">
        <w:trPr>
          <w:trHeight w:val="324"/>
        </w:trPr>
        <w:tc>
          <w:tcPr>
            <w:tcW w:w="1744" w:type="dxa"/>
            <w:shd w:val="clear" w:color="auto" w:fill="FFFFFF" w:themeFill="background1"/>
            <w:noWrap/>
            <w:hideMark/>
          </w:tcPr>
          <w:p w:rsidR="0047181B" w:rsidRPr="00A87F9B" w:rsidRDefault="0047181B" w:rsidP="00986D30">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15 mM</w:t>
            </w:r>
          </w:p>
        </w:tc>
        <w:tc>
          <w:tcPr>
            <w:tcW w:w="1442" w:type="dxa"/>
            <w:shd w:val="clear" w:color="auto" w:fill="FFFFFF" w:themeFill="background1"/>
            <w:noWrap/>
            <w:hideMark/>
          </w:tcPr>
          <w:p w:rsidR="0047181B" w:rsidRPr="00A87F9B" w:rsidRDefault="00986D30"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837,56</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aC</w:t>
            </w:r>
          </w:p>
        </w:tc>
        <w:tc>
          <w:tcPr>
            <w:tcW w:w="1582" w:type="dxa"/>
            <w:shd w:val="clear" w:color="auto" w:fill="FFFFFF" w:themeFill="background1"/>
            <w:noWrap/>
            <w:hideMark/>
          </w:tcPr>
          <w:p w:rsidR="0047181B" w:rsidRPr="00A87F9B" w:rsidRDefault="00986D30"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814,51</w:t>
            </w:r>
            <w:r w:rsidR="0047181B" w:rsidRPr="00A87F9B">
              <w:rPr>
                <w:rFonts w:eastAsia="Times New Roman"/>
                <w:color w:val="000000"/>
                <w:sz w:val="18"/>
                <w:szCs w:val="20"/>
                <w:lang w:eastAsia="tr-TR"/>
              </w:rPr>
              <w:t>±</w:t>
            </w:r>
            <w:r w:rsidRPr="00A87F9B">
              <w:rPr>
                <w:rFonts w:eastAsia="Times New Roman"/>
                <w:sz w:val="18"/>
                <w:szCs w:val="20"/>
                <w:lang w:eastAsia="tr-TR"/>
              </w:rPr>
              <w:t>0,0</w:t>
            </w:r>
            <w:r w:rsidR="00F506A4" w:rsidRPr="00A87F9B">
              <w:rPr>
                <w:rFonts w:eastAsia="Times New Roman"/>
                <w:sz w:val="18"/>
                <w:szCs w:val="20"/>
                <w:lang w:eastAsia="tr-TR"/>
              </w:rPr>
              <w:t>7</w:t>
            </w:r>
            <w:r w:rsidR="00746F57" w:rsidRPr="00A87F9B">
              <w:rPr>
                <w:rFonts w:eastAsia="Times New Roman"/>
                <w:sz w:val="18"/>
                <w:szCs w:val="20"/>
                <w:vertAlign w:val="superscript"/>
                <w:lang w:eastAsia="tr-TR"/>
              </w:rPr>
              <w:t>bC</w:t>
            </w:r>
          </w:p>
        </w:tc>
        <w:tc>
          <w:tcPr>
            <w:tcW w:w="1415" w:type="dxa"/>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817,61</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cC</w:t>
            </w:r>
          </w:p>
        </w:tc>
        <w:tc>
          <w:tcPr>
            <w:tcW w:w="1385" w:type="dxa"/>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784,09</w:t>
            </w:r>
            <w:r w:rsidR="0047181B" w:rsidRPr="00A87F9B">
              <w:rPr>
                <w:rFonts w:eastAsia="Times New Roman"/>
                <w:color w:val="000000"/>
                <w:sz w:val="18"/>
                <w:szCs w:val="20"/>
                <w:lang w:eastAsia="tr-TR"/>
              </w:rPr>
              <w:t>±</w:t>
            </w:r>
            <w:r w:rsidRPr="00A87F9B">
              <w:rPr>
                <w:rFonts w:eastAsia="Times New Roman"/>
                <w:sz w:val="18"/>
                <w:szCs w:val="20"/>
                <w:lang w:eastAsia="tr-TR"/>
              </w:rPr>
              <w:t>0,0</w:t>
            </w:r>
            <w:r w:rsidR="00F506A4" w:rsidRPr="00A87F9B">
              <w:rPr>
                <w:rFonts w:eastAsia="Times New Roman"/>
                <w:sz w:val="18"/>
                <w:szCs w:val="20"/>
                <w:lang w:eastAsia="tr-TR"/>
              </w:rPr>
              <w:t>2</w:t>
            </w:r>
            <w:r w:rsidR="00746F57" w:rsidRPr="00A87F9B">
              <w:rPr>
                <w:rFonts w:eastAsia="Times New Roman"/>
                <w:sz w:val="18"/>
                <w:szCs w:val="20"/>
                <w:vertAlign w:val="superscript"/>
                <w:lang w:eastAsia="tr-TR"/>
              </w:rPr>
              <w:t>dC</w:t>
            </w:r>
          </w:p>
        </w:tc>
        <w:tc>
          <w:tcPr>
            <w:tcW w:w="1511" w:type="dxa"/>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786,02</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eC</w:t>
            </w:r>
          </w:p>
        </w:tc>
      </w:tr>
      <w:tr w:rsidR="0047181B" w:rsidRPr="00972ABE" w:rsidTr="00054A83">
        <w:trPr>
          <w:trHeight w:val="324"/>
        </w:trPr>
        <w:tc>
          <w:tcPr>
            <w:tcW w:w="1744" w:type="dxa"/>
            <w:tcBorders>
              <w:bottom w:val="single" w:sz="4" w:space="0" w:color="auto"/>
            </w:tcBorders>
            <w:shd w:val="clear" w:color="auto" w:fill="FFFFFF" w:themeFill="background1"/>
            <w:noWrap/>
            <w:hideMark/>
          </w:tcPr>
          <w:p w:rsidR="0047181B" w:rsidRPr="00A87F9B" w:rsidRDefault="0047181B" w:rsidP="00986D30">
            <w:pPr>
              <w:spacing w:line="240" w:lineRule="auto"/>
              <w:ind w:firstLine="0"/>
              <w:jc w:val="center"/>
              <w:rPr>
                <w:rFonts w:eastAsia="Times New Roman"/>
                <w:b/>
                <w:color w:val="000000"/>
                <w:sz w:val="20"/>
                <w:szCs w:val="20"/>
                <w:lang w:eastAsia="tr-TR"/>
              </w:rPr>
            </w:pPr>
            <w:r w:rsidRPr="00A87F9B">
              <w:rPr>
                <w:rFonts w:eastAsia="Times New Roman"/>
                <w:b/>
                <w:color w:val="000000"/>
                <w:sz w:val="20"/>
                <w:szCs w:val="20"/>
                <w:lang w:eastAsia="tr-TR"/>
              </w:rPr>
              <w:t>55 mM</w:t>
            </w:r>
          </w:p>
        </w:tc>
        <w:tc>
          <w:tcPr>
            <w:tcW w:w="1442" w:type="dxa"/>
            <w:tcBorders>
              <w:bottom w:val="single" w:sz="4" w:space="0" w:color="auto"/>
            </w:tcBorders>
            <w:shd w:val="clear" w:color="auto" w:fill="FFFFFF" w:themeFill="background1"/>
            <w:noWrap/>
            <w:hideMark/>
          </w:tcPr>
          <w:p w:rsidR="0047181B" w:rsidRPr="00A87F9B" w:rsidRDefault="00986D30"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821,19</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aD</w:t>
            </w:r>
          </w:p>
        </w:tc>
        <w:tc>
          <w:tcPr>
            <w:tcW w:w="1582" w:type="dxa"/>
            <w:tcBorders>
              <w:bottom w:val="single" w:sz="4" w:space="0" w:color="auto"/>
            </w:tcBorders>
            <w:shd w:val="clear" w:color="auto" w:fill="FFFFFF" w:themeFill="background1"/>
            <w:noWrap/>
            <w:hideMark/>
          </w:tcPr>
          <w:p w:rsidR="0047181B" w:rsidRPr="00A87F9B" w:rsidRDefault="00986D30"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881,65</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bD</w:t>
            </w:r>
          </w:p>
        </w:tc>
        <w:tc>
          <w:tcPr>
            <w:tcW w:w="1415" w:type="dxa"/>
            <w:tcBorders>
              <w:bottom w:val="single" w:sz="4" w:space="0" w:color="auto"/>
            </w:tcBorders>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822,95</w:t>
            </w:r>
            <w:r w:rsidR="0047181B" w:rsidRPr="00A87F9B">
              <w:rPr>
                <w:rFonts w:eastAsia="Times New Roman"/>
                <w:color w:val="000000"/>
                <w:sz w:val="18"/>
                <w:szCs w:val="20"/>
                <w:lang w:eastAsia="tr-TR"/>
              </w:rPr>
              <w:t>±</w:t>
            </w:r>
            <w:r w:rsidRPr="00A87F9B">
              <w:rPr>
                <w:rFonts w:eastAsia="Times New Roman"/>
                <w:sz w:val="18"/>
                <w:szCs w:val="20"/>
                <w:lang w:eastAsia="tr-TR"/>
              </w:rPr>
              <w:t>0,0</w:t>
            </w:r>
            <w:r w:rsidR="00F506A4" w:rsidRPr="00A87F9B">
              <w:rPr>
                <w:rFonts w:eastAsia="Times New Roman"/>
                <w:sz w:val="18"/>
                <w:szCs w:val="20"/>
                <w:lang w:eastAsia="tr-TR"/>
              </w:rPr>
              <w:t>3</w:t>
            </w:r>
            <w:r w:rsidR="00746F57" w:rsidRPr="00A87F9B">
              <w:rPr>
                <w:rFonts w:eastAsia="Times New Roman"/>
                <w:sz w:val="18"/>
                <w:szCs w:val="20"/>
                <w:vertAlign w:val="superscript"/>
                <w:lang w:eastAsia="tr-TR"/>
              </w:rPr>
              <w:t>cD</w:t>
            </w:r>
          </w:p>
        </w:tc>
        <w:tc>
          <w:tcPr>
            <w:tcW w:w="1385" w:type="dxa"/>
            <w:tcBorders>
              <w:bottom w:val="single" w:sz="4" w:space="0" w:color="auto"/>
            </w:tcBorders>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761,96</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dD</w:t>
            </w:r>
          </w:p>
        </w:tc>
        <w:tc>
          <w:tcPr>
            <w:tcW w:w="1511" w:type="dxa"/>
            <w:tcBorders>
              <w:bottom w:val="single" w:sz="4" w:space="0" w:color="auto"/>
            </w:tcBorders>
            <w:shd w:val="clear" w:color="auto" w:fill="FFFFFF" w:themeFill="background1"/>
            <w:noWrap/>
            <w:hideMark/>
          </w:tcPr>
          <w:p w:rsidR="0047181B" w:rsidRPr="00A87F9B" w:rsidRDefault="00C222B1" w:rsidP="00A87F9B">
            <w:pPr>
              <w:spacing w:line="240" w:lineRule="auto"/>
              <w:ind w:firstLine="0"/>
              <w:jc w:val="center"/>
              <w:rPr>
                <w:rFonts w:eastAsia="Times New Roman"/>
                <w:color w:val="000000"/>
                <w:sz w:val="18"/>
                <w:szCs w:val="20"/>
                <w:lang w:eastAsia="tr-TR"/>
              </w:rPr>
            </w:pPr>
            <w:r w:rsidRPr="00A87F9B">
              <w:rPr>
                <w:rFonts w:eastAsia="Times New Roman"/>
                <w:color w:val="000000"/>
                <w:sz w:val="18"/>
                <w:szCs w:val="20"/>
                <w:lang w:eastAsia="tr-TR"/>
              </w:rPr>
              <w:t>774,54</w:t>
            </w:r>
            <w:r w:rsidR="0047181B" w:rsidRPr="00A87F9B">
              <w:rPr>
                <w:rFonts w:eastAsia="Times New Roman"/>
                <w:color w:val="000000"/>
                <w:sz w:val="18"/>
                <w:szCs w:val="20"/>
                <w:lang w:eastAsia="tr-TR"/>
              </w:rPr>
              <w:t>±</w:t>
            </w:r>
            <w:r w:rsidRPr="00A87F9B">
              <w:rPr>
                <w:rFonts w:eastAsia="Times New Roman"/>
                <w:sz w:val="18"/>
                <w:szCs w:val="20"/>
                <w:lang w:eastAsia="tr-TR"/>
              </w:rPr>
              <w:t>0,01</w:t>
            </w:r>
            <w:r w:rsidR="00746F57" w:rsidRPr="00A87F9B">
              <w:rPr>
                <w:rFonts w:eastAsia="Times New Roman"/>
                <w:sz w:val="18"/>
                <w:szCs w:val="20"/>
                <w:vertAlign w:val="superscript"/>
                <w:lang w:eastAsia="tr-TR"/>
              </w:rPr>
              <w:t>eD</w:t>
            </w:r>
          </w:p>
        </w:tc>
      </w:tr>
    </w:tbl>
    <w:p w:rsidR="00746F57" w:rsidRPr="001B5AA1" w:rsidRDefault="00746F57" w:rsidP="00746F57">
      <w:pPr>
        <w:ind w:firstLine="0"/>
        <w:rPr>
          <w:rFonts w:cs="Times New Roman"/>
          <w:color w:val="000000"/>
          <w:sz w:val="18"/>
          <w:szCs w:val="24"/>
        </w:rPr>
      </w:pPr>
      <w:r w:rsidRPr="001B5AA1">
        <w:rPr>
          <w:rFonts w:cs="Times New Roman"/>
          <w:color w:val="000000"/>
          <w:sz w:val="18"/>
          <w:szCs w:val="24"/>
        </w:rPr>
        <w:t>abcd</w:t>
      </w:r>
      <w:r>
        <w:rPr>
          <w:rFonts w:cs="Times New Roman"/>
          <w:color w:val="000000"/>
          <w:sz w:val="18"/>
          <w:szCs w:val="24"/>
        </w:rPr>
        <w:t>e</w:t>
      </w:r>
      <w:r w:rsidRPr="001B5AA1">
        <w:rPr>
          <w:rFonts w:cs="Times New Roman"/>
          <w:color w:val="000000"/>
          <w:sz w:val="18"/>
          <w:szCs w:val="24"/>
        </w:rPr>
        <w:t xml:space="preserve"> aynı satırda farklı harfler p&lt;0,001 düzeyinde önemi ifade etmektedir.</w:t>
      </w:r>
    </w:p>
    <w:p w:rsidR="00746F57" w:rsidRPr="001B5AA1" w:rsidRDefault="00746F57" w:rsidP="00746F57">
      <w:pPr>
        <w:ind w:firstLine="0"/>
        <w:rPr>
          <w:rFonts w:cs="Times New Roman"/>
          <w:color w:val="000000"/>
          <w:sz w:val="18"/>
          <w:szCs w:val="24"/>
        </w:rPr>
      </w:pPr>
      <w:r w:rsidRPr="001B5AA1">
        <w:rPr>
          <w:rFonts w:cs="Times New Roman"/>
          <w:color w:val="000000"/>
          <w:sz w:val="18"/>
          <w:szCs w:val="24"/>
        </w:rPr>
        <w:t>ABCD aynı sütunda farklı harfler p&lt;0,001 düzeyinde önemi ifade etmektedir.</w:t>
      </w:r>
    </w:p>
    <w:p w:rsidR="0047181B" w:rsidRPr="00C97A09" w:rsidRDefault="0047181B" w:rsidP="00C97A09">
      <w:pPr>
        <w:autoSpaceDE w:val="0"/>
        <w:autoSpaceDN w:val="0"/>
        <w:adjustRightInd w:val="0"/>
        <w:ind w:firstLine="0"/>
        <w:rPr>
          <w:rFonts w:eastAsia="Calibri" w:cs="Times New Roman"/>
          <w:szCs w:val="24"/>
        </w:rPr>
      </w:pPr>
    </w:p>
    <w:p w:rsidR="002B3673" w:rsidRDefault="0047181B" w:rsidP="00C20089">
      <w:pPr>
        <w:ind w:firstLine="0"/>
        <w:jc w:val="center"/>
        <w:rPr>
          <w:rFonts w:cs="Times New Roman"/>
          <w:szCs w:val="24"/>
        </w:rPr>
      </w:pPr>
      <w:r>
        <w:rPr>
          <w:noProof/>
          <w:lang w:eastAsia="tr-TR"/>
        </w:rPr>
        <w:drawing>
          <wp:inline distT="0" distB="0" distL="0" distR="0">
            <wp:extent cx="4941870" cy="2743200"/>
            <wp:effectExtent l="0" t="0" r="0" b="0"/>
            <wp:docPr id="353" name="Grafik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D852FC" w:rsidRDefault="00D852FC" w:rsidP="00D852FC">
      <w:pPr>
        <w:ind w:firstLine="0"/>
        <w:rPr>
          <w:rFonts w:eastAsia="Calibri" w:cs="Times New Roman"/>
          <w:b/>
          <w:szCs w:val="24"/>
        </w:rPr>
      </w:pPr>
    </w:p>
    <w:p w:rsidR="00D852FC" w:rsidRDefault="004C3E69" w:rsidP="00D852FC">
      <w:pPr>
        <w:ind w:firstLine="0"/>
        <w:rPr>
          <w:rFonts w:eastAsia="Calibri" w:cs="Times New Roman"/>
          <w:szCs w:val="24"/>
        </w:rPr>
      </w:pPr>
      <w:r>
        <w:rPr>
          <w:rFonts w:eastAsia="Calibri" w:cs="Times New Roman"/>
          <w:b/>
          <w:szCs w:val="24"/>
        </w:rPr>
        <w:t>Şekil 80</w:t>
      </w:r>
      <w:r w:rsidR="00D852FC" w:rsidRPr="005A48D4">
        <w:rPr>
          <w:rFonts w:eastAsia="Calibri" w:cs="Times New Roman"/>
          <w:b/>
          <w:szCs w:val="24"/>
        </w:rPr>
        <w:t>.</w:t>
      </w:r>
      <w:r w:rsidR="00D852FC" w:rsidRPr="005A48D4">
        <w:rPr>
          <w:rFonts w:eastAsia="Calibri" w:cs="Times New Roman"/>
          <w:szCs w:val="24"/>
        </w:rPr>
        <w:t xml:space="preserve"> Hipoksik ortamdaki MCF7 hücrelerinin 0</w:t>
      </w:r>
      <w:proofErr w:type="gramStart"/>
      <w:r w:rsidR="00D852FC" w:rsidRPr="005A48D4">
        <w:rPr>
          <w:rFonts w:eastAsia="Calibri" w:cs="Times New Roman"/>
          <w:szCs w:val="24"/>
        </w:rPr>
        <w:t>.,</w:t>
      </w:r>
      <w:proofErr w:type="gramEnd"/>
      <w:r w:rsidR="00D852FC" w:rsidRPr="005A48D4">
        <w:rPr>
          <w:rFonts w:eastAsia="Calibri" w:cs="Times New Roman"/>
          <w:szCs w:val="24"/>
        </w:rPr>
        <w:t xml:space="preserve"> 6., 12., 24 ve 48 saat süreyle farklı konsantrasyonlarda (0, 5.5, 15 ve 55 mM) glukoz muameleleri sonucu oluşan yara açıklığı yüzdeleri.</w:t>
      </w:r>
    </w:p>
    <w:p w:rsidR="00972ABE" w:rsidRDefault="00972ABE" w:rsidP="00D852FC">
      <w:pPr>
        <w:ind w:firstLine="0"/>
        <w:rPr>
          <w:rFonts w:eastAsia="Calibri" w:cs="Times New Roman"/>
          <w:szCs w:val="24"/>
        </w:rPr>
      </w:pPr>
    </w:p>
    <w:p w:rsidR="00972ABE" w:rsidRDefault="00972ABE" w:rsidP="00D852FC">
      <w:pPr>
        <w:ind w:firstLine="0"/>
        <w:rPr>
          <w:rFonts w:eastAsia="Calibri" w:cs="Times New Roman"/>
          <w:szCs w:val="24"/>
        </w:rPr>
      </w:pPr>
    </w:p>
    <w:p w:rsidR="00972ABE" w:rsidRDefault="00972ABE" w:rsidP="00D852FC">
      <w:pPr>
        <w:ind w:firstLine="0"/>
        <w:rPr>
          <w:rFonts w:eastAsia="Calibri" w:cs="Times New Roman"/>
          <w:szCs w:val="24"/>
        </w:rPr>
      </w:pPr>
    </w:p>
    <w:p w:rsidR="00972ABE" w:rsidRDefault="00972ABE" w:rsidP="00D852FC">
      <w:pPr>
        <w:ind w:firstLine="0"/>
        <w:rPr>
          <w:rFonts w:eastAsia="Calibri" w:cs="Times New Roman"/>
          <w:szCs w:val="24"/>
        </w:rPr>
      </w:pPr>
    </w:p>
    <w:p w:rsidR="00972ABE" w:rsidRDefault="00972ABE" w:rsidP="00D852FC">
      <w:pPr>
        <w:ind w:firstLine="0"/>
        <w:rPr>
          <w:rFonts w:eastAsia="Calibri" w:cs="Times New Roman"/>
          <w:szCs w:val="24"/>
        </w:rPr>
      </w:pPr>
    </w:p>
    <w:p w:rsidR="00972ABE" w:rsidRDefault="00972ABE" w:rsidP="00D852FC">
      <w:pPr>
        <w:ind w:firstLine="0"/>
        <w:rPr>
          <w:rFonts w:eastAsia="Calibri" w:cs="Times New Roman"/>
          <w:szCs w:val="24"/>
        </w:rPr>
      </w:pPr>
    </w:p>
    <w:p w:rsidR="00482986" w:rsidRDefault="00482986" w:rsidP="00D852FC">
      <w:pPr>
        <w:ind w:firstLine="0"/>
        <w:rPr>
          <w:rFonts w:eastAsia="Calibri" w:cs="Times New Roman"/>
          <w:szCs w:val="24"/>
        </w:rPr>
      </w:pPr>
    </w:p>
    <w:p w:rsidR="00972ABE" w:rsidRDefault="00972ABE" w:rsidP="00D852FC">
      <w:pPr>
        <w:ind w:firstLine="0"/>
        <w:rPr>
          <w:rFonts w:eastAsia="Calibri" w:cs="Times New Roman"/>
          <w:szCs w:val="24"/>
        </w:rPr>
      </w:pPr>
    </w:p>
    <w:p w:rsidR="00972ABE" w:rsidRDefault="00972ABE" w:rsidP="00D852FC">
      <w:pPr>
        <w:ind w:firstLine="0"/>
        <w:rPr>
          <w:rFonts w:eastAsia="Calibri" w:cs="Times New Roman"/>
          <w:szCs w:val="24"/>
        </w:rPr>
      </w:pPr>
    </w:p>
    <w:p w:rsidR="00A87F9B" w:rsidRDefault="00A87F9B" w:rsidP="00D852FC">
      <w:pPr>
        <w:ind w:firstLine="0"/>
        <w:rPr>
          <w:rFonts w:eastAsia="Calibri" w:cs="Times New Roman"/>
          <w:szCs w:val="24"/>
        </w:rPr>
      </w:pPr>
    </w:p>
    <w:p w:rsidR="005A48D4" w:rsidRPr="00A87F9B" w:rsidRDefault="004657C4" w:rsidP="005A48D4">
      <w:pPr>
        <w:spacing w:line="240" w:lineRule="auto"/>
        <w:ind w:firstLine="0"/>
        <w:jc w:val="left"/>
        <w:rPr>
          <w:rFonts w:eastAsia="Calibri" w:cs="Times New Roman"/>
          <w:b/>
          <w:szCs w:val="24"/>
        </w:rPr>
      </w:pPr>
      <w:r w:rsidRPr="00A87F9B">
        <w:rPr>
          <w:rFonts w:eastAsia="Calibri" w:cs="Times New Roman"/>
          <w:b/>
          <w:szCs w:val="24"/>
        </w:rPr>
        <w:lastRenderedPageBreak/>
        <w:t>A</w:t>
      </w:r>
      <w:r w:rsidR="005A48D4" w:rsidRPr="00A87F9B">
        <w:rPr>
          <w:rFonts w:eastAsia="Calibri" w:cs="Times New Roman"/>
          <w:b/>
          <w:szCs w:val="24"/>
        </w:rPr>
        <w:t xml:space="preserve">                    0 mM                       </w:t>
      </w:r>
      <w:r w:rsidR="00A87F9B">
        <w:rPr>
          <w:rFonts w:eastAsia="Calibri" w:cs="Times New Roman"/>
          <w:b/>
          <w:szCs w:val="24"/>
        </w:rPr>
        <w:t xml:space="preserve"> </w:t>
      </w:r>
      <w:proofErr w:type="gramStart"/>
      <w:r w:rsidR="005A48D4" w:rsidRPr="00A87F9B">
        <w:rPr>
          <w:rFonts w:eastAsia="Calibri" w:cs="Times New Roman"/>
          <w:b/>
          <w:szCs w:val="24"/>
        </w:rPr>
        <w:t>5.5</w:t>
      </w:r>
      <w:proofErr w:type="gramEnd"/>
      <w:r w:rsidR="005A48D4" w:rsidRPr="00A87F9B">
        <w:rPr>
          <w:rFonts w:eastAsia="Calibri" w:cs="Times New Roman"/>
          <w:b/>
          <w:szCs w:val="24"/>
        </w:rPr>
        <w:t xml:space="preserve"> mM                      </w:t>
      </w:r>
      <w:r w:rsidR="00A87F9B">
        <w:rPr>
          <w:rFonts w:eastAsia="Calibri" w:cs="Times New Roman"/>
          <w:b/>
          <w:szCs w:val="24"/>
        </w:rPr>
        <w:t xml:space="preserve"> </w:t>
      </w:r>
      <w:r w:rsidR="005A48D4" w:rsidRPr="00A87F9B">
        <w:rPr>
          <w:rFonts w:eastAsia="Calibri" w:cs="Times New Roman"/>
          <w:b/>
          <w:szCs w:val="24"/>
        </w:rPr>
        <w:t xml:space="preserve">15 mM                        55 mM   </w:t>
      </w:r>
    </w:p>
    <w:p w:rsidR="005A48D4" w:rsidRPr="00A87F9B" w:rsidRDefault="004657C4" w:rsidP="005A48D4">
      <w:pPr>
        <w:spacing w:line="240" w:lineRule="auto"/>
        <w:ind w:firstLine="0"/>
        <w:jc w:val="left"/>
        <w:rPr>
          <w:rFonts w:eastAsia="Calibri" w:cs="Times New Roman"/>
          <w:b/>
          <w:szCs w:val="24"/>
        </w:rPr>
      </w:pPr>
      <w:r w:rsidRPr="00A87F9B">
        <w:rPr>
          <w:rFonts w:eastAsia="Calibri" w:cs="Times New Roman"/>
          <w:b/>
          <w:szCs w:val="24"/>
        </w:rPr>
        <w:t xml:space="preserve">                       glu</w:t>
      </w:r>
      <w:r w:rsidR="005A48D4" w:rsidRPr="00A87F9B">
        <w:rPr>
          <w:rFonts w:eastAsia="Calibri" w:cs="Times New Roman"/>
          <w:b/>
          <w:szCs w:val="24"/>
        </w:rPr>
        <w:t>koz                       gl</w:t>
      </w:r>
      <w:r w:rsidRPr="00A87F9B">
        <w:rPr>
          <w:rFonts w:eastAsia="Calibri" w:cs="Times New Roman"/>
          <w:b/>
          <w:szCs w:val="24"/>
        </w:rPr>
        <w:t xml:space="preserve">ukoz                       </w:t>
      </w:r>
      <w:r w:rsidR="00A87F9B">
        <w:rPr>
          <w:rFonts w:eastAsia="Calibri" w:cs="Times New Roman"/>
          <w:b/>
          <w:szCs w:val="24"/>
        </w:rPr>
        <w:t xml:space="preserve"> </w:t>
      </w:r>
      <w:r w:rsidR="005A48D4" w:rsidRPr="00A87F9B">
        <w:rPr>
          <w:rFonts w:eastAsia="Calibri" w:cs="Times New Roman"/>
          <w:b/>
          <w:szCs w:val="24"/>
        </w:rPr>
        <w:t xml:space="preserve"> gl</w:t>
      </w:r>
      <w:r w:rsidRPr="00A87F9B">
        <w:rPr>
          <w:rFonts w:eastAsia="Calibri" w:cs="Times New Roman"/>
          <w:b/>
          <w:szCs w:val="24"/>
        </w:rPr>
        <w:t>u</w:t>
      </w:r>
      <w:r w:rsidR="005A48D4" w:rsidRPr="00A87F9B">
        <w:rPr>
          <w:rFonts w:eastAsia="Calibri" w:cs="Times New Roman"/>
          <w:b/>
          <w:szCs w:val="24"/>
        </w:rPr>
        <w:t xml:space="preserve">koz                </w:t>
      </w:r>
      <w:r w:rsidRPr="00A87F9B">
        <w:rPr>
          <w:rFonts w:eastAsia="Calibri" w:cs="Times New Roman"/>
          <w:b/>
          <w:szCs w:val="24"/>
        </w:rPr>
        <w:t xml:space="preserve">      </w:t>
      </w:r>
      <w:r w:rsidR="005A48D4" w:rsidRPr="00A87F9B">
        <w:rPr>
          <w:rFonts w:eastAsia="Calibri" w:cs="Times New Roman"/>
          <w:b/>
          <w:szCs w:val="24"/>
        </w:rPr>
        <w:t xml:space="preserve"> </w:t>
      </w:r>
      <w:r w:rsidRPr="00A87F9B">
        <w:rPr>
          <w:rFonts w:eastAsia="Calibri" w:cs="Times New Roman"/>
          <w:b/>
          <w:szCs w:val="24"/>
        </w:rPr>
        <w:t xml:space="preserve"> </w:t>
      </w:r>
      <w:r w:rsidR="005A48D4" w:rsidRPr="00A87F9B">
        <w:rPr>
          <w:rFonts w:eastAsia="Calibri" w:cs="Times New Roman"/>
          <w:b/>
          <w:szCs w:val="24"/>
        </w:rPr>
        <w:t>gl</w:t>
      </w:r>
      <w:r w:rsidRPr="00A87F9B">
        <w:rPr>
          <w:rFonts w:eastAsia="Calibri" w:cs="Times New Roman"/>
          <w:b/>
          <w:szCs w:val="24"/>
        </w:rPr>
        <w:t>u</w:t>
      </w:r>
      <w:r w:rsidR="005A48D4" w:rsidRPr="00A87F9B">
        <w:rPr>
          <w:rFonts w:eastAsia="Calibri" w:cs="Times New Roman"/>
          <w:b/>
          <w:szCs w:val="24"/>
        </w:rPr>
        <w:t>koz</w:t>
      </w:r>
    </w:p>
    <w:p w:rsidR="005A48D4" w:rsidRPr="00A87F9B" w:rsidRDefault="005A48D4" w:rsidP="005A48D4">
      <w:pPr>
        <w:ind w:firstLine="0"/>
        <w:jc w:val="center"/>
        <w:rPr>
          <w:rFonts w:ascii="Calibri" w:eastAsia="Calibri" w:hAnsi="Calibri" w:cs="Times New Roman"/>
          <w:b/>
          <w:sz w:val="22"/>
        </w:rPr>
      </w:pPr>
    </w:p>
    <w:p w:rsidR="00592C95" w:rsidRPr="00A87F9B" w:rsidRDefault="00592C95" w:rsidP="00B545C9">
      <w:pPr>
        <w:spacing w:line="240" w:lineRule="auto"/>
        <w:ind w:firstLine="0"/>
        <w:rPr>
          <w:rFonts w:cs="Times New Roman"/>
          <w:b/>
          <w:sz w:val="18"/>
          <w:szCs w:val="18"/>
        </w:rPr>
      </w:pPr>
      <w:r w:rsidRPr="00A87F9B">
        <w:rPr>
          <w:rFonts w:cs="Times New Roman"/>
          <w:b/>
          <w:sz w:val="18"/>
          <w:szCs w:val="18"/>
        </w:rPr>
        <w:t>0.Dakika</w:t>
      </w:r>
      <w:r w:rsidRPr="00A87F9B">
        <w:rPr>
          <w:rFonts w:cs="Times New Roman"/>
          <w:b/>
          <w:sz w:val="18"/>
          <w:szCs w:val="18"/>
        </w:rPr>
        <w:tab/>
        <w:t xml:space="preserve"> </w:t>
      </w:r>
      <w:r w:rsidRPr="00A87F9B">
        <w:rPr>
          <w:rFonts w:cs="Times New Roman"/>
          <w:b/>
          <w:noProof/>
          <w:sz w:val="18"/>
          <w:szCs w:val="18"/>
          <w:lang w:eastAsia="tr-TR"/>
        </w:rPr>
        <w:drawing>
          <wp:inline distT="0" distB="0" distL="0" distR="0" wp14:anchorId="48DA5A0D" wp14:editId="7BBD83E1">
            <wp:extent cx="1296000" cy="972000"/>
            <wp:effectExtent l="19050" t="0" r="0" b="0"/>
            <wp:docPr id="113" name="0 Resim" descr="hipo 0 yara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o 0 yara_edit.jpg"/>
                    <pic:cNvPicPr/>
                  </pic:nvPicPr>
                  <pic:blipFill>
                    <a:blip r:embed="rId126" cstate="print">
                      <a:duotone>
                        <a:prstClr val="black"/>
                        <a:srgbClr val="D9C3A5">
                          <a:tint val="50000"/>
                          <a:satMod val="180000"/>
                        </a:srgbClr>
                      </a:duotone>
                      <a:lum bright="7000"/>
                    </a:blip>
                    <a:stretch>
                      <a:fillRect/>
                    </a:stretch>
                  </pic:blipFill>
                  <pic:spPr>
                    <a:xfrm>
                      <a:off x="0" y="0"/>
                      <a:ext cx="12960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307942CE" wp14:editId="37049A40">
            <wp:extent cx="1295400" cy="972000"/>
            <wp:effectExtent l="19050" t="0" r="0" b="0"/>
            <wp:docPr id="14" name="13 Resim" descr="2 norm 5,5 ya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norm 5,5 yara.jpg"/>
                    <pic:cNvPicPr/>
                  </pic:nvPicPr>
                  <pic:blipFill>
                    <a:blip r:embed="rId127" cstate="print">
                      <a:duotone>
                        <a:prstClr val="black"/>
                        <a:srgbClr val="D9C3A5">
                          <a:tint val="50000"/>
                          <a:satMod val="180000"/>
                        </a:srgbClr>
                      </a:duotone>
                      <a:lum bright="8000"/>
                    </a:blip>
                    <a:stretch>
                      <a:fillRect/>
                    </a:stretch>
                  </pic:blipFill>
                  <pic:spPr>
                    <a:xfrm>
                      <a:off x="0" y="0"/>
                      <a:ext cx="1295400" cy="972000"/>
                    </a:xfrm>
                    <a:prstGeom prst="rect">
                      <a:avLst/>
                    </a:prstGeom>
                    <a:blipFill dpi="0" rotWithShape="1">
                      <a:blip r:embed="rId128"/>
                      <a:srcRect/>
                      <a:stretch>
                        <a:fillRect/>
                      </a:stretch>
                    </a:blipFill>
                  </pic:spPr>
                </pic:pic>
              </a:graphicData>
            </a:graphic>
          </wp:inline>
        </w:drawing>
      </w:r>
      <w:r w:rsidRPr="00A87F9B">
        <w:rPr>
          <w:rFonts w:cs="Times New Roman"/>
          <w:b/>
          <w:noProof/>
          <w:sz w:val="18"/>
          <w:szCs w:val="18"/>
          <w:lang w:eastAsia="tr-TR"/>
        </w:rPr>
        <w:drawing>
          <wp:inline distT="0" distB="0" distL="0" distR="0" wp14:anchorId="469E52AE" wp14:editId="42D6B75A">
            <wp:extent cx="1296000" cy="972000"/>
            <wp:effectExtent l="19050" t="0" r="0" b="0"/>
            <wp:docPr id="114" name="16 Resim" descr="norm 15 y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 15 yara-2.jpg"/>
                    <pic:cNvPicPr/>
                  </pic:nvPicPr>
                  <pic:blipFill>
                    <a:blip r:embed="rId129" cstate="print">
                      <a:duotone>
                        <a:prstClr val="black"/>
                        <a:srgbClr val="D9C3A5">
                          <a:tint val="50000"/>
                          <a:satMod val="180000"/>
                        </a:srgbClr>
                      </a:duotone>
                      <a:lum bright="-4000"/>
                    </a:blip>
                    <a:stretch>
                      <a:fillRect/>
                    </a:stretch>
                  </pic:blipFill>
                  <pic:spPr>
                    <a:xfrm>
                      <a:off x="0" y="0"/>
                      <a:ext cx="12960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4244BEE1" wp14:editId="625B86A4">
            <wp:extent cx="1295365" cy="972000"/>
            <wp:effectExtent l="19050" t="0" r="35" b="0"/>
            <wp:docPr id="18" name="17 Resim" descr="norm 55 ya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 55 yara -2.jpg"/>
                    <pic:cNvPicPr/>
                  </pic:nvPicPr>
                  <pic:blipFill>
                    <a:blip r:embed="rId130" cstate="print">
                      <a:duotone>
                        <a:prstClr val="black"/>
                        <a:srgbClr val="D9C3A5">
                          <a:tint val="50000"/>
                          <a:satMod val="180000"/>
                        </a:srgbClr>
                      </a:duotone>
                      <a:lum bright="-11000"/>
                    </a:blip>
                    <a:stretch>
                      <a:fillRect/>
                    </a:stretch>
                  </pic:blipFill>
                  <pic:spPr>
                    <a:xfrm>
                      <a:off x="0" y="0"/>
                      <a:ext cx="1295365" cy="972000"/>
                    </a:xfrm>
                    <a:prstGeom prst="rect">
                      <a:avLst/>
                    </a:prstGeom>
                  </pic:spPr>
                </pic:pic>
              </a:graphicData>
            </a:graphic>
          </wp:inline>
        </w:drawing>
      </w:r>
    </w:p>
    <w:p w:rsidR="00B545C9" w:rsidRPr="00A87F9B" w:rsidRDefault="00B545C9" w:rsidP="00B545C9">
      <w:pPr>
        <w:spacing w:line="240" w:lineRule="auto"/>
        <w:ind w:firstLine="0"/>
        <w:rPr>
          <w:rFonts w:cs="Times New Roman"/>
          <w:b/>
          <w:sz w:val="18"/>
          <w:szCs w:val="18"/>
        </w:rPr>
      </w:pPr>
    </w:p>
    <w:p w:rsidR="00592C95" w:rsidRPr="00A87F9B" w:rsidRDefault="00592C95" w:rsidP="00592C95">
      <w:pPr>
        <w:spacing w:line="240" w:lineRule="auto"/>
        <w:ind w:firstLine="0"/>
        <w:rPr>
          <w:rFonts w:cs="Times New Roman"/>
          <w:b/>
          <w:sz w:val="18"/>
          <w:szCs w:val="18"/>
        </w:rPr>
      </w:pPr>
      <w:r w:rsidRPr="00A87F9B">
        <w:rPr>
          <w:rFonts w:cs="Times New Roman"/>
          <w:b/>
          <w:sz w:val="18"/>
          <w:szCs w:val="18"/>
        </w:rPr>
        <w:t xml:space="preserve">6.Saat  </w:t>
      </w:r>
      <w:r w:rsidRPr="00A87F9B">
        <w:rPr>
          <w:rFonts w:cs="Times New Roman"/>
          <w:b/>
          <w:sz w:val="18"/>
          <w:szCs w:val="18"/>
        </w:rPr>
        <w:tab/>
        <w:t xml:space="preserve"> </w:t>
      </w:r>
      <w:r w:rsidRPr="00A87F9B">
        <w:rPr>
          <w:rFonts w:cs="Times New Roman"/>
          <w:b/>
          <w:noProof/>
          <w:sz w:val="18"/>
          <w:szCs w:val="18"/>
          <w:lang w:eastAsia="tr-TR"/>
        </w:rPr>
        <w:drawing>
          <wp:inline distT="0" distB="0" distL="0" distR="0" wp14:anchorId="6C4937AA" wp14:editId="4FE958C9">
            <wp:extent cx="1295400" cy="972000"/>
            <wp:effectExtent l="19050" t="0" r="0" b="0"/>
            <wp:docPr id="2" name="1 Resim" descr="norm 0 yara 6. saa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0 yara 6. saat(1).jpg"/>
                    <pic:cNvPicPr/>
                  </pic:nvPicPr>
                  <pic:blipFill>
                    <a:blip r:embed="rId131"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460003BE" wp14:editId="099C5902">
            <wp:extent cx="1295400" cy="972000"/>
            <wp:effectExtent l="19050" t="0" r="0" b="0"/>
            <wp:docPr id="6" name="5 Resim" descr="norm 5.5 yara 6.saa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5.5 yara 6.saat(1).jpg"/>
                    <pic:cNvPicPr/>
                  </pic:nvPicPr>
                  <pic:blipFill>
                    <a:blip r:embed="rId132"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4E0F520E" wp14:editId="3CCBC2FF">
            <wp:extent cx="1295400" cy="972000"/>
            <wp:effectExtent l="19050" t="0" r="0" b="0"/>
            <wp:docPr id="115" name="2 Resim" descr="norm 15 yara 6.saa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15 yara 6.saat(2).jpg"/>
                    <pic:cNvPicPr/>
                  </pic:nvPicPr>
                  <pic:blipFill>
                    <a:blip r:embed="rId133" cstate="print">
                      <a:duotone>
                        <a:prstClr val="black"/>
                        <a:srgbClr val="D9C3A5">
                          <a:tint val="50000"/>
                          <a:satMod val="180000"/>
                        </a:srgbClr>
                      </a:duotone>
                      <a:lum bright="-10000"/>
                    </a:blip>
                    <a:stretch>
                      <a:fillRect/>
                    </a:stretch>
                  </pic:blipFill>
                  <pic:spPr>
                    <a:xfrm>
                      <a:off x="0" y="0"/>
                      <a:ext cx="12954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7004774B" wp14:editId="76615D19">
            <wp:extent cx="1296000" cy="972000"/>
            <wp:effectExtent l="19050" t="0" r="0" b="0"/>
            <wp:docPr id="4" name="3 Resim" descr="norm 55 yara 6.sa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 55 yara 6.saat-2.jpg"/>
                    <pic:cNvPicPr/>
                  </pic:nvPicPr>
                  <pic:blipFill>
                    <a:blip r:embed="rId134" cstate="print">
                      <a:duotone>
                        <a:prstClr val="black"/>
                        <a:srgbClr val="D9C3A5">
                          <a:tint val="50000"/>
                          <a:satMod val="180000"/>
                        </a:srgbClr>
                      </a:duotone>
                    </a:blip>
                    <a:stretch>
                      <a:fillRect/>
                    </a:stretch>
                  </pic:blipFill>
                  <pic:spPr>
                    <a:xfrm>
                      <a:off x="0" y="0"/>
                      <a:ext cx="1296000" cy="972000"/>
                    </a:xfrm>
                    <a:prstGeom prst="rect">
                      <a:avLst/>
                    </a:prstGeom>
                  </pic:spPr>
                </pic:pic>
              </a:graphicData>
            </a:graphic>
          </wp:inline>
        </w:drawing>
      </w:r>
    </w:p>
    <w:p w:rsidR="00B545C9" w:rsidRPr="00A87F9B" w:rsidRDefault="00B545C9" w:rsidP="00592C95">
      <w:pPr>
        <w:spacing w:line="240" w:lineRule="auto"/>
        <w:ind w:firstLine="0"/>
        <w:rPr>
          <w:rFonts w:cs="Times New Roman"/>
          <w:b/>
          <w:sz w:val="18"/>
          <w:szCs w:val="18"/>
        </w:rPr>
      </w:pPr>
    </w:p>
    <w:p w:rsidR="00592C95" w:rsidRPr="00A87F9B" w:rsidRDefault="00592C95" w:rsidP="00B545C9">
      <w:pPr>
        <w:spacing w:line="240" w:lineRule="auto"/>
        <w:ind w:firstLine="0"/>
        <w:rPr>
          <w:rFonts w:cs="Times New Roman"/>
          <w:b/>
          <w:sz w:val="18"/>
          <w:szCs w:val="18"/>
        </w:rPr>
      </w:pPr>
      <w:r w:rsidRPr="00A87F9B">
        <w:rPr>
          <w:rFonts w:cs="Times New Roman"/>
          <w:b/>
          <w:sz w:val="18"/>
          <w:szCs w:val="18"/>
        </w:rPr>
        <w:t>12.</w:t>
      </w:r>
      <w:r w:rsidR="00B545C9" w:rsidRPr="00A87F9B">
        <w:rPr>
          <w:rFonts w:cs="Times New Roman"/>
          <w:b/>
          <w:sz w:val="18"/>
          <w:szCs w:val="18"/>
        </w:rPr>
        <w:t>Saat</w:t>
      </w:r>
      <w:r w:rsidRPr="00A87F9B">
        <w:rPr>
          <w:rFonts w:cs="Times New Roman"/>
          <w:b/>
          <w:sz w:val="18"/>
          <w:szCs w:val="18"/>
        </w:rPr>
        <w:tab/>
        <w:t xml:space="preserve"> </w:t>
      </w:r>
      <w:r w:rsidRPr="00A87F9B">
        <w:rPr>
          <w:rFonts w:cs="Times New Roman"/>
          <w:b/>
          <w:noProof/>
          <w:sz w:val="18"/>
          <w:szCs w:val="18"/>
          <w:lang w:eastAsia="tr-TR"/>
        </w:rPr>
        <w:drawing>
          <wp:inline distT="0" distB="0" distL="0" distR="0" wp14:anchorId="103D74A8" wp14:editId="20B10C27">
            <wp:extent cx="1296000" cy="971550"/>
            <wp:effectExtent l="19050" t="0" r="0" b="0"/>
            <wp:docPr id="116" name="4 Resim" descr="norm 0 yara 12. saa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0 yara 12. saat-2.jpg"/>
                    <pic:cNvPicPr/>
                  </pic:nvPicPr>
                  <pic:blipFill>
                    <a:blip r:embed="rId135"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432BF3B5" wp14:editId="083141CC">
            <wp:extent cx="1295400" cy="972000"/>
            <wp:effectExtent l="19050" t="0" r="0" b="0"/>
            <wp:docPr id="117" name="6 Resim" descr="norm 5.5 yara 2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5.5 yara 2ed.jpg"/>
                    <pic:cNvPicPr/>
                  </pic:nvPicPr>
                  <pic:blipFill>
                    <a:blip r:embed="rId136"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64B5D6D2" wp14:editId="2EFF1A78">
            <wp:extent cx="1296000" cy="971550"/>
            <wp:effectExtent l="19050" t="0" r="0" b="0"/>
            <wp:docPr id="118" name="7 Resim" descr="norm 15 yara-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15 yara-ed.jpg"/>
                    <pic:cNvPicPr/>
                  </pic:nvPicPr>
                  <pic:blipFill>
                    <a:blip r:embed="rId137"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0BA741D1" wp14:editId="2A94A8B2">
            <wp:extent cx="1295400" cy="972000"/>
            <wp:effectExtent l="19050" t="0" r="0" b="0"/>
            <wp:docPr id="119" name="9 Resim" descr="norm 55 yara 1-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55 yara 1-ed.jpg"/>
                    <pic:cNvPicPr/>
                  </pic:nvPicPr>
                  <pic:blipFill>
                    <a:blip r:embed="rId138"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p>
    <w:p w:rsidR="00B545C9" w:rsidRPr="00A87F9B" w:rsidRDefault="00B545C9" w:rsidP="00B545C9">
      <w:pPr>
        <w:spacing w:line="240" w:lineRule="auto"/>
        <w:ind w:firstLine="0"/>
        <w:rPr>
          <w:rFonts w:cs="Times New Roman"/>
          <w:b/>
          <w:sz w:val="18"/>
          <w:szCs w:val="18"/>
        </w:rPr>
      </w:pPr>
    </w:p>
    <w:p w:rsidR="00592C95" w:rsidRPr="00A87F9B" w:rsidRDefault="00592C95" w:rsidP="00B545C9">
      <w:pPr>
        <w:spacing w:line="240" w:lineRule="auto"/>
        <w:ind w:firstLine="0"/>
        <w:rPr>
          <w:rFonts w:cs="Times New Roman"/>
          <w:b/>
          <w:sz w:val="18"/>
          <w:szCs w:val="18"/>
        </w:rPr>
      </w:pPr>
      <w:r w:rsidRPr="00A87F9B">
        <w:rPr>
          <w:rFonts w:cs="Times New Roman"/>
          <w:b/>
          <w:sz w:val="18"/>
          <w:szCs w:val="18"/>
        </w:rPr>
        <w:t xml:space="preserve">24.Saat </w:t>
      </w:r>
      <w:r w:rsidRPr="00A87F9B">
        <w:rPr>
          <w:rFonts w:cs="Times New Roman"/>
          <w:b/>
          <w:sz w:val="18"/>
          <w:szCs w:val="18"/>
        </w:rPr>
        <w:tab/>
        <w:t xml:space="preserve"> </w:t>
      </w:r>
      <w:r w:rsidRPr="00A87F9B">
        <w:rPr>
          <w:rFonts w:cs="Times New Roman"/>
          <w:b/>
          <w:noProof/>
          <w:sz w:val="18"/>
          <w:szCs w:val="18"/>
          <w:lang w:eastAsia="tr-TR"/>
        </w:rPr>
        <w:drawing>
          <wp:inline distT="0" distB="0" distL="0" distR="0" wp14:anchorId="2418903A" wp14:editId="5D61D98F">
            <wp:extent cx="1296000" cy="971550"/>
            <wp:effectExtent l="19050" t="0" r="0" b="0"/>
            <wp:docPr id="120" name="10 Resim" descr="norm 0 yara 24.saat 2-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0 yara 24.saat 2-ed.jpg"/>
                    <pic:cNvPicPr/>
                  </pic:nvPicPr>
                  <pic:blipFill>
                    <a:blip r:embed="rId139"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0DE430A6" wp14:editId="062B00CA">
            <wp:extent cx="1295400" cy="972000"/>
            <wp:effectExtent l="19050" t="0" r="0" b="0"/>
            <wp:docPr id="333" name="11 Resim" descr="norm 5.5 yara 1-edd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5.5 yara 1-eddd.jpg"/>
                    <pic:cNvPicPr/>
                  </pic:nvPicPr>
                  <pic:blipFill>
                    <a:blip r:embed="rId140"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3AC9E680" wp14:editId="6E9CA147">
            <wp:extent cx="1296000" cy="972000"/>
            <wp:effectExtent l="19050" t="0" r="0" b="0"/>
            <wp:docPr id="13" name="12 Resim" descr="norm 15 yara 2-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 15 yara 2-ww.jpg"/>
                    <pic:cNvPicPr/>
                  </pic:nvPicPr>
                  <pic:blipFill>
                    <a:blip r:embed="rId141" cstate="print">
                      <a:duotone>
                        <a:prstClr val="black"/>
                        <a:srgbClr val="D9C3A5">
                          <a:tint val="50000"/>
                          <a:satMod val="180000"/>
                        </a:srgbClr>
                      </a:duotone>
                    </a:blip>
                    <a:stretch>
                      <a:fillRect/>
                    </a:stretch>
                  </pic:blipFill>
                  <pic:spPr>
                    <a:xfrm>
                      <a:off x="0" y="0"/>
                      <a:ext cx="12960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09E40666" wp14:editId="0BD63639">
            <wp:extent cx="1295400" cy="972000"/>
            <wp:effectExtent l="19050" t="0" r="0" b="0"/>
            <wp:docPr id="334" name="14 Resim" descr="norm 55 yara 2-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55 yara 2-ed.jpg"/>
                    <pic:cNvPicPr/>
                  </pic:nvPicPr>
                  <pic:blipFill>
                    <a:blip r:embed="rId142"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p>
    <w:p w:rsidR="00B545C9" w:rsidRPr="00A87F9B" w:rsidRDefault="00B545C9" w:rsidP="00B545C9">
      <w:pPr>
        <w:spacing w:line="240" w:lineRule="auto"/>
        <w:ind w:firstLine="0"/>
        <w:rPr>
          <w:rFonts w:cs="Times New Roman"/>
          <w:b/>
          <w:sz w:val="18"/>
          <w:szCs w:val="18"/>
        </w:rPr>
      </w:pPr>
    </w:p>
    <w:p w:rsidR="00592C95" w:rsidRDefault="00592C95" w:rsidP="00592C95">
      <w:pPr>
        <w:spacing w:line="240" w:lineRule="auto"/>
        <w:ind w:firstLine="0"/>
      </w:pPr>
      <w:r w:rsidRPr="00A87F9B">
        <w:rPr>
          <w:rFonts w:cs="Times New Roman"/>
          <w:b/>
          <w:sz w:val="18"/>
          <w:szCs w:val="18"/>
        </w:rPr>
        <w:t>48.Saat</w:t>
      </w:r>
      <w:r w:rsidRPr="00B545C9">
        <w:rPr>
          <w:rFonts w:cs="Times New Roman"/>
          <w:sz w:val="18"/>
          <w:szCs w:val="18"/>
        </w:rPr>
        <w:tab/>
        <w:t xml:space="preserve"> </w:t>
      </w:r>
      <w:r w:rsidRPr="00B545C9">
        <w:rPr>
          <w:rFonts w:cs="Times New Roman"/>
          <w:noProof/>
          <w:sz w:val="18"/>
          <w:szCs w:val="18"/>
          <w:lang w:eastAsia="tr-TR"/>
        </w:rPr>
        <w:drawing>
          <wp:inline distT="0" distB="0" distL="0" distR="0">
            <wp:extent cx="1296000" cy="971550"/>
            <wp:effectExtent l="19050" t="0" r="0" b="0"/>
            <wp:docPr id="335" name="15 Resim" descr="norm 0 yara 2-ed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0 yara 2-edd.jpg"/>
                    <pic:cNvPicPr/>
                  </pic:nvPicPr>
                  <pic:blipFill>
                    <a:blip r:embed="rId143"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B545C9">
        <w:rPr>
          <w:rFonts w:cs="Times New Roman"/>
          <w:noProof/>
          <w:sz w:val="18"/>
          <w:szCs w:val="18"/>
          <w:lang w:eastAsia="tr-TR"/>
        </w:rPr>
        <w:drawing>
          <wp:inline distT="0" distB="0" distL="0" distR="0">
            <wp:extent cx="1296000" cy="971550"/>
            <wp:effectExtent l="19050" t="0" r="0" b="0"/>
            <wp:docPr id="19" name="18 Resim" descr="norm 5.5 yara 1-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5.5 yara 1-ed.jpg"/>
                    <pic:cNvPicPr/>
                  </pic:nvPicPr>
                  <pic:blipFill>
                    <a:blip r:embed="rId144"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B545C9">
        <w:rPr>
          <w:rFonts w:cs="Times New Roman"/>
          <w:noProof/>
          <w:sz w:val="18"/>
          <w:szCs w:val="18"/>
          <w:lang w:eastAsia="tr-TR"/>
        </w:rPr>
        <w:drawing>
          <wp:inline distT="0" distB="0" distL="0" distR="0">
            <wp:extent cx="1296000" cy="971550"/>
            <wp:effectExtent l="19050" t="0" r="0" b="0"/>
            <wp:docPr id="336" name="19 Resim" descr="norm 15 yara -ed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15 yara -edd.jpg"/>
                    <pic:cNvPicPr/>
                  </pic:nvPicPr>
                  <pic:blipFill>
                    <a:blip r:embed="rId145"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B545C9">
        <w:rPr>
          <w:rFonts w:cs="Times New Roman"/>
          <w:noProof/>
          <w:sz w:val="18"/>
          <w:szCs w:val="18"/>
          <w:lang w:eastAsia="tr-TR"/>
        </w:rPr>
        <w:drawing>
          <wp:inline distT="0" distB="0" distL="0" distR="0">
            <wp:extent cx="1296000" cy="971550"/>
            <wp:effectExtent l="19050" t="0" r="0" b="0"/>
            <wp:docPr id="21" name="20 Resim" descr="norm 55 yara 2-eddd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55 yara 2-edddd.jpg"/>
                    <pic:cNvPicPr/>
                  </pic:nvPicPr>
                  <pic:blipFill>
                    <a:blip r:embed="rId146"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p>
    <w:p w:rsidR="00592C95" w:rsidRDefault="00592C95" w:rsidP="00592C95">
      <w:pPr>
        <w:spacing w:line="240" w:lineRule="auto"/>
        <w:jc w:val="center"/>
      </w:pPr>
    </w:p>
    <w:p w:rsidR="005A48D4" w:rsidRDefault="005A48D4" w:rsidP="00B2566B">
      <w:pPr>
        <w:ind w:firstLine="0"/>
        <w:rPr>
          <w:rFonts w:cs="Times New Roman"/>
          <w:szCs w:val="24"/>
        </w:rPr>
      </w:pPr>
    </w:p>
    <w:p w:rsidR="005A48D4" w:rsidRDefault="00E350B0" w:rsidP="002B3673">
      <w:pPr>
        <w:rPr>
          <w:rFonts w:cs="Times New Roman"/>
          <w:szCs w:val="24"/>
        </w:rPr>
      </w:pPr>
      <w:r w:rsidRPr="003753EA">
        <w:rPr>
          <w:rFonts w:cs="Times New Roman"/>
          <w:b/>
          <w:szCs w:val="24"/>
        </w:rPr>
        <w:t>Resim</w:t>
      </w:r>
      <w:r w:rsidR="004C3E69">
        <w:rPr>
          <w:rFonts w:cs="Times New Roman"/>
          <w:b/>
          <w:szCs w:val="24"/>
        </w:rPr>
        <w:t xml:space="preserve"> </w:t>
      </w:r>
      <w:r w:rsidR="006E285C">
        <w:rPr>
          <w:rFonts w:cs="Times New Roman"/>
          <w:b/>
          <w:szCs w:val="24"/>
        </w:rPr>
        <w:t>9</w:t>
      </w:r>
      <w:r w:rsidRPr="003753EA">
        <w:rPr>
          <w:rFonts w:cs="Times New Roman"/>
          <w:b/>
          <w:szCs w:val="24"/>
        </w:rPr>
        <w:t>.</w:t>
      </w:r>
      <w:r>
        <w:rPr>
          <w:rFonts w:cs="Times New Roman"/>
          <w:szCs w:val="24"/>
        </w:rPr>
        <w:t xml:space="preserve"> Normoksik ortamda farklı konsantrasyonlarda (0, 5.5, 15 ve 55 mM) glukoz uygulanan MCF7 hücrelerinde 0</w:t>
      </w:r>
      <w:proofErr w:type="gramStart"/>
      <w:r>
        <w:rPr>
          <w:rFonts w:cs="Times New Roman"/>
          <w:szCs w:val="24"/>
        </w:rPr>
        <w:t>.,</w:t>
      </w:r>
      <w:proofErr w:type="gramEnd"/>
      <w:r>
        <w:rPr>
          <w:rFonts w:cs="Times New Roman"/>
          <w:szCs w:val="24"/>
        </w:rPr>
        <w:t xml:space="preserve"> 6., 12., 24 ve 48 saat süreler sonunda görülen yar</w:t>
      </w:r>
      <w:r w:rsidR="003C2496">
        <w:rPr>
          <w:rFonts w:cs="Times New Roman"/>
          <w:szCs w:val="24"/>
        </w:rPr>
        <w:t>a iyileşmesi test fotoğrafları.</w:t>
      </w:r>
    </w:p>
    <w:p w:rsidR="005A48D4" w:rsidRDefault="005A48D4" w:rsidP="002B3673">
      <w:pPr>
        <w:rPr>
          <w:rFonts w:cs="Times New Roman"/>
          <w:szCs w:val="24"/>
        </w:rPr>
      </w:pPr>
    </w:p>
    <w:p w:rsidR="00D852FC" w:rsidRDefault="00D852FC" w:rsidP="00B2566B">
      <w:pPr>
        <w:ind w:firstLine="0"/>
        <w:rPr>
          <w:rFonts w:cs="Times New Roman"/>
          <w:szCs w:val="24"/>
        </w:rPr>
      </w:pPr>
    </w:p>
    <w:p w:rsidR="00972ABE" w:rsidRDefault="00972ABE" w:rsidP="00B2566B">
      <w:pPr>
        <w:ind w:firstLine="0"/>
        <w:rPr>
          <w:rFonts w:cs="Times New Roman"/>
          <w:szCs w:val="24"/>
        </w:rPr>
      </w:pPr>
    </w:p>
    <w:p w:rsidR="00B2566B" w:rsidRDefault="00B2566B" w:rsidP="00B2566B">
      <w:pPr>
        <w:ind w:firstLine="0"/>
        <w:rPr>
          <w:rFonts w:cs="Times New Roman"/>
          <w:szCs w:val="24"/>
        </w:rPr>
      </w:pPr>
    </w:p>
    <w:p w:rsidR="00D852FC" w:rsidRDefault="00D852FC" w:rsidP="002B3673">
      <w:pPr>
        <w:rPr>
          <w:rFonts w:cs="Times New Roman"/>
          <w:szCs w:val="24"/>
        </w:rPr>
      </w:pPr>
    </w:p>
    <w:p w:rsidR="003664E5" w:rsidRDefault="003664E5" w:rsidP="002B3673">
      <w:pPr>
        <w:rPr>
          <w:rFonts w:cs="Times New Roman"/>
          <w:szCs w:val="24"/>
        </w:rPr>
      </w:pPr>
    </w:p>
    <w:p w:rsidR="003664E5" w:rsidRPr="00A87F9B" w:rsidRDefault="003664E5" w:rsidP="003664E5">
      <w:pPr>
        <w:spacing w:line="240" w:lineRule="auto"/>
        <w:ind w:firstLine="0"/>
        <w:jc w:val="left"/>
        <w:rPr>
          <w:rFonts w:eastAsia="Calibri" w:cs="Times New Roman"/>
          <w:b/>
          <w:szCs w:val="24"/>
        </w:rPr>
      </w:pPr>
      <w:r w:rsidRPr="00A87F9B">
        <w:rPr>
          <w:rFonts w:eastAsia="Calibri" w:cs="Times New Roman"/>
          <w:b/>
          <w:szCs w:val="24"/>
        </w:rPr>
        <w:lastRenderedPageBreak/>
        <w:t xml:space="preserve">B                    </w:t>
      </w:r>
      <w:r w:rsidR="00054A83">
        <w:rPr>
          <w:rFonts w:eastAsia="Calibri" w:cs="Times New Roman"/>
          <w:b/>
          <w:szCs w:val="24"/>
        </w:rPr>
        <w:t xml:space="preserve"> </w:t>
      </w:r>
      <w:r w:rsidRPr="00A87F9B">
        <w:rPr>
          <w:rFonts w:eastAsia="Calibri" w:cs="Times New Roman"/>
          <w:b/>
          <w:szCs w:val="24"/>
        </w:rPr>
        <w:t xml:space="preserve">0 mM                      </w:t>
      </w:r>
      <w:r w:rsidR="00A87F9B">
        <w:rPr>
          <w:rFonts w:eastAsia="Calibri" w:cs="Times New Roman"/>
          <w:b/>
          <w:szCs w:val="24"/>
        </w:rPr>
        <w:t xml:space="preserve"> </w:t>
      </w:r>
      <w:r w:rsidRPr="00A87F9B">
        <w:rPr>
          <w:rFonts w:eastAsia="Calibri" w:cs="Times New Roman"/>
          <w:b/>
          <w:szCs w:val="24"/>
        </w:rPr>
        <w:t xml:space="preserve"> </w:t>
      </w:r>
      <w:proofErr w:type="gramStart"/>
      <w:r w:rsidRPr="00A87F9B">
        <w:rPr>
          <w:rFonts w:eastAsia="Calibri" w:cs="Times New Roman"/>
          <w:b/>
          <w:szCs w:val="24"/>
        </w:rPr>
        <w:t>5.5</w:t>
      </w:r>
      <w:proofErr w:type="gramEnd"/>
      <w:r w:rsidRPr="00A87F9B">
        <w:rPr>
          <w:rFonts w:eastAsia="Calibri" w:cs="Times New Roman"/>
          <w:b/>
          <w:szCs w:val="24"/>
        </w:rPr>
        <w:t xml:space="preserve"> mM                      </w:t>
      </w:r>
      <w:r w:rsidR="00A87F9B">
        <w:rPr>
          <w:rFonts w:eastAsia="Calibri" w:cs="Times New Roman"/>
          <w:b/>
          <w:szCs w:val="24"/>
        </w:rPr>
        <w:t xml:space="preserve"> </w:t>
      </w:r>
      <w:r w:rsidRPr="00A87F9B">
        <w:rPr>
          <w:rFonts w:eastAsia="Calibri" w:cs="Times New Roman"/>
          <w:b/>
          <w:szCs w:val="24"/>
        </w:rPr>
        <w:t xml:space="preserve">15 mM                        55 mM   </w:t>
      </w:r>
    </w:p>
    <w:p w:rsidR="003664E5" w:rsidRPr="00A87F9B" w:rsidRDefault="004657C4" w:rsidP="003664E5">
      <w:pPr>
        <w:spacing w:line="240" w:lineRule="auto"/>
        <w:ind w:firstLine="0"/>
        <w:jc w:val="left"/>
        <w:rPr>
          <w:rFonts w:eastAsia="Calibri" w:cs="Times New Roman"/>
          <w:b/>
          <w:szCs w:val="24"/>
        </w:rPr>
      </w:pPr>
      <w:r w:rsidRPr="00A87F9B">
        <w:rPr>
          <w:rFonts w:eastAsia="Calibri" w:cs="Times New Roman"/>
          <w:b/>
          <w:szCs w:val="24"/>
        </w:rPr>
        <w:t xml:space="preserve">                       glu</w:t>
      </w:r>
      <w:r w:rsidR="003664E5" w:rsidRPr="00A87F9B">
        <w:rPr>
          <w:rFonts w:eastAsia="Calibri" w:cs="Times New Roman"/>
          <w:b/>
          <w:szCs w:val="24"/>
        </w:rPr>
        <w:t xml:space="preserve">koz                       </w:t>
      </w:r>
      <w:r w:rsidR="00054A83">
        <w:rPr>
          <w:rFonts w:eastAsia="Calibri" w:cs="Times New Roman"/>
          <w:b/>
          <w:szCs w:val="24"/>
        </w:rPr>
        <w:t xml:space="preserve"> </w:t>
      </w:r>
      <w:r w:rsidR="003664E5" w:rsidRPr="00A87F9B">
        <w:rPr>
          <w:rFonts w:eastAsia="Calibri" w:cs="Times New Roman"/>
          <w:b/>
          <w:szCs w:val="24"/>
        </w:rPr>
        <w:t>gl</w:t>
      </w:r>
      <w:r w:rsidRPr="00A87F9B">
        <w:rPr>
          <w:rFonts w:eastAsia="Calibri" w:cs="Times New Roman"/>
          <w:b/>
          <w:szCs w:val="24"/>
        </w:rPr>
        <w:t xml:space="preserve">ukoz                       </w:t>
      </w:r>
      <w:r w:rsidR="00A87F9B">
        <w:rPr>
          <w:rFonts w:eastAsia="Calibri" w:cs="Times New Roman"/>
          <w:b/>
          <w:szCs w:val="24"/>
        </w:rPr>
        <w:t xml:space="preserve"> </w:t>
      </w:r>
      <w:r w:rsidRPr="00A87F9B">
        <w:rPr>
          <w:rFonts w:eastAsia="Calibri" w:cs="Times New Roman"/>
          <w:b/>
          <w:szCs w:val="24"/>
        </w:rPr>
        <w:t xml:space="preserve"> </w:t>
      </w:r>
      <w:r w:rsidR="003664E5" w:rsidRPr="00A87F9B">
        <w:rPr>
          <w:rFonts w:eastAsia="Calibri" w:cs="Times New Roman"/>
          <w:b/>
          <w:szCs w:val="24"/>
        </w:rPr>
        <w:t>gl</w:t>
      </w:r>
      <w:r w:rsidRPr="00A87F9B">
        <w:rPr>
          <w:rFonts w:eastAsia="Calibri" w:cs="Times New Roman"/>
          <w:b/>
          <w:szCs w:val="24"/>
        </w:rPr>
        <w:t xml:space="preserve">ukoz                        </w:t>
      </w:r>
      <w:r w:rsidR="003664E5" w:rsidRPr="00A87F9B">
        <w:rPr>
          <w:rFonts w:eastAsia="Calibri" w:cs="Times New Roman"/>
          <w:b/>
          <w:szCs w:val="24"/>
        </w:rPr>
        <w:t>gl</w:t>
      </w:r>
      <w:r w:rsidRPr="00A87F9B">
        <w:rPr>
          <w:rFonts w:eastAsia="Calibri" w:cs="Times New Roman"/>
          <w:b/>
          <w:szCs w:val="24"/>
        </w:rPr>
        <w:t>u</w:t>
      </w:r>
      <w:r w:rsidR="003664E5" w:rsidRPr="00A87F9B">
        <w:rPr>
          <w:rFonts w:eastAsia="Calibri" w:cs="Times New Roman"/>
          <w:b/>
          <w:szCs w:val="24"/>
        </w:rPr>
        <w:t>koz</w:t>
      </w:r>
    </w:p>
    <w:p w:rsidR="003664E5" w:rsidRPr="003664E5" w:rsidRDefault="003664E5" w:rsidP="003664E5">
      <w:pPr>
        <w:ind w:firstLine="0"/>
        <w:jc w:val="left"/>
        <w:rPr>
          <w:rFonts w:eastAsia="Calibri" w:cs="Times New Roman"/>
          <w:szCs w:val="24"/>
        </w:rPr>
      </w:pPr>
    </w:p>
    <w:p w:rsidR="00B545C9" w:rsidRPr="00A87F9B" w:rsidRDefault="00B545C9" w:rsidP="00B545C9">
      <w:pPr>
        <w:spacing w:line="240" w:lineRule="auto"/>
        <w:ind w:firstLine="0"/>
        <w:rPr>
          <w:rFonts w:cs="Times New Roman"/>
          <w:b/>
          <w:sz w:val="18"/>
          <w:szCs w:val="18"/>
        </w:rPr>
      </w:pPr>
      <w:r w:rsidRPr="00A87F9B">
        <w:rPr>
          <w:rFonts w:cs="Times New Roman"/>
          <w:b/>
          <w:sz w:val="18"/>
          <w:szCs w:val="18"/>
        </w:rPr>
        <w:t xml:space="preserve">0.Dakika  </w:t>
      </w:r>
      <w:r w:rsidRPr="00A87F9B">
        <w:rPr>
          <w:b/>
          <w:noProof/>
          <w:szCs w:val="24"/>
          <w:lang w:eastAsia="tr-TR"/>
        </w:rPr>
        <w:drawing>
          <wp:inline distT="0" distB="0" distL="0" distR="0" wp14:anchorId="28632FE6" wp14:editId="0031654C">
            <wp:extent cx="1295400" cy="972000"/>
            <wp:effectExtent l="19050" t="0" r="0" b="0"/>
            <wp:docPr id="337" name="22 Resim" descr="hipo 5,5 yar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o 5,5 yara-2.jpg"/>
                    <pic:cNvPicPr/>
                  </pic:nvPicPr>
                  <pic:blipFill>
                    <a:blip r:embed="rId147"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r w:rsidRPr="00A87F9B">
        <w:rPr>
          <w:b/>
          <w:noProof/>
          <w:szCs w:val="24"/>
          <w:lang w:eastAsia="tr-TR"/>
        </w:rPr>
        <w:drawing>
          <wp:inline distT="0" distB="0" distL="0" distR="0" wp14:anchorId="0207C6D1" wp14:editId="7F62E7DC">
            <wp:extent cx="1296000" cy="971550"/>
            <wp:effectExtent l="19050" t="0" r="0" b="0"/>
            <wp:docPr id="338" name="21 Resim" descr="hipo 0 yara_ed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o 0 yara_edit.jpg"/>
                    <pic:cNvPicPr/>
                  </pic:nvPicPr>
                  <pic:blipFill>
                    <a:blip r:embed="rId148"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b/>
          <w:noProof/>
          <w:szCs w:val="24"/>
          <w:lang w:eastAsia="tr-TR"/>
        </w:rPr>
        <w:drawing>
          <wp:inline distT="0" distB="0" distL="0" distR="0" wp14:anchorId="1065EA62" wp14:editId="30DD74D0">
            <wp:extent cx="1296000" cy="971550"/>
            <wp:effectExtent l="19050" t="0" r="0" b="0"/>
            <wp:docPr id="24" name="23 Resim" descr="norm 15 yar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m 15 yara-2.jpg"/>
                    <pic:cNvPicPr/>
                  </pic:nvPicPr>
                  <pic:blipFill>
                    <a:blip r:embed="rId149"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b/>
          <w:noProof/>
          <w:lang w:eastAsia="tr-TR"/>
        </w:rPr>
        <w:drawing>
          <wp:inline distT="0" distB="0" distL="0" distR="0" wp14:anchorId="3AD726C8" wp14:editId="6AF78A9D">
            <wp:extent cx="1295400" cy="972000"/>
            <wp:effectExtent l="19050" t="0" r="0" b="0"/>
            <wp:docPr id="25" name="24 Resim" descr="hipo 55 yar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o 55 yara-2.jpg"/>
                    <pic:cNvPicPr/>
                  </pic:nvPicPr>
                  <pic:blipFill>
                    <a:blip r:embed="rId150"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p>
    <w:p w:rsidR="00B545C9" w:rsidRPr="00A87F9B" w:rsidRDefault="00B545C9" w:rsidP="00B545C9">
      <w:pPr>
        <w:tabs>
          <w:tab w:val="left" w:pos="1657"/>
        </w:tabs>
        <w:spacing w:line="240" w:lineRule="auto"/>
        <w:rPr>
          <w:rFonts w:cs="Times New Roman"/>
          <w:b/>
          <w:sz w:val="18"/>
          <w:szCs w:val="18"/>
        </w:rPr>
      </w:pPr>
      <w:r w:rsidRPr="00A87F9B">
        <w:rPr>
          <w:rFonts w:cs="Times New Roman"/>
          <w:b/>
          <w:sz w:val="18"/>
          <w:szCs w:val="18"/>
        </w:rPr>
        <w:tab/>
      </w:r>
    </w:p>
    <w:p w:rsidR="00B545C9" w:rsidRPr="00A87F9B" w:rsidRDefault="00B545C9" w:rsidP="00B545C9">
      <w:pPr>
        <w:spacing w:line="240" w:lineRule="auto"/>
        <w:ind w:firstLine="0"/>
        <w:rPr>
          <w:rFonts w:cs="Times New Roman"/>
          <w:b/>
          <w:sz w:val="18"/>
          <w:szCs w:val="18"/>
        </w:rPr>
      </w:pPr>
      <w:r w:rsidRPr="00A87F9B">
        <w:rPr>
          <w:rFonts w:cs="Times New Roman"/>
          <w:b/>
          <w:sz w:val="18"/>
          <w:szCs w:val="18"/>
        </w:rPr>
        <w:t>6.Saat</w:t>
      </w:r>
      <w:r w:rsidRPr="00A87F9B">
        <w:rPr>
          <w:rFonts w:cs="Times New Roman"/>
          <w:b/>
          <w:sz w:val="18"/>
          <w:szCs w:val="18"/>
        </w:rPr>
        <w:tab/>
        <w:t xml:space="preserve"> </w:t>
      </w:r>
      <w:r w:rsidRPr="00A87F9B">
        <w:rPr>
          <w:rFonts w:cs="Times New Roman"/>
          <w:b/>
          <w:noProof/>
          <w:sz w:val="18"/>
          <w:szCs w:val="18"/>
          <w:lang w:eastAsia="tr-TR"/>
        </w:rPr>
        <w:drawing>
          <wp:inline distT="0" distB="0" distL="0" distR="0" wp14:anchorId="358D9F93" wp14:editId="152F8B85">
            <wp:extent cx="1296000" cy="971550"/>
            <wp:effectExtent l="19050" t="0" r="0" b="0"/>
            <wp:docPr id="339" name="25 Resim" descr="hipo 0 yaraa 6. saat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o 0 yaraa 6. saatt-2.jpg"/>
                    <pic:cNvPicPr/>
                  </pic:nvPicPr>
                  <pic:blipFill>
                    <a:blip r:embed="rId151"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5C081ADF" wp14:editId="3DFBC7A3">
            <wp:extent cx="1295400" cy="972000"/>
            <wp:effectExtent l="19050" t="0" r="0" b="0"/>
            <wp:docPr id="340" name="26 Resim" descr="hipo 5,5 yara 6 saa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o 5,5 yara 6 saat-2,.jpg"/>
                    <pic:cNvPicPr/>
                  </pic:nvPicPr>
                  <pic:blipFill>
                    <a:blip r:embed="rId152"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r w:rsidRPr="00A87F9B">
        <w:rPr>
          <w:rFonts w:cs="Times New Roman"/>
          <w:b/>
          <w:noProof/>
          <w:sz w:val="18"/>
          <w:szCs w:val="18"/>
          <w:lang w:eastAsia="tr-TR"/>
        </w:rPr>
        <w:drawing>
          <wp:inline distT="0" distB="0" distL="0" distR="0" wp14:anchorId="7F267DE5" wp14:editId="02B8B78D">
            <wp:extent cx="1296000" cy="971550"/>
            <wp:effectExtent l="19050" t="0" r="0" b="0"/>
            <wp:docPr id="341" name="27 Resim" descr="hipo 15 yara 6. saa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o 15 yara 6. saat-2.jpg"/>
                    <pic:cNvPicPr/>
                  </pic:nvPicPr>
                  <pic:blipFill>
                    <a:blip r:embed="rId153"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03664B5B" wp14:editId="06659F35">
            <wp:extent cx="1296000" cy="971550"/>
            <wp:effectExtent l="19050" t="0" r="0" b="0"/>
            <wp:docPr id="29" name="28 Resim" descr="hipo 55 yara 6. saatt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o 55 yara 6. saattt---.jpg"/>
                    <pic:cNvPicPr/>
                  </pic:nvPicPr>
                  <pic:blipFill>
                    <a:blip r:embed="rId154"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p>
    <w:p w:rsidR="00B545C9" w:rsidRPr="00A87F9B" w:rsidRDefault="00B545C9" w:rsidP="00B545C9">
      <w:pPr>
        <w:spacing w:line="240" w:lineRule="auto"/>
        <w:rPr>
          <w:rFonts w:cs="Times New Roman"/>
          <w:b/>
          <w:sz w:val="18"/>
          <w:szCs w:val="18"/>
        </w:rPr>
      </w:pPr>
    </w:p>
    <w:p w:rsidR="00B545C9" w:rsidRPr="00A87F9B" w:rsidRDefault="00B545C9" w:rsidP="00B545C9">
      <w:pPr>
        <w:spacing w:line="240" w:lineRule="auto"/>
        <w:ind w:firstLine="0"/>
        <w:rPr>
          <w:rFonts w:cs="Times New Roman"/>
          <w:b/>
          <w:sz w:val="18"/>
          <w:szCs w:val="18"/>
        </w:rPr>
      </w:pPr>
      <w:r w:rsidRPr="00A87F9B">
        <w:rPr>
          <w:rFonts w:cs="Times New Roman"/>
          <w:b/>
          <w:sz w:val="18"/>
          <w:szCs w:val="18"/>
        </w:rPr>
        <w:t xml:space="preserve">12.Saat </w:t>
      </w:r>
      <w:r w:rsidRPr="00A87F9B">
        <w:rPr>
          <w:rFonts w:cs="Times New Roman"/>
          <w:b/>
          <w:sz w:val="18"/>
          <w:szCs w:val="18"/>
        </w:rPr>
        <w:tab/>
        <w:t xml:space="preserve"> </w:t>
      </w:r>
      <w:r w:rsidRPr="00A87F9B">
        <w:rPr>
          <w:rFonts w:cs="Times New Roman"/>
          <w:b/>
          <w:noProof/>
          <w:sz w:val="18"/>
          <w:szCs w:val="18"/>
          <w:lang w:eastAsia="tr-TR"/>
        </w:rPr>
        <w:drawing>
          <wp:inline distT="0" distB="0" distL="0" distR="0" wp14:anchorId="039960C3" wp14:editId="2E21C0A4">
            <wp:extent cx="1296000" cy="971550"/>
            <wp:effectExtent l="19050" t="0" r="0" b="0"/>
            <wp:docPr id="30" name="29 Resim" descr="hip 0 yara-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0 yara-1.jpg"/>
                    <pic:cNvPicPr/>
                  </pic:nvPicPr>
                  <pic:blipFill>
                    <a:blip r:embed="rId155"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5FE82F3F" wp14:editId="6969725E">
            <wp:extent cx="1296000" cy="976307"/>
            <wp:effectExtent l="19050" t="0" r="0" b="0"/>
            <wp:docPr id="31" name="30 Resim" descr="hip 5.5 yara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5.5 yara 2-8.jpg"/>
                    <pic:cNvPicPr/>
                  </pic:nvPicPr>
                  <pic:blipFill>
                    <a:blip r:embed="rId156" cstate="print">
                      <a:duotone>
                        <a:prstClr val="black"/>
                        <a:srgbClr val="D9C3A5">
                          <a:tint val="50000"/>
                          <a:satMod val="180000"/>
                        </a:srgbClr>
                      </a:duotone>
                    </a:blip>
                    <a:stretch>
                      <a:fillRect/>
                    </a:stretch>
                  </pic:blipFill>
                  <pic:spPr>
                    <a:xfrm>
                      <a:off x="0" y="0"/>
                      <a:ext cx="1296000" cy="976307"/>
                    </a:xfrm>
                    <a:prstGeom prst="rect">
                      <a:avLst/>
                    </a:prstGeom>
                  </pic:spPr>
                </pic:pic>
              </a:graphicData>
            </a:graphic>
          </wp:inline>
        </w:drawing>
      </w:r>
      <w:r w:rsidRPr="00A87F9B">
        <w:rPr>
          <w:rFonts w:cs="Times New Roman"/>
          <w:b/>
          <w:noProof/>
          <w:sz w:val="18"/>
          <w:szCs w:val="18"/>
          <w:lang w:eastAsia="tr-TR"/>
        </w:rPr>
        <w:drawing>
          <wp:inline distT="0" distB="0" distL="0" distR="0" wp14:anchorId="0D5566A7" wp14:editId="204FDABA">
            <wp:extent cx="1296000" cy="971550"/>
            <wp:effectExtent l="19050" t="0" r="0" b="0"/>
            <wp:docPr id="342" name="63 Resim" descr="hip 15 yara 1-p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15 yara 1-p74.jpg"/>
                    <pic:cNvPicPr/>
                  </pic:nvPicPr>
                  <pic:blipFill>
                    <a:blip r:embed="rId157"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3286E50B" wp14:editId="7C0D97CE">
            <wp:extent cx="1295400" cy="972000"/>
            <wp:effectExtent l="19050" t="0" r="0" b="0"/>
            <wp:docPr id="343" name="64 Resim" descr="hip 55 yara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55 yara2-.jpg"/>
                    <pic:cNvPicPr/>
                  </pic:nvPicPr>
                  <pic:blipFill>
                    <a:blip r:embed="rId158"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p>
    <w:p w:rsidR="00B545C9" w:rsidRPr="00A87F9B" w:rsidRDefault="00B545C9" w:rsidP="00B545C9">
      <w:pPr>
        <w:spacing w:line="240" w:lineRule="auto"/>
        <w:rPr>
          <w:rFonts w:cs="Times New Roman"/>
          <w:b/>
          <w:sz w:val="18"/>
          <w:szCs w:val="18"/>
        </w:rPr>
      </w:pPr>
    </w:p>
    <w:p w:rsidR="00B545C9" w:rsidRPr="00A87F9B" w:rsidRDefault="00B545C9" w:rsidP="00B545C9">
      <w:pPr>
        <w:spacing w:line="240" w:lineRule="auto"/>
        <w:ind w:firstLine="0"/>
        <w:rPr>
          <w:rFonts w:cs="Times New Roman"/>
          <w:b/>
          <w:sz w:val="18"/>
          <w:szCs w:val="18"/>
        </w:rPr>
      </w:pPr>
      <w:r w:rsidRPr="00A87F9B">
        <w:rPr>
          <w:rFonts w:cs="Times New Roman"/>
          <w:b/>
          <w:sz w:val="18"/>
          <w:szCs w:val="18"/>
        </w:rPr>
        <w:t xml:space="preserve">24.Saat </w:t>
      </w:r>
      <w:r w:rsidRPr="00A87F9B">
        <w:rPr>
          <w:rFonts w:cs="Times New Roman"/>
          <w:b/>
          <w:sz w:val="18"/>
          <w:szCs w:val="18"/>
        </w:rPr>
        <w:tab/>
        <w:t xml:space="preserve"> </w:t>
      </w:r>
      <w:r w:rsidRPr="00A87F9B">
        <w:rPr>
          <w:rFonts w:cs="Times New Roman"/>
          <w:b/>
          <w:noProof/>
          <w:sz w:val="18"/>
          <w:szCs w:val="18"/>
          <w:lang w:eastAsia="tr-TR"/>
        </w:rPr>
        <w:drawing>
          <wp:inline distT="0" distB="0" distL="0" distR="0" wp14:anchorId="3085BE9C" wp14:editId="15EE3B6B">
            <wp:extent cx="1296000" cy="971550"/>
            <wp:effectExtent l="19050" t="0" r="0" b="0"/>
            <wp:docPr id="344" name="65 Resim" descr="hip 0 yar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0 yara 2-.jpg"/>
                    <pic:cNvPicPr/>
                  </pic:nvPicPr>
                  <pic:blipFill>
                    <a:blip r:embed="rId159"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6F6A3C0E" wp14:editId="598ECA2A">
            <wp:extent cx="1296000" cy="971550"/>
            <wp:effectExtent l="19050" t="0" r="0" b="0"/>
            <wp:docPr id="345" name="66 Resim" descr="hip 5.5 yara 2-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5.5 yara 2-88.jpg"/>
                    <pic:cNvPicPr/>
                  </pic:nvPicPr>
                  <pic:blipFill>
                    <a:blip r:embed="rId160"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55EE8872" wp14:editId="3AF5596D">
            <wp:extent cx="1296000" cy="971550"/>
            <wp:effectExtent l="19050" t="0" r="0" b="0"/>
            <wp:docPr id="346" name="67 Resim" descr="hip 15 yara 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15 yara 1-7.jpg"/>
                    <pic:cNvPicPr/>
                  </pic:nvPicPr>
                  <pic:blipFill>
                    <a:blip r:embed="rId161"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sidRPr="00A87F9B">
        <w:rPr>
          <w:rFonts w:cs="Times New Roman"/>
          <w:b/>
          <w:noProof/>
          <w:sz w:val="18"/>
          <w:szCs w:val="18"/>
          <w:lang w:eastAsia="tr-TR"/>
        </w:rPr>
        <w:drawing>
          <wp:inline distT="0" distB="0" distL="0" distR="0" wp14:anchorId="71748688" wp14:editId="1E5A0ABE">
            <wp:extent cx="1296000" cy="971550"/>
            <wp:effectExtent l="19050" t="0" r="0" b="0"/>
            <wp:docPr id="347" name="68 Resim" descr="hip 55 yar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55 yara-p.jpg"/>
                    <pic:cNvPicPr/>
                  </pic:nvPicPr>
                  <pic:blipFill>
                    <a:blip r:embed="rId162"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p>
    <w:p w:rsidR="00B545C9" w:rsidRPr="00A87F9B" w:rsidRDefault="00B545C9" w:rsidP="00B545C9">
      <w:pPr>
        <w:spacing w:line="240" w:lineRule="auto"/>
        <w:rPr>
          <w:rFonts w:cs="Times New Roman"/>
          <w:b/>
          <w:sz w:val="18"/>
          <w:szCs w:val="18"/>
        </w:rPr>
      </w:pPr>
    </w:p>
    <w:p w:rsidR="00B545C9" w:rsidRPr="00CF7ACE" w:rsidRDefault="00B545C9" w:rsidP="00B545C9">
      <w:pPr>
        <w:spacing w:line="240" w:lineRule="auto"/>
        <w:ind w:firstLine="0"/>
        <w:rPr>
          <w:rFonts w:cs="Times New Roman"/>
          <w:szCs w:val="24"/>
        </w:rPr>
      </w:pPr>
      <w:r w:rsidRPr="00A87F9B">
        <w:rPr>
          <w:rFonts w:cs="Times New Roman"/>
          <w:b/>
          <w:sz w:val="18"/>
          <w:szCs w:val="18"/>
        </w:rPr>
        <w:t>48.Saat</w:t>
      </w:r>
      <w:r>
        <w:rPr>
          <w:rFonts w:cs="Times New Roman"/>
          <w:szCs w:val="24"/>
        </w:rPr>
        <w:tab/>
        <w:t xml:space="preserve"> </w:t>
      </w:r>
      <w:r>
        <w:rPr>
          <w:rFonts w:cs="Times New Roman"/>
          <w:noProof/>
          <w:szCs w:val="24"/>
          <w:lang w:eastAsia="tr-TR"/>
        </w:rPr>
        <w:drawing>
          <wp:inline distT="0" distB="0" distL="0" distR="0">
            <wp:extent cx="1295400" cy="972000"/>
            <wp:effectExtent l="19050" t="0" r="0" b="0"/>
            <wp:docPr id="348" name="69 Resim" descr="hip 0 yara 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0 yara 3-1.jpg"/>
                    <pic:cNvPicPr/>
                  </pic:nvPicPr>
                  <pic:blipFill>
                    <a:blip r:embed="rId163"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r>
        <w:rPr>
          <w:rFonts w:cs="Times New Roman"/>
          <w:noProof/>
          <w:szCs w:val="24"/>
          <w:lang w:eastAsia="tr-TR"/>
        </w:rPr>
        <w:drawing>
          <wp:inline distT="0" distB="0" distL="0" distR="0">
            <wp:extent cx="1295400" cy="972000"/>
            <wp:effectExtent l="19050" t="0" r="0" b="0"/>
            <wp:docPr id="349" name="70 Resim" descr="hip 5.5 yara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5.5 yara74.jpg"/>
                    <pic:cNvPicPr/>
                  </pic:nvPicPr>
                  <pic:blipFill>
                    <a:blip r:embed="rId164" cstate="print">
                      <a:duotone>
                        <a:prstClr val="black"/>
                        <a:srgbClr val="D9C3A5">
                          <a:tint val="50000"/>
                          <a:satMod val="180000"/>
                        </a:srgbClr>
                      </a:duotone>
                    </a:blip>
                    <a:stretch>
                      <a:fillRect/>
                    </a:stretch>
                  </pic:blipFill>
                  <pic:spPr>
                    <a:xfrm>
                      <a:off x="0" y="0"/>
                      <a:ext cx="1295400" cy="972000"/>
                    </a:xfrm>
                    <a:prstGeom prst="rect">
                      <a:avLst/>
                    </a:prstGeom>
                  </pic:spPr>
                </pic:pic>
              </a:graphicData>
            </a:graphic>
          </wp:inline>
        </w:drawing>
      </w:r>
      <w:r>
        <w:rPr>
          <w:rFonts w:cs="Times New Roman"/>
          <w:noProof/>
          <w:szCs w:val="24"/>
          <w:lang w:eastAsia="tr-TR"/>
        </w:rPr>
        <w:drawing>
          <wp:inline distT="0" distB="0" distL="0" distR="0">
            <wp:extent cx="1296000" cy="971550"/>
            <wp:effectExtent l="19050" t="0" r="0" b="0"/>
            <wp:docPr id="350" name="71 Resim" descr="hip 15 yara-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15 yara-7.jpg"/>
                    <pic:cNvPicPr/>
                  </pic:nvPicPr>
                  <pic:blipFill>
                    <a:blip r:embed="rId165"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r>
        <w:rPr>
          <w:rFonts w:cs="Times New Roman"/>
          <w:noProof/>
          <w:szCs w:val="24"/>
          <w:lang w:eastAsia="tr-TR"/>
        </w:rPr>
        <w:drawing>
          <wp:inline distT="0" distB="0" distL="0" distR="0">
            <wp:extent cx="1296000" cy="971550"/>
            <wp:effectExtent l="19050" t="0" r="0" b="0"/>
            <wp:docPr id="351" name="72 Resim" descr="hip 55 yara 1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p 55 yara 1ed.jpg"/>
                    <pic:cNvPicPr/>
                  </pic:nvPicPr>
                  <pic:blipFill>
                    <a:blip r:embed="rId166" cstate="print">
                      <a:duotone>
                        <a:prstClr val="black"/>
                        <a:srgbClr val="D9C3A5">
                          <a:tint val="50000"/>
                          <a:satMod val="180000"/>
                        </a:srgbClr>
                      </a:duotone>
                    </a:blip>
                    <a:stretch>
                      <a:fillRect/>
                    </a:stretch>
                  </pic:blipFill>
                  <pic:spPr>
                    <a:xfrm>
                      <a:off x="0" y="0"/>
                      <a:ext cx="1296000" cy="971550"/>
                    </a:xfrm>
                    <a:prstGeom prst="rect">
                      <a:avLst/>
                    </a:prstGeom>
                  </pic:spPr>
                </pic:pic>
              </a:graphicData>
            </a:graphic>
          </wp:inline>
        </w:drawing>
      </w:r>
    </w:p>
    <w:p w:rsidR="003664E5" w:rsidRPr="003664E5" w:rsidRDefault="003664E5" w:rsidP="003664E5">
      <w:pPr>
        <w:spacing w:after="200" w:line="276" w:lineRule="auto"/>
        <w:ind w:firstLine="0"/>
        <w:jc w:val="center"/>
        <w:rPr>
          <w:rFonts w:ascii="Calibri" w:eastAsia="Calibri" w:hAnsi="Calibri" w:cs="Times New Roman"/>
          <w:sz w:val="22"/>
        </w:rPr>
      </w:pPr>
    </w:p>
    <w:p w:rsidR="003664E5" w:rsidRDefault="003664E5" w:rsidP="002B3673">
      <w:pPr>
        <w:rPr>
          <w:rFonts w:cs="Times New Roman"/>
          <w:szCs w:val="24"/>
        </w:rPr>
      </w:pPr>
    </w:p>
    <w:p w:rsidR="00DA7323" w:rsidRDefault="00E350B0" w:rsidP="009915F4">
      <w:pPr>
        <w:rPr>
          <w:rFonts w:cs="Times New Roman"/>
          <w:szCs w:val="24"/>
        </w:rPr>
      </w:pPr>
      <w:r w:rsidRPr="003753EA">
        <w:rPr>
          <w:rFonts w:cs="Times New Roman"/>
          <w:b/>
          <w:szCs w:val="24"/>
        </w:rPr>
        <w:t>Resim</w:t>
      </w:r>
      <w:r w:rsidR="004C3E69">
        <w:rPr>
          <w:rFonts w:cs="Times New Roman"/>
          <w:b/>
          <w:szCs w:val="24"/>
        </w:rPr>
        <w:t xml:space="preserve"> </w:t>
      </w:r>
      <w:r w:rsidR="006E285C">
        <w:rPr>
          <w:rFonts w:cs="Times New Roman"/>
          <w:b/>
          <w:szCs w:val="24"/>
        </w:rPr>
        <w:t>10</w:t>
      </w:r>
      <w:r w:rsidRPr="003753EA">
        <w:rPr>
          <w:rFonts w:cs="Times New Roman"/>
          <w:b/>
          <w:szCs w:val="24"/>
        </w:rPr>
        <w:t>.</w:t>
      </w:r>
      <w:r>
        <w:rPr>
          <w:rFonts w:cs="Times New Roman"/>
          <w:szCs w:val="24"/>
        </w:rPr>
        <w:t xml:space="preserve"> Hipoksik ortamda farklı konsantrasyonlarda (0, 5.5, 15 ve 55 mM) glukoz uygulanan MCF7 hücrelerinde 0</w:t>
      </w:r>
      <w:proofErr w:type="gramStart"/>
      <w:r>
        <w:rPr>
          <w:rFonts w:cs="Times New Roman"/>
          <w:szCs w:val="24"/>
        </w:rPr>
        <w:t>.,</w:t>
      </w:r>
      <w:proofErr w:type="gramEnd"/>
      <w:r>
        <w:rPr>
          <w:rFonts w:cs="Times New Roman"/>
          <w:szCs w:val="24"/>
        </w:rPr>
        <w:t xml:space="preserve"> 6., 12., 24 ve 48 saat süreler sonunda görülen yara iyileşmesi test fotoğrafları</w:t>
      </w:r>
      <w:r w:rsidR="003C2496">
        <w:rPr>
          <w:rFonts w:cs="Times New Roman"/>
          <w:szCs w:val="24"/>
        </w:rPr>
        <w:t>.</w:t>
      </w:r>
      <w:r>
        <w:rPr>
          <w:rFonts w:cs="Times New Roman"/>
          <w:szCs w:val="24"/>
        </w:rPr>
        <w:t xml:space="preserve"> </w:t>
      </w:r>
    </w:p>
    <w:p w:rsidR="00DA7323" w:rsidRDefault="00DA7323" w:rsidP="002B3673">
      <w:pPr>
        <w:rPr>
          <w:rFonts w:cs="Times New Roman"/>
          <w:szCs w:val="24"/>
        </w:rPr>
      </w:pPr>
    </w:p>
    <w:p w:rsidR="00DA7323" w:rsidRDefault="00DA7323" w:rsidP="002B3673">
      <w:pPr>
        <w:rPr>
          <w:rFonts w:cs="Times New Roman"/>
          <w:szCs w:val="24"/>
        </w:rPr>
      </w:pPr>
    </w:p>
    <w:p w:rsidR="000544E6" w:rsidRDefault="000544E6" w:rsidP="002B3673">
      <w:pPr>
        <w:rPr>
          <w:rFonts w:cs="Times New Roman"/>
          <w:szCs w:val="24"/>
        </w:rPr>
      </w:pPr>
    </w:p>
    <w:p w:rsidR="000544E6" w:rsidRDefault="000544E6" w:rsidP="002B3673">
      <w:pPr>
        <w:rPr>
          <w:rFonts w:cs="Times New Roman"/>
          <w:szCs w:val="24"/>
        </w:rPr>
      </w:pPr>
    </w:p>
    <w:p w:rsidR="00972ABE" w:rsidRDefault="00972ABE" w:rsidP="00DA7323">
      <w:pPr>
        <w:jc w:val="center"/>
        <w:rPr>
          <w:rFonts w:cs="Times New Roman"/>
          <w:b/>
          <w:sz w:val="28"/>
          <w:szCs w:val="28"/>
        </w:rPr>
      </w:pPr>
    </w:p>
    <w:p w:rsidR="00002CBF" w:rsidRPr="004C1D44" w:rsidRDefault="00002CBF" w:rsidP="00002CBF">
      <w:pPr>
        <w:pStyle w:val="AralkYok"/>
        <w:jc w:val="center"/>
        <w:rPr>
          <w:b/>
          <w:sz w:val="28"/>
          <w:shd w:val="clear" w:color="auto" w:fill="FFFFFF"/>
        </w:rPr>
      </w:pPr>
      <w:r w:rsidRPr="004C1D44">
        <w:rPr>
          <w:b/>
          <w:sz w:val="28"/>
          <w:shd w:val="clear" w:color="auto" w:fill="FFFFFF"/>
        </w:rPr>
        <w:lastRenderedPageBreak/>
        <w:t>5. TARTIŞMA</w:t>
      </w:r>
    </w:p>
    <w:p w:rsidR="00DA7323" w:rsidRPr="00DB7B5A" w:rsidRDefault="00DA7323" w:rsidP="00DA7323">
      <w:pPr>
        <w:jc w:val="center"/>
        <w:rPr>
          <w:rFonts w:cs="Times New Roman"/>
          <w:sz w:val="28"/>
          <w:szCs w:val="28"/>
        </w:rPr>
      </w:pPr>
    </w:p>
    <w:p w:rsidR="00DA7323" w:rsidRPr="00E14822" w:rsidRDefault="00DA7323" w:rsidP="00DA7323">
      <w:pPr>
        <w:jc w:val="center"/>
        <w:rPr>
          <w:rFonts w:cs="Times New Roman"/>
          <w:b/>
          <w:sz w:val="28"/>
          <w:szCs w:val="28"/>
        </w:rPr>
      </w:pPr>
    </w:p>
    <w:p w:rsidR="00DA7323" w:rsidRPr="00DA7323" w:rsidRDefault="00DA7323" w:rsidP="00DA7323">
      <w:pPr>
        <w:rPr>
          <w:rFonts w:cs="Times New Roman"/>
        </w:rPr>
      </w:pPr>
      <w:r w:rsidRPr="00DA7323">
        <w:rPr>
          <w:rFonts w:cs="Times New Roman"/>
        </w:rPr>
        <w:t xml:space="preserve">Glukoz, kanser hücrelerinin büyümesi ve hayatta kalması için temel bir enerji ve besin kaynağıdır (Han ve ark, 2015). Yüksek glukozun kanser hücre büyümesi üzerine olan etkilerini araştırmak için Bao ve ark (2019), yaygın ve </w:t>
      </w:r>
      <w:proofErr w:type="gramStart"/>
      <w:r w:rsidRPr="00DA7323">
        <w:rPr>
          <w:rFonts w:cs="Times New Roman"/>
        </w:rPr>
        <w:t>agresif</w:t>
      </w:r>
      <w:proofErr w:type="gramEnd"/>
      <w:r w:rsidRPr="00DA7323">
        <w:rPr>
          <w:rFonts w:cs="Times New Roman"/>
        </w:rPr>
        <w:t xml:space="preserve"> bir kanser türü olan glioblastoma (GBM) U87 hücrelerini 24, 48 ve 72 saat boyunca normal (5.5 mM) ve yüksek glukoza (25 mM) maruz bırakmış ve tüm inkübasyon sürelerinde yüksek glukozun hücre proliferasyon</w:t>
      </w:r>
      <w:r w:rsidR="00ED6CD6">
        <w:rPr>
          <w:rFonts w:cs="Times New Roman"/>
        </w:rPr>
        <w:t>unu arttırdığını tespit etmişlerdir</w:t>
      </w:r>
      <w:r w:rsidRPr="00DA7323">
        <w:rPr>
          <w:rFonts w:cs="Times New Roman"/>
        </w:rPr>
        <w:t>. Benzer bir çalışma insan pankreatik kanser (PC) hücre hatları olan PaCa-2 ve BxPC-3 üzerinde yapılmış, hücreler 24, 4</w:t>
      </w:r>
      <w:r w:rsidR="00D111F7">
        <w:rPr>
          <w:rFonts w:cs="Times New Roman"/>
        </w:rPr>
        <w:t xml:space="preserve">8 ve 72 saat boyunca </w:t>
      </w:r>
      <w:proofErr w:type="gramStart"/>
      <w:r w:rsidR="00D111F7">
        <w:rPr>
          <w:rFonts w:cs="Times New Roman"/>
        </w:rPr>
        <w:t>5.</w:t>
      </w:r>
      <w:r w:rsidRPr="00DA7323">
        <w:rPr>
          <w:rFonts w:cs="Times New Roman"/>
        </w:rPr>
        <w:t>5</w:t>
      </w:r>
      <w:proofErr w:type="gramEnd"/>
      <w:r w:rsidRPr="00DA7323">
        <w:rPr>
          <w:rFonts w:cs="Times New Roman"/>
        </w:rPr>
        <w:t xml:space="preserve"> (kontrol), 25 ve 50 mM glukoz konsantrasyonunda inkübe edilmiştir. Elde edilen sonuçlar aynı inkübasyon sürelerinde, ortamdaki glukoz konsantrasyonu </w:t>
      </w:r>
      <w:proofErr w:type="gramStart"/>
      <w:r w:rsidRPr="00DA7323">
        <w:rPr>
          <w:rFonts w:cs="Times New Roman"/>
        </w:rPr>
        <w:t>5.5'dan</w:t>
      </w:r>
      <w:proofErr w:type="gramEnd"/>
      <w:r w:rsidRPr="00DA7323">
        <w:rPr>
          <w:rFonts w:cs="Times New Roman"/>
        </w:rPr>
        <w:t xml:space="preserve"> 55 mM'ye yükseltildikçe, proliferasyon oranının yavaş yavaş arttığını göstermiştir. </w:t>
      </w:r>
      <w:r w:rsidR="00221AFE">
        <w:rPr>
          <w:rFonts w:cs="Times New Roman"/>
        </w:rPr>
        <w:t>Aynı</w:t>
      </w:r>
      <w:r w:rsidR="00E04B66">
        <w:rPr>
          <w:rFonts w:cs="Times New Roman"/>
        </w:rPr>
        <w:t xml:space="preserve"> çalışmada</w:t>
      </w:r>
      <w:r w:rsidRPr="00DA7323">
        <w:rPr>
          <w:rFonts w:cs="Times New Roman"/>
        </w:rPr>
        <w:t>, 55 mM'deki BxPC-3 hücrelerinin proliferasyon oranı, 72 saatlik grupta 25 mM'da</w:t>
      </w:r>
      <w:r w:rsidR="000331F7">
        <w:rPr>
          <w:rFonts w:cs="Times New Roman"/>
        </w:rPr>
        <w:t>n daha düşük olmasına rağmen (P</w:t>
      </w:r>
      <w:r w:rsidRPr="00DA7323">
        <w:rPr>
          <w:rFonts w:cs="Times New Roman"/>
        </w:rPr>
        <w:t xml:space="preserve">&lt;0.05), </w:t>
      </w:r>
      <w:proofErr w:type="gramStart"/>
      <w:r w:rsidRPr="00DA7323">
        <w:rPr>
          <w:rFonts w:cs="Times New Roman"/>
        </w:rPr>
        <w:t>5.5</w:t>
      </w:r>
      <w:proofErr w:type="gramEnd"/>
      <w:r w:rsidRPr="00DA7323">
        <w:rPr>
          <w:rFonts w:cs="Times New Roman"/>
        </w:rPr>
        <w:t xml:space="preserve"> mM'dan daha yüksek bulunmuştur. Diğer yandan, aynı glukoz </w:t>
      </w:r>
      <w:proofErr w:type="gramStart"/>
      <w:r w:rsidRPr="00DA7323">
        <w:rPr>
          <w:rFonts w:cs="Times New Roman"/>
        </w:rPr>
        <w:t>konsantrasyonu</w:t>
      </w:r>
      <w:proofErr w:type="gramEnd"/>
      <w:r w:rsidRPr="00DA7323">
        <w:rPr>
          <w:rFonts w:cs="Times New Roman"/>
        </w:rPr>
        <w:t xml:space="preserve"> için, 48 ve 72 saatteki çoğalma oranlarının da 24. saatteki oranlardan daha yüksek olduğu tespit edilmiştir (Han ve ark, 2011). Yapılan başka bir çalışmada birden fazla meme kanseri hücre hattı 0, </w:t>
      </w:r>
      <w:proofErr w:type="gramStart"/>
      <w:r w:rsidRPr="00DA7323">
        <w:rPr>
          <w:rFonts w:cs="Times New Roman"/>
        </w:rPr>
        <w:t>5.5</w:t>
      </w:r>
      <w:proofErr w:type="gramEnd"/>
      <w:r w:rsidRPr="00DA7323">
        <w:rPr>
          <w:rFonts w:cs="Times New Roman"/>
        </w:rPr>
        <w:t xml:space="preserve"> (normal fizyolojik seviye), 7, 10 ve 17 mmol/L glukoz konsantrasyonu içeren ortamlara alınmıştır. Glukoz bulunmayan ortamda hücre proliferasyonu inhibe olurken 5-7 mmol/L’den 10 ve 17 mmol/L’ye doğru glukoz </w:t>
      </w:r>
      <w:proofErr w:type="gramStart"/>
      <w:r w:rsidRPr="00DA7323">
        <w:rPr>
          <w:rFonts w:cs="Times New Roman"/>
        </w:rPr>
        <w:t>konsantrasyonu</w:t>
      </w:r>
      <w:proofErr w:type="gramEnd"/>
      <w:r w:rsidRPr="00DA7323">
        <w:rPr>
          <w:rFonts w:cs="Times New Roman"/>
        </w:rPr>
        <w:t xml:space="preserve"> arttıkça hücre proliferasyonunda artış şekillenmiştir (Wahdan-Alaswad ve ark, 2013). Wu ve ark (2016)’larının yaptıkları çalışmada MCF-7 hücreleri 24, 48 ve 72 saat boyunca </w:t>
      </w:r>
      <w:proofErr w:type="gramStart"/>
      <w:r w:rsidRPr="00DA7323">
        <w:rPr>
          <w:rFonts w:cs="Times New Roman"/>
        </w:rPr>
        <w:t>5.5</w:t>
      </w:r>
      <w:proofErr w:type="gramEnd"/>
      <w:r w:rsidRPr="00DA7323">
        <w:rPr>
          <w:rFonts w:cs="Times New Roman"/>
        </w:rPr>
        <w:t xml:space="preserve">, 11 ve 22 mM glukoz konsantrasyonuna maruz bırakılmış, zamana ve glukoz konsantrasyonuna bağlı olarak hücre canlılığının artış gösterdiği tespit edilmiştir. Özellikle 22 mM glukoz grubunda, 48 saatlik maruziyetten sonra hücre canlılığının, </w:t>
      </w:r>
      <w:proofErr w:type="gramStart"/>
      <w:r w:rsidRPr="00DA7323">
        <w:rPr>
          <w:rFonts w:cs="Times New Roman"/>
        </w:rPr>
        <w:t>5.5</w:t>
      </w:r>
      <w:proofErr w:type="gramEnd"/>
      <w:r w:rsidRPr="00DA7323">
        <w:rPr>
          <w:rFonts w:cs="Times New Roman"/>
        </w:rPr>
        <w:t xml:space="preserve"> mM glukoz grubuna kıyasla </w:t>
      </w:r>
      <w:r w:rsidR="00A87F9B">
        <w:rPr>
          <w:rFonts w:cs="Times New Roman"/>
        </w:rPr>
        <w:t>%</w:t>
      </w:r>
      <w:r w:rsidRPr="00DA7323">
        <w:rPr>
          <w:rFonts w:cs="Times New Roman"/>
        </w:rPr>
        <w:t>153.2 oranında yükseldiği belirlenmiştir. Düşük glukozun kanserli ve kanserli olmayan hücrelerdeki hem siklinlerin hem de CDK4’ün downregülasyonu ile ilişkili bir mekanizma yoluyla hücre döngüsünü durdurduğu bilinmektedir (Marín-Hernández ve ark, 2016).</w:t>
      </w:r>
    </w:p>
    <w:p w:rsidR="00DA7323" w:rsidRPr="00DA7323" w:rsidRDefault="00221AFE" w:rsidP="00DA7323">
      <w:pPr>
        <w:rPr>
          <w:rFonts w:cs="Times New Roman"/>
        </w:rPr>
      </w:pPr>
      <w:r>
        <w:rPr>
          <w:rFonts w:cs="Times New Roman"/>
        </w:rPr>
        <w:t>Yapılan araştırmada</w:t>
      </w:r>
      <w:r w:rsidR="00E04B66">
        <w:rPr>
          <w:rFonts w:cs="Times New Roman"/>
        </w:rPr>
        <w:t>,</w:t>
      </w:r>
      <w:r w:rsidR="00DA7323" w:rsidRPr="00DA7323">
        <w:rPr>
          <w:rFonts w:cs="Times New Roman"/>
        </w:rPr>
        <w:t xml:space="preserve"> normoksik ortamda glukozun hücre proliferasyonuna olan etkisi zamana bağlı incelendiğinde tüm </w:t>
      </w:r>
      <w:proofErr w:type="gramStart"/>
      <w:r w:rsidR="00DA7323" w:rsidRPr="00DA7323">
        <w:rPr>
          <w:rFonts w:cs="Times New Roman"/>
        </w:rPr>
        <w:t>konsantrasyonlar</w:t>
      </w:r>
      <w:proofErr w:type="gramEnd"/>
      <w:r w:rsidR="00DA7323" w:rsidRPr="00DA7323">
        <w:rPr>
          <w:rFonts w:cs="Times New Roman"/>
        </w:rPr>
        <w:t xml:space="preserve"> için 6.saatte hücre canlılığının 3.saate göre azalış gösterdiği, 12.saatten itibaren arttığı belirlenmiş ve 48.saatte en yüksek canlılık oranları tespit edilmiştir. Normoksik ortamda glukozun hücre proliferasyonuna olan etkisi </w:t>
      </w:r>
      <w:r w:rsidR="00DA7323" w:rsidRPr="00DA7323">
        <w:rPr>
          <w:rFonts w:cs="Times New Roman"/>
        </w:rPr>
        <w:lastRenderedPageBreak/>
        <w:t>konsantrasyona bağlı incelendiğinde ise, normal fizyolojik seviye olan 5.5 mM glukozun hücre canlılığını kontrole göre (0mM) 3</w:t>
      </w:r>
      <w:proofErr w:type="gramStart"/>
      <w:r w:rsidR="00DA7323" w:rsidRPr="00DA7323">
        <w:rPr>
          <w:rFonts w:cs="Times New Roman"/>
        </w:rPr>
        <w:t>.,</w:t>
      </w:r>
      <w:proofErr w:type="gramEnd"/>
      <w:r w:rsidR="00DA7323" w:rsidRPr="00DA7323">
        <w:rPr>
          <w:rFonts w:cs="Times New Roman"/>
        </w:rPr>
        <w:t>6. ve 48. saatlerde önemli derecede arttırdığı (%48, %41 ve %46) (p&lt;0.0</w:t>
      </w:r>
      <w:r w:rsidR="008D3D91">
        <w:rPr>
          <w:rFonts w:cs="Times New Roman"/>
        </w:rPr>
        <w:t>0</w:t>
      </w:r>
      <w:r w:rsidR="00DA7323" w:rsidRPr="00DA7323">
        <w:rPr>
          <w:rFonts w:cs="Times New Roman"/>
        </w:rPr>
        <w:t xml:space="preserve">1), 12. ve 24. saatlerde ise kontrole göre önemli bir fark oluşmadığı görülmüştür (p&gt;0.05). Bu verilere bakarak çeşitli onkogenlerin aktivasyonu sonucu (PI3K, AKT, MYC gibi) 3. ve 6. saatte glukozun kanser hücreleri tarafından hücreye etkin bir şekilde girişinin ve hücrede kullanımının gerçekleştiği söylenebilir. Dolayısıyla </w:t>
      </w:r>
      <w:proofErr w:type="gramStart"/>
      <w:r w:rsidR="00DA7323" w:rsidRPr="00DA7323">
        <w:rPr>
          <w:rFonts w:cs="Times New Roman"/>
        </w:rPr>
        <w:t>5.5</w:t>
      </w:r>
      <w:proofErr w:type="gramEnd"/>
      <w:r w:rsidR="00DA7323" w:rsidRPr="00DA7323">
        <w:rPr>
          <w:rFonts w:cs="Times New Roman"/>
        </w:rPr>
        <w:t xml:space="preserve"> mM glukoz ortamının ilerleyen inkübasyon sürelerinde hücre için yeterli gelmediği ve hücredeki siklinler ve CDK4 gibi moleküllerin downregülasyonu sonucu hücre döngüsünün durduğu yorumu yapılabilir. 15 mM glukoz ortamında ise tüm inkübasyon süreleri için kontrole göre anlamlı bir artış belirlenmiştir (p&lt;0.0</w:t>
      </w:r>
      <w:r w:rsidR="008D3D91">
        <w:rPr>
          <w:rFonts w:cs="Times New Roman"/>
        </w:rPr>
        <w:t>0</w:t>
      </w:r>
      <w:r w:rsidR="00DA7323" w:rsidRPr="00DA7323">
        <w:rPr>
          <w:rFonts w:cs="Times New Roman"/>
        </w:rPr>
        <w:t>1). Standart kültür koşullarında kullanılan 15 mM glukoz dozunda hücre canlılığının inkübasyon süresine bağlı büyük bir değişiklik göstermemesi hücrelerin bu glukoz miktarını metabolizması için dengeli şekilde tükettiğinin bir kanıtı olabilir. 55 mM glukoz ortamında  3. ve 6. saatlerde hücre canlılığının (%126 ve %134) 12</w:t>
      </w:r>
      <w:proofErr w:type="gramStart"/>
      <w:r w:rsidR="00DA7323" w:rsidRPr="00DA7323">
        <w:rPr>
          <w:rFonts w:cs="Times New Roman"/>
        </w:rPr>
        <w:t>.,</w:t>
      </w:r>
      <w:proofErr w:type="gramEnd"/>
      <w:r w:rsidR="00DA7323" w:rsidRPr="00DA7323">
        <w:rPr>
          <w:rFonts w:cs="Times New Roman"/>
        </w:rPr>
        <w:t xml:space="preserve"> 24. ve 48. saatlere göre (%160, %178 ve % 209) oldukça düşük seyretmesi ise ortamdaki yoğun glukoz miktarının ilk 6 saatte bir miktar sitotoksik etki yaratabileceğinin ve proliferasyonu azaltabileceğinin, 12. saatten 48.saate </w:t>
      </w:r>
      <w:r w:rsidR="007C2B73">
        <w:rPr>
          <w:rFonts w:cs="Times New Roman"/>
        </w:rPr>
        <w:t>kadar</w:t>
      </w:r>
      <w:r w:rsidR="00DA7323" w:rsidRPr="00DA7323">
        <w:rPr>
          <w:rFonts w:cs="Times New Roman"/>
        </w:rPr>
        <w:t xml:space="preserve">  ise hücrenin yüksek glukozu verimli bir şekilde kullanabildiğinin bir göstergesidir. Burada çeşitli sinyalizasyon yolaklarının aktivasyonu sonucu (örneğin PI3K-AKT yolu) hücrelere glukoz alımı ve hücrelerde glukoz kullanımının hızlandırıldığı düşünülmektedir. </w:t>
      </w:r>
      <w:r w:rsidR="00E04B66">
        <w:rPr>
          <w:rFonts w:cs="Times New Roman"/>
        </w:rPr>
        <w:t>Çalışmada elde edilen</w:t>
      </w:r>
      <w:r w:rsidR="00DA7323" w:rsidRPr="00DA7323">
        <w:rPr>
          <w:rFonts w:cs="Times New Roman"/>
        </w:rPr>
        <w:t xml:space="preserve"> veriler genel anlamda </w:t>
      </w:r>
      <w:proofErr w:type="gramStart"/>
      <w:r w:rsidR="00DA7323" w:rsidRPr="00DA7323">
        <w:rPr>
          <w:rFonts w:cs="Times New Roman"/>
        </w:rPr>
        <w:t>liter</w:t>
      </w:r>
      <w:r w:rsidR="007C2B73">
        <w:rPr>
          <w:rFonts w:cs="Times New Roman"/>
        </w:rPr>
        <w:t>atüre</w:t>
      </w:r>
      <w:proofErr w:type="gramEnd"/>
      <w:r w:rsidR="007C2B73">
        <w:rPr>
          <w:rFonts w:cs="Times New Roman"/>
        </w:rPr>
        <w:t xml:space="preserve"> de uygun şekilde normokside</w:t>
      </w:r>
      <w:r w:rsidR="00DA7323" w:rsidRPr="00DA7323">
        <w:rPr>
          <w:rFonts w:cs="Times New Roman"/>
        </w:rPr>
        <w:t xml:space="preserve"> hiperglisemik ortamın kanser hücresi çoğalımına ve sağ kalımına katkı sağladığını göstermektedir. </w:t>
      </w:r>
    </w:p>
    <w:p w:rsidR="00DA7323" w:rsidRPr="00DA7323" w:rsidRDefault="00DA7323" w:rsidP="00DA7323">
      <w:pPr>
        <w:rPr>
          <w:rFonts w:cs="Times New Roman"/>
        </w:rPr>
      </w:pPr>
      <w:r w:rsidRPr="00DA7323">
        <w:rPr>
          <w:rFonts w:cs="Times New Roman"/>
        </w:rPr>
        <w:t xml:space="preserve">Hızlı büyüyen kanser hücrelerinin yaşaması normal hücrelere nazaran daha fazla enerji gerektirir. Kanser hücresi büyümesi ve çoğalması için DNA, RNA, proteinler ve lipitlerin sentezini sağlamak amacıyla hem katabolik hem de anabolik öncüler üretmek için artan glukoz tüketimi ve artan glikoliz gereklidir (Liu ve ark, 2011). </w:t>
      </w:r>
      <w:r w:rsidR="00221AFE">
        <w:rPr>
          <w:rFonts w:cs="Times New Roman"/>
        </w:rPr>
        <w:t>Liu ve ark (2013) yaptıkları bir</w:t>
      </w:r>
      <w:r w:rsidRPr="00DA7323">
        <w:rPr>
          <w:rFonts w:cs="Times New Roman"/>
        </w:rPr>
        <w:t xml:space="preserve"> çalışmada</w:t>
      </w:r>
      <w:r w:rsidR="00221AFE">
        <w:rPr>
          <w:rFonts w:cs="Times New Roman"/>
        </w:rPr>
        <w:t>,</w:t>
      </w:r>
      <w:r w:rsidRPr="00DA7323">
        <w:rPr>
          <w:rFonts w:cs="Times New Roman"/>
        </w:rPr>
        <w:t xml:space="preserve"> normoksik ortamda MiaPaCa2 hücreleri</w:t>
      </w:r>
      <w:r w:rsidR="00221AFE">
        <w:rPr>
          <w:rFonts w:cs="Times New Roman"/>
        </w:rPr>
        <w:t>ni</w:t>
      </w:r>
      <w:r w:rsidRPr="00DA7323">
        <w:rPr>
          <w:rFonts w:cs="Times New Roman"/>
        </w:rPr>
        <w:t xml:space="preserve"> 2.8-11.1 v</w:t>
      </w:r>
      <w:r w:rsidR="00221AFE">
        <w:rPr>
          <w:rFonts w:cs="Times New Roman"/>
        </w:rPr>
        <w:t xml:space="preserve">e 16.7 mM </w:t>
      </w:r>
      <w:proofErr w:type="gramStart"/>
      <w:r w:rsidR="00221AFE">
        <w:rPr>
          <w:rFonts w:cs="Times New Roman"/>
        </w:rPr>
        <w:t>glukoza  maruz</w:t>
      </w:r>
      <w:proofErr w:type="gramEnd"/>
      <w:r w:rsidR="00221AFE">
        <w:rPr>
          <w:rFonts w:cs="Times New Roman"/>
        </w:rPr>
        <w:t xml:space="preserve"> bırak</w:t>
      </w:r>
      <w:r w:rsidRPr="00DA7323">
        <w:rPr>
          <w:rFonts w:cs="Times New Roman"/>
        </w:rPr>
        <w:t>mış, 16.7 mM glukoz ortamında daha fazla glukoz tüketimi gözle</w:t>
      </w:r>
      <w:r w:rsidR="00221AFE">
        <w:rPr>
          <w:rFonts w:cs="Times New Roman"/>
        </w:rPr>
        <w:t xml:space="preserve">mişlerdir. </w:t>
      </w:r>
      <w:r w:rsidRPr="00DA7323">
        <w:rPr>
          <w:rFonts w:cs="Times New Roman"/>
        </w:rPr>
        <w:t>Ortamdaki 5 mM glukoz, insan kanındaki normal fizyolojik seviyelere (100 mg/dl) karşılık gelirken, 25 mM glukoz kontrol edilemeyen ciddi diyabetli bir hastaya eşdeğerdir (</w:t>
      </w:r>
      <w:r w:rsidRPr="007E3A6C">
        <w:rPr>
          <w:rFonts w:cs="Times New Roman"/>
        </w:rPr>
        <w:t>Leontieva ve ark, 2014</w:t>
      </w:r>
      <w:r w:rsidR="007E3A6C" w:rsidRPr="007E3A6C">
        <w:rPr>
          <w:rFonts w:cs="Times New Roman"/>
        </w:rPr>
        <w:t>; Han ve ark, 2015</w:t>
      </w:r>
      <w:r w:rsidRPr="00DA7323">
        <w:rPr>
          <w:rFonts w:cs="Times New Roman"/>
        </w:rPr>
        <w:t>). İki endometrial kanser hücre hattı olan ECC-1 ve Ishikawa, 3 fa</w:t>
      </w:r>
      <w:r w:rsidR="00221AFE">
        <w:rPr>
          <w:rFonts w:cs="Times New Roman"/>
        </w:rPr>
        <w:t xml:space="preserve">rklı glukoz konsantrasyonu ile </w:t>
      </w:r>
      <w:proofErr w:type="gramStart"/>
      <w:r w:rsidRPr="00DA7323">
        <w:rPr>
          <w:rFonts w:cs="Times New Roman"/>
        </w:rPr>
        <w:t>(</w:t>
      </w:r>
      <w:proofErr w:type="gramEnd"/>
      <w:r w:rsidRPr="00DA7323">
        <w:rPr>
          <w:rFonts w:cs="Times New Roman"/>
        </w:rPr>
        <w:t>düşük glikoz (LG 1 mM), norma</w:t>
      </w:r>
      <w:r w:rsidR="00221AFE">
        <w:rPr>
          <w:rFonts w:cs="Times New Roman"/>
        </w:rPr>
        <w:t>l glukoz (NG 5 mM) ve yüksek glu</w:t>
      </w:r>
      <w:r w:rsidRPr="00DA7323">
        <w:rPr>
          <w:rFonts w:cs="Times New Roman"/>
        </w:rPr>
        <w:t>koz (HG 25 mM), muamele edilmiş ve yüksek konsantrasyonda glukoz muamelesinin 12 saat boyunca her iki hücre hattında da glukoz alımını ve hücreye glukoz girişi sağlayan GLUT1'in ekspresyonunu arttırdığı tespit edilmiştir (</w:t>
      </w:r>
      <w:r w:rsidR="007E3A6C" w:rsidRPr="007E3A6C">
        <w:rPr>
          <w:rFonts w:cs="Times New Roman"/>
        </w:rPr>
        <w:t>Leontieva ve ark, 2014; Han ve ark, 2015</w:t>
      </w:r>
      <w:r w:rsidRPr="00DA7323">
        <w:rPr>
          <w:rFonts w:cs="Times New Roman"/>
        </w:rPr>
        <w:t xml:space="preserve">). </w:t>
      </w:r>
    </w:p>
    <w:p w:rsidR="00DA7323" w:rsidRPr="00DA7323" w:rsidRDefault="003C01B5" w:rsidP="00DA7323">
      <w:pPr>
        <w:rPr>
          <w:rFonts w:cs="Times New Roman"/>
        </w:rPr>
      </w:pPr>
      <w:r>
        <w:rPr>
          <w:rFonts w:cs="Times New Roman"/>
        </w:rPr>
        <w:lastRenderedPageBreak/>
        <w:t>Yap</w:t>
      </w:r>
      <w:r w:rsidR="00221AFE">
        <w:rPr>
          <w:rFonts w:cs="Times New Roman"/>
        </w:rPr>
        <w:t xml:space="preserve">ılan </w:t>
      </w:r>
      <w:r>
        <w:rPr>
          <w:rFonts w:cs="Times New Roman"/>
        </w:rPr>
        <w:t>çalışmada</w:t>
      </w:r>
      <w:r w:rsidR="00221AFE">
        <w:rPr>
          <w:rFonts w:cs="Times New Roman"/>
        </w:rPr>
        <w:t>,</w:t>
      </w:r>
      <w:r>
        <w:rPr>
          <w:rFonts w:cs="Times New Roman"/>
        </w:rPr>
        <w:t xml:space="preserve"> </w:t>
      </w:r>
      <w:proofErr w:type="gramStart"/>
      <w:r>
        <w:rPr>
          <w:rFonts w:cs="Times New Roman"/>
        </w:rPr>
        <w:t>5.</w:t>
      </w:r>
      <w:r w:rsidR="00DA7323" w:rsidRPr="00DA7323">
        <w:rPr>
          <w:rFonts w:cs="Times New Roman"/>
        </w:rPr>
        <w:t>5</w:t>
      </w:r>
      <w:proofErr w:type="gramEnd"/>
      <w:r w:rsidR="00DA7323" w:rsidRPr="00DA7323">
        <w:rPr>
          <w:rFonts w:cs="Times New Roman"/>
        </w:rPr>
        <w:t xml:space="preserve"> mM glukoz içeren normoksik ortamlarda inkübe edilen MCF7 hücrelerinin glukoz tüketimi 3. saatten sonra artmaya başlamış, 6.saatten sonra azalmış ve 12. saatten 48. saate kadar tamamen glukoz tüketimi sağlanmıştır (p&lt;0,001). Elde edilen bu sonuç normal 0</w:t>
      </w:r>
      <w:r w:rsidR="00DA7323" w:rsidRPr="00DA7323">
        <w:rPr>
          <w:rFonts w:cs="Times New Roman"/>
          <w:vertAlign w:val="subscript"/>
        </w:rPr>
        <w:t>2</w:t>
      </w:r>
      <w:r w:rsidR="00DA7323" w:rsidRPr="00DA7323">
        <w:rPr>
          <w:rFonts w:cs="Times New Roman"/>
        </w:rPr>
        <w:t xml:space="preserve"> koşulları altında fizyolojik seviyedeki glukoz miktarının uzun sürede hücre içinde tamamen kullanıldığının ve hücrede glikolizi tetiklediğinin bir göstergesi olabilir. 55 mM yüksek glukoz içeren ortamda ise 3.saatten itibaren glukoz hızlı bir şekilde hücre içine alınmıştır. Bu durum yüksek miktar glukozun, glukoz alımı ve glukoz taşıyıcılarının ekspresyonunu uyardığına dair </w:t>
      </w:r>
      <w:proofErr w:type="gramStart"/>
      <w:r w:rsidR="00DA7323" w:rsidRPr="00DA7323">
        <w:rPr>
          <w:rFonts w:cs="Times New Roman"/>
        </w:rPr>
        <w:t>literatürde</w:t>
      </w:r>
      <w:proofErr w:type="gramEnd"/>
      <w:r w:rsidR="00DA7323" w:rsidRPr="00DA7323">
        <w:rPr>
          <w:rFonts w:cs="Times New Roman"/>
        </w:rPr>
        <w:t xml:space="preserve"> verilen bilgilerle paralellik göstermektedir. 24.saatten 48.saate kadar ise 15 ve 55 mM glukoz içeren ortamlarda glukoz tüketimi giderek azalmıştır (p&lt;0,001). </w:t>
      </w:r>
    </w:p>
    <w:p w:rsidR="00DA7323" w:rsidRPr="00DA7323" w:rsidRDefault="00DA7323" w:rsidP="00DA7323">
      <w:pPr>
        <w:rPr>
          <w:rFonts w:cs="Times New Roman"/>
        </w:rPr>
      </w:pPr>
      <w:r w:rsidRPr="00DA7323">
        <w:rPr>
          <w:rFonts w:cs="Times New Roman"/>
        </w:rPr>
        <w:t>Marín-Hernández ve ark</w:t>
      </w:r>
      <w:r w:rsidR="005F0864">
        <w:rPr>
          <w:rFonts w:cs="Times New Roman"/>
        </w:rPr>
        <w:t xml:space="preserve"> (2016)</w:t>
      </w:r>
      <w:r w:rsidR="00DB4B0B">
        <w:rPr>
          <w:rFonts w:cs="Times New Roman"/>
        </w:rPr>
        <w:t>,</w:t>
      </w:r>
      <w:r w:rsidRPr="00DA7323">
        <w:rPr>
          <w:rFonts w:cs="Times New Roman"/>
        </w:rPr>
        <w:t xml:space="preserve"> kültür ortamında glukozun 25 mM’dan </w:t>
      </w:r>
      <w:proofErr w:type="gramStart"/>
      <w:r w:rsidRPr="00DA7323">
        <w:rPr>
          <w:rFonts w:cs="Times New Roman"/>
        </w:rPr>
        <w:t>2.5</w:t>
      </w:r>
      <w:proofErr w:type="gramEnd"/>
      <w:r w:rsidRPr="00DA7323">
        <w:rPr>
          <w:rFonts w:cs="Times New Roman"/>
        </w:rPr>
        <w:t xml:space="preserve"> mM’a düşürülmesinin, HeLa hücrelerinin glikolitik akışında belirgin bir artışla ilişkilendirilebilen GLUT’lar (1 ve 3) ve HKI seviyelerini 2’den 3 kata kadar arttırdığını </w:t>
      </w:r>
      <w:r w:rsidR="005F0864">
        <w:rPr>
          <w:rFonts w:cs="Times New Roman"/>
        </w:rPr>
        <w:t>belirtmişlerdir</w:t>
      </w:r>
      <w:r w:rsidRPr="00DA7323">
        <w:rPr>
          <w:rFonts w:cs="Times New Roman"/>
        </w:rPr>
        <w:t xml:space="preserve">. İki ortam birbiri ile karşılaştırıldığında hücre canlılığı, glikolitik akış ve OxPHOS protein seviyelerinde fark bulunamamıştır. Her 12 saatte bir ortamı değiştirilen normoglisemi veya hipoglisemi ve normoksi altında hücre büyümesi gerçekleştirilen deneylerde 12 saat sonra hücre dışı medyumdaki glukozun sırasıyla 5 mM’dan </w:t>
      </w:r>
      <w:proofErr w:type="gramStart"/>
      <w:r w:rsidRPr="00DA7323">
        <w:rPr>
          <w:rFonts w:cs="Times New Roman"/>
        </w:rPr>
        <w:t>0.5</w:t>
      </w:r>
      <w:proofErr w:type="gramEnd"/>
      <w:r w:rsidRPr="00DA7323">
        <w:rPr>
          <w:rFonts w:cs="Times New Roman"/>
        </w:rPr>
        <w:t>±0.15 mM’a (normoglisemi/normoksi) ve 2.5 mM’dan 0.1±0.01 mM’a (hipoglisemi/normoksi) azaldığı tespit edilmiştir (Marín-Hernández ve ark, 2016). Tüm bu sonuçlar hücre dışı glukozun hipoksi ve HIF-1α’</w:t>
      </w:r>
      <w:proofErr w:type="gramStart"/>
      <w:r w:rsidRPr="00DA7323">
        <w:rPr>
          <w:rFonts w:cs="Times New Roman"/>
        </w:rPr>
        <w:t>dan</w:t>
      </w:r>
      <w:proofErr w:type="gramEnd"/>
      <w:r w:rsidRPr="00DA7323">
        <w:rPr>
          <w:rFonts w:cs="Times New Roman"/>
        </w:rPr>
        <w:t xml:space="preserve"> bağımsız olarak </w:t>
      </w:r>
      <w:r w:rsidR="005F0864">
        <w:rPr>
          <w:rFonts w:cs="Times New Roman"/>
        </w:rPr>
        <w:t xml:space="preserve">da </w:t>
      </w:r>
      <w:r w:rsidRPr="00DA7323">
        <w:rPr>
          <w:rFonts w:cs="Times New Roman"/>
        </w:rPr>
        <w:t>glukoz tüketimini arttırdığını, Warburg etkisine katkı sağla</w:t>
      </w:r>
      <w:r w:rsidR="005F0864">
        <w:rPr>
          <w:rFonts w:cs="Times New Roman"/>
        </w:rPr>
        <w:t>yabildiğini</w:t>
      </w:r>
      <w:r w:rsidRPr="00DA7323">
        <w:rPr>
          <w:rFonts w:cs="Times New Roman"/>
        </w:rPr>
        <w:t xml:space="preserve"> göstermektedir. </w:t>
      </w:r>
    </w:p>
    <w:p w:rsidR="00DA7323" w:rsidRPr="00DA7323" w:rsidRDefault="00DA7323" w:rsidP="00DA7323">
      <w:pPr>
        <w:rPr>
          <w:rFonts w:cs="Times New Roman"/>
        </w:rPr>
      </w:pPr>
      <w:r w:rsidRPr="00DA7323">
        <w:rPr>
          <w:rFonts w:cs="Times New Roman"/>
        </w:rPr>
        <w:t>Hipoksi, çeşitli kanser türlerinde tedaviye yanıt ve sağkalım için negatif bir prognostik faktör olarak kabul edilir (</w:t>
      </w:r>
      <w:r w:rsidRPr="007E3A6C">
        <w:rPr>
          <w:rFonts w:cs="Times New Roman"/>
        </w:rPr>
        <w:t>Sumiyoshi ve ark, 2006; Wilson ve Hay, 2011</w:t>
      </w:r>
      <w:r w:rsidR="007E3A6C" w:rsidRPr="007E3A6C">
        <w:rPr>
          <w:rFonts w:cs="Times New Roman"/>
        </w:rPr>
        <w:t>; Jin ve ark, 2016</w:t>
      </w:r>
      <w:r w:rsidRPr="00DA7323">
        <w:rPr>
          <w:rFonts w:cs="Times New Roman"/>
        </w:rPr>
        <w:t xml:space="preserve">). Solid tümörlerde hipoksik bölgelerin gelişimi malign fenotip, metastaz, kemo-, immüno ve </w:t>
      </w:r>
      <w:proofErr w:type="gramStart"/>
      <w:r w:rsidRPr="00DA7323">
        <w:rPr>
          <w:rFonts w:cs="Times New Roman"/>
        </w:rPr>
        <w:t>radyoterapi</w:t>
      </w:r>
      <w:proofErr w:type="gramEnd"/>
      <w:r w:rsidRPr="00DA7323">
        <w:rPr>
          <w:rFonts w:cs="Times New Roman"/>
        </w:rPr>
        <w:t xml:space="preserve"> direnci, yüksek genetik instabilite ve apoptoz toleransı ile ilişkilendirilen tipik bir özelliktir (Graeber ve ark, 1996; Bristow ve Hill, 2008). Bu </w:t>
      </w:r>
      <w:proofErr w:type="gramStart"/>
      <w:r w:rsidRPr="00DA7323">
        <w:rPr>
          <w:rFonts w:cs="Times New Roman"/>
        </w:rPr>
        <w:t>proseslerin</w:t>
      </w:r>
      <w:proofErr w:type="gramEnd"/>
      <w:r w:rsidRPr="00DA7323">
        <w:rPr>
          <w:rFonts w:cs="Times New Roman"/>
        </w:rPr>
        <w:t xml:space="preserve"> bazıları; anjiyogenez, hücresel proliferasyon, eritropoietik ve vaskülarizasyon yolaklarında yer alan proteinlerin gen transkripsiyonunu düzenleyen önemli bir transkripsiyon faktörü olan HIF1-α ile modüle edilir (Weidemann ve Johnson, 2008). Hipoksik bir bölgede, hücreler normal oksijen gerilimi (normoksi) altında büyüyen hücrelere kıyasla daha düşük bir proliferasyon oranına sahiptir ve tedaviye daha dirençlidirler (</w:t>
      </w:r>
      <w:r w:rsidR="006353EE" w:rsidRPr="006353EE">
        <w:rPr>
          <w:rFonts w:cs="Times New Roman"/>
        </w:rPr>
        <w:t>Trédan ve ark, 2007</w:t>
      </w:r>
      <w:r w:rsidR="006353EE">
        <w:rPr>
          <w:rFonts w:cs="Times New Roman"/>
        </w:rPr>
        <w:t>; Kondoh ve ark, 2010</w:t>
      </w:r>
      <w:r w:rsidRPr="00DA7323">
        <w:rPr>
          <w:rFonts w:cs="Times New Roman"/>
        </w:rPr>
        <w:t>). Orta dereceli hipokside (%1 O</w:t>
      </w:r>
      <w:r w:rsidRPr="00DA7323">
        <w:rPr>
          <w:rFonts w:cs="Times New Roman"/>
          <w:vertAlign w:val="subscript"/>
        </w:rPr>
        <w:t>2</w:t>
      </w:r>
      <w:r w:rsidRPr="00DA7323">
        <w:rPr>
          <w:rFonts w:cs="Times New Roman"/>
        </w:rPr>
        <w:t xml:space="preserve">) akut HIF-1α </w:t>
      </w:r>
      <w:proofErr w:type="gramStart"/>
      <w:r w:rsidRPr="00DA7323">
        <w:rPr>
          <w:rFonts w:cs="Times New Roman"/>
        </w:rPr>
        <w:t>stabilizasyonunun</w:t>
      </w:r>
      <w:proofErr w:type="gramEnd"/>
      <w:r w:rsidRPr="00DA7323">
        <w:rPr>
          <w:rFonts w:cs="Times New Roman"/>
        </w:rPr>
        <w:t xml:space="preserve"> c-</w:t>
      </w:r>
      <w:r w:rsidR="00CC5017">
        <w:rPr>
          <w:rFonts w:cs="Times New Roman"/>
        </w:rPr>
        <w:t>m</w:t>
      </w:r>
      <w:r w:rsidRPr="00DA7323">
        <w:rPr>
          <w:rFonts w:cs="Times New Roman"/>
        </w:rPr>
        <w:t xml:space="preserve">yc transkripsiyonel aktivitesini inhibe ederek hücre döngüsü durmasına neden olduğu bildirilmiştir (Koshiji ve ark, 2004). HIF-1α, c-Myc degredasyonunu da destekleyebilir (Zhang ve ark, 2007). Bunun yanında HIF1α </w:t>
      </w:r>
      <w:r w:rsidRPr="00DA7323">
        <w:rPr>
          <w:rFonts w:cs="Times New Roman"/>
        </w:rPr>
        <w:lastRenderedPageBreak/>
        <w:t xml:space="preserve">metabolik seviyede hemen hemen tüm glikolitik enzimlerin ve taşıyıcıların </w:t>
      </w:r>
      <w:proofErr w:type="gramStart"/>
      <w:r w:rsidRPr="00DA7323">
        <w:rPr>
          <w:rFonts w:cs="Times New Roman"/>
        </w:rPr>
        <w:t>spesifik</w:t>
      </w:r>
      <w:proofErr w:type="gramEnd"/>
      <w:r w:rsidRPr="00DA7323">
        <w:rPr>
          <w:rFonts w:cs="Times New Roman"/>
        </w:rPr>
        <w:t xml:space="preserve"> izoenzimlerinin gen transkripsiyonunu arttırır ve glikolitik aktivasyonu sağlayarak kanser hücreleri proliferasyonu için gerekli metabolitlerin sentezini destekler (Marín-Hernández ve ark, 2009). </w:t>
      </w:r>
    </w:p>
    <w:p w:rsidR="00DA7323" w:rsidRPr="00DA7323" w:rsidRDefault="00DA7323" w:rsidP="00DA7323">
      <w:pPr>
        <w:rPr>
          <w:rFonts w:cs="Times New Roman"/>
        </w:rPr>
      </w:pPr>
      <w:r w:rsidRPr="00DA7323">
        <w:rPr>
          <w:rFonts w:cs="Times New Roman"/>
        </w:rPr>
        <w:t>Hipoksi ve normoksi koşullarının hücre büyümesi üzerine nasıl etki gösterdiğine dair yapılan bir çalışmada</w:t>
      </w:r>
      <w:r w:rsidR="00DB4B0B">
        <w:rPr>
          <w:rFonts w:cs="Times New Roman"/>
        </w:rPr>
        <w:t>,</w:t>
      </w:r>
      <w:r w:rsidR="00DF6AFC">
        <w:rPr>
          <w:rFonts w:cs="Times New Roman"/>
        </w:rPr>
        <w:t xml:space="preserve"> HT29 hücreleri</w:t>
      </w:r>
      <w:r w:rsidRPr="00DA7323">
        <w:rPr>
          <w:rFonts w:cs="Times New Roman"/>
        </w:rPr>
        <w:t xml:space="preserve"> standart kültür koşullarında her iki ortamda büyütülmüş ve normoksi altında 72 saat sonra HT29 hücre büyümesinin 11 kat, hipoksik koşullar altında ise sadece 2 kat arttığını gözlemlemişlerdir. Benzer şekilde SW480 hücre büyümesi normoksi altında 16 kat, hipoksi altında sadece 5 kat artmıştır. Böylece hipoksinin, HT29 ve SW480 hücrelerinin hücre büyüme yeteneğini önemli ölçüde inhibe ettiği, hipoksik koşullar altında hücre kültürünün, G0/G1 fazında hücre döngüsü durdurulmasına</w:t>
      </w:r>
      <w:r w:rsidR="005405FF">
        <w:rPr>
          <w:rFonts w:cs="Times New Roman"/>
        </w:rPr>
        <w:t xml:space="preserve"> neden olduğu tespit edilmiştir</w:t>
      </w:r>
      <w:r w:rsidRPr="00DA7323">
        <w:rPr>
          <w:rFonts w:cs="Times New Roman"/>
        </w:rPr>
        <w:t xml:space="preserve"> (Murono ve ark, 2012).  </w:t>
      </w:r>
      <w:r w:rsidRPr="003C01B5">
        <w:rPr>
          <w:rFonts w:cs="Times New Roman"/>
          <w:i/>
        </w:rPr>
        <w:t>İn vivo</w:t>
      </w:r>
      <w:r w:rsidRPr="00DA7323">
        <w:rPr>
          <w:rFonts w:cs="Times New Roman"/>
        </w:rPr>
        <w:t xml:space="preserve">nun da dahil </w:t>
      </w:r>
      <w:proofErr w:type="gramStart"/>
      <w:r w:rsidRPr="00DA7323">
        <w:rPr>
          <w:rFonts w:cs="Times New Roman"/>
        </w:rPr>
        <w:t>edildiği  başka</w:t>
      </w:r>
      <w:proofErr w:type="gramEnd"/>
      <w:r w:rsidRPr="00DA7323">
        <w:rPr>
          <w:rFonts w:cs="Times New Roman"/>
        </w:rPr>
        <w:t xml:space="preserve"> bir çalışmada A549 insan akciğer kanseri hücrelerinden (akciğer kanseri tümörü) oluşan tümörlerin nakledildiği sıçanlar, farklı süreler ve farklı oksijen seviyelerinde hipoksiye maruz bırakılmıştır (Yu ve Hales, 2011). Ayrıca A549 akciğer kanseri hücreleri kronik hipoksi ile tedavi edilmiş ve daha sonra hipoksi ile ön işleme tabi tutulmuş bu kanser hücreleri farelere implante edilmiştir. Hipoksiye uzun süreli maruz kalmanın sıçanlarda ksenograft ve ortotopik modellerinde akciğer kanseri tümör büyümesini önemli ölçüde inhibe ettiği, </w:t>
      </w:r>
      <w:r w:rsidR="004D23FB" w:rsidRPr="004D23FB">
        <w:rPr>
          <w:rFonts w:cs="Times New Roman"/>
          <w:i/>
        </w:rPr>
        <w:t>in vitro</w:t>
      </w:r>
      <w:r w:rsidRPr="00DA7323">
        <w:rPr>
          <w:rFonts w:cs="Times New Roman"/>
        </w:rPr>
        <w:t xml:space="preserve"> hücre döngüsü ilerlemesini ve akciğer kanseri hücre proliferasyonunu durdurduğu tespit edilmiştir  (Yu ve Hales, 2011). Tátrai ve ark (2017</w:t>
      </w:r>
      <w:r w:rsidR="00A87F9B">
        <w:rPr>
          <w:rFonts w:cs="Times New Roman"/>
        </w:rPr>
        <w:t>), çalışmalarında hipoksinin (%1 ve %</w:t>
      </w:r>
      <w:r w:rsidRPr="00DA7323">
        <w:rPr>
          <w:rFonts w:cs="Times New Roman"/>
        </w:rPr>
        <w:t>5 O</w:t>
      </w:r>
      <w:r w:rsidRPr="00DA7323">
        <w:rPr>
          <w:rFonts w:cs="Times New Roman"/>
          <w:vertAlign w:val="subscript"/>
        </w:rPr>
        <w:t>2</w:t>
      </w:r>
      <w:r w:rsidRPr="00DA7323">
        <w:rPr>
          <w:rFonts w:cs="Times New Roman"/>
        </w:rPr>
        <w:t xml:space="preserve"> seviyeleri) </w:t>
      </w:r>
      <w:r w:rsidR="004D23FB" w:rsidRPr="004D23FB">
        <w:rPr>
          <w:rFonts w:cs="Times New Roman"/>
          <w:i/>
        </w:rPr>
        <w:t>in vitro</w:t>
      </w:r>
      <w:r w:rsidRPr="00DA7323">
        <w:rPr>
          <w:rFonts w:cs="Times New Roman"/>
        </w:rPr>
        <w:t xml:space="preserve"> tümör hücre hatlarında hücre proliferasyonu üzerine etkilerini incelemiştir. % 1 O</w:t>
      </w:r>
      <w:r w:rsidRPr="00DA7323">
        <w:rPr>
          <w:rFonts w:cs="Times New Roman"/>
          <w:vertAlign w:val="subscript"/>
        </w:rPr>
        <w:t>2</w:t>
      </w:r>
      <w:r w:rsidRPr="00DA7323">
        <w:rPr>
          <w:rFonts w:cs="Times New Roman"/>
        </w:rPr>
        <w:t xml:space="preserve">, HT1080 hücrelerinin proliferasyonunu azaltmıştır. HT168-M1 melanoma ve HT25 kolon karsinom hücre </w:t>
      </w:r>
      <w:r w:rsidR="00DB4B0B">
        <w:rPr>
          <w:rFonts w:cs="Times New Roman"/>
        </w:rPr>
        <w:t>hatlarının</w:t>
      </w:r>
      <w:r w:rsidRPr="00DA7323">
        <w:rPr>
          <w:rFonts w:cs="Times New Roman"/>
        </w:rPr>
        <w:t xml:space="preserve"> proliferasyon kapasitesi normoksiye kıyasla hem % 1 hem de % 5 O</w:t>
      </w:r>
      <w:r w:rsidRPr="00DA7323">
        <w:rPr>
          <w:rFonts w:cs="Times New Roman"/>
          <w:vertAlign w:val="subscript"/>
        </w:rPr>
        <w:t>2</w:t>
      </w:r>
      <w:r w:rsidRPr="00DA7323">
        <w:rPr>
          <w:rFonts w:cs="Times New Roman"/>
        </w:rPr>
        <w:t xml:space="preserve"> seviyelerinde artarken, HT29 kolon karsinom hücrelerinin proliferasyonu, özellikle % 1 O</w:t>
      </w:r>
      <w:r w:rsidRPr="00D111F7">
        <w:rPr>
          <w:rFonts w:cs="Times New Roman"/>
          <w:vertAlign w:val="subscript"/>
        </w:rPr>
        <w:t>2</w:t>
      </w:r>
      <w:r w:rsidRPr="00DA7323">
        <w:rPr>
          <w:rFonts w:cs="Times New Roman"/>
        </w:rPr>
        <w:t xml:space="preserve"> seviyesinde azalmıştır. Bu sonuçlar hipoksi </w:t>
      </w:r>
      <w:proofErr w:type="gramStart"/>
      <w:r w:rsidRPr="00DA7323">
        <w:rPr>
          <w:rFonts w:cs="Times New Roman"/>
        </w:rPr>
        <w:t>etkisinin  hücre</w:t>
      </w:r>
      <w:proofErr w:type="gramEnd"/>
      <w:r w:rsidRPr="00DA7323">
        <w:rPr>
          <w:rFonts w:cs="Times New Roman"/>
        </w:rPr>
        <w:t xml:space="preserve"> tipine bağlı olarak da değişebildiğini göstermiştir. </w:t>
      </w:r>
    </w:p>
    <w:p w:rsidR="00DA7323" w:rsidRPr="00DA7323" w:rsidRDefault="00DA7323" w:rsidP="00DA7323">
      <w:pPr>
        <w:rPr>
          <w:rFonts w:cs="Times New Roman"/>
        </w:rPr>
      </w:pPr>
      <w:r w:rsidRPr="00DA7323">
        <w:rPr>
          <w:rFonts w:cs="Times New Roman"/>
        </w:rPr>
        <w:t xml:space="preserve">MCF-7 hücrelerinde hipoksinin Warburg etkisine olan katkısı ve hücre </w:t>
      </w:r>
      <w:r w:rsidR="00DB4B0B">
        <w:rPr>
          <w:rFonts w:cs="Times New Roman"/>
        </w:rPr>
        <w:t>canlılığını nasıl değiştirdiği</w:t>
      </w:r>
      <w:r w:rsidRPr="00DA7323">
        <w:rPr>
          <w:rFonts w:cs="Times New Roman"/>
        </w:rPr>
        <w:t xml:space="preserve"> araştır</w:t>
      </w:r>
      <w:r w:rsidR="00DB4B0B">
        <w:rPr>
          <w:rFonts w:cs="Times New Roman"/>
        </w:rPr>
        <w:t>ılan</w:t>
      </w:r>
      <w:r w:rsidRPr="00DA7323">
        <w:rPr>
          <w:rFonts w:cs="Times New Roman"/>
        </w:rPr>
        <w:t xml:space="preserve"> çalışma</w:t>
      </w:r>
      <w:r w:rsidR="00DB4B0B">
        <w:rPr>
          <w:rFonts w:cs="Times New Roman"/>
        </w:rPr>
        <w:t>da</w:t>
      </w:r>
      <w:r w:rsidRPr="00DA7323">
        <w:rPr>
          <w:rFonts w:cs="Times New Roman"/>
        </w:rPr>
        <w:t xml:space="preserve">, hipoksik ortamda tüm glukoz konsantrasyonları için hücre </w:t>
      </w:r>
      <w:proofErr w:type="gramStart"/>
      <w:r w:rsidRPr="00DA7323">
        <w:rPr>
          <w:rFonts w:cs="Times New Roman"/>
        </w:rPr>
        <w:t>canlılığının  zamana</w:t>
      </w:r>
      <w:proofErr w:type="gramEnd"/>
      <w:r w:rsidRPr="00DA7323">
        <w:rPr>
          <w:rFonts w:cs="Times New Roman"/>
        </w:rPr>
        <w:t xml:space="preserve"> bağlı olarak artış sergilediği, kontrole kıyasla (3.saat) en yüksek hücre canlılıklarının 48. saatte olduğu tespit edilmiştir (p&lt;0,001). Normalde kanser hücrelerinde artan hipoksinin temel bir hücre döngüsü düzenleyicisi ve onkogeni olan c-myc’nin transkripsiyonel aktivasyonunu inhibe etmek suretiyle hücre döngüsünü durdurması ve proliferasyonu azaltması beklenirken bu sonuçlara bağlı olarak uzun süreli hipoksiye maruz kalan hücrelerin ortama direnç kazandığı ve bu durumun yüksek canlılığı teşvik ettiği </w:t>
      </w:r>
      <w:r w:rsidRPr="00DA7323">
        <w:rPr>
          <w:rFonts w:cs="Times New Roman"/>
        </w:rPr>
        <w:lastRenderedPageBreak/>
        <w:t xml:space="preserve">öngörülmüştür.  Ayrıca glukoz içermeyen ortamda inkübasyon süresine bağlı canlılığın artışı hücrelerin sağ kalım adına ortamdaki glutaminden de beslenebilme olasılıklarını </w:t>
      </w:r>
      <w:r w:rsidR="00DB4B0B">
        <w:rPr>
          <w:rFonts w:cs="Times New Roman"/>
        </w:rPr>
        <w:t xml:space="preserve">da </w:t>
      </w:r>
      <w:r w:rsidRPr="00DA7323">
        <w:rPr>
          <w:rFonts w:cs="Times New Roman"/>
        </w:rPr>
        <w:t>göstermiştir.</w:t>
      </w:r>
    </w:p>
    <w:p w:rsidR="00DA7323" w:rsidRPr="00DA7323" w:rsidRDefault="00DA7323" w:rsidP="00DA7323">
      <w:pPr>
        <w:rPr>
          <w:rFonts w:cs="Times New Roman"/>
        </w:rPr>
      </w:pPr>
      <w:r w:rsidRPr="00DA7323">
        <w:rPr>
          <w:rFonts w:cs="Times New Roman"/>
        </w:rPr>
        <w:t>Hiperglisemi ve hücresel hipoksi yakından ilişkilidir. Hipoksinin glikoliz ile bağlantısını belirlemeye yönelik yapılan bir çalışmada orta ve şiddetli hipoksinin (%0,1 O</w:t>
      </w:r>
      <w:r w:rsidRPr="00DA7323">
        <w:rPr>
          <w:rFonts w:cs="Times New Roman"/>
          <w:vertAlign w:val="subscript"/>
        </w:rPr>
        <w:t>2</w:t>
      </w:r>
      <w:r w:rsidRPr="00DA7323">
        <w:rPr>
          <w:rFonts w:cs="Times New Roman"/>
        </w:rPr>
        <w:t xml:space="preserve"> ve %1 O</w:t>
      </w:r>
      <w:r w:rsidRPr="00DA7323">
        <w:rPr>
          <w:rFonts w:cs="Times New Roman"/>
          <w:vertAlign w:val="subscript"/>
        </w:rPr>
        <w:t>2</w:t>
      </w:r>
      <w:r w:rsidRPr="00DA7323">
        <w:rPr>
          <w:rFonts w:cs="Times New Roman"/>
        </w:rPr>
        <w:t xml:space="preserve">) kanser hücreleri 25 mM glukoz (hiperglisemik) ile kültürlendiği zaman tüm glikolitik proteinlerin içeriği ve aktivitesini indüklediği ancak hipoglisemik ortamda hipoksinin glikolitik akışa etki etmediği bildirilmiştir. Hipoglisemik koşullar altında gözlenen ATP kaynağında veya proliferasyon için gerekli olan anabolik öncüllerin miktarında bir düşme sonucu düşük proliferasyon hızının şekillendiği ve tümör çoğalımını önleyen ROS miktarında artış olduğu tespit edilmiştir (Marín-Hernández ve ark, 2016). </w:t>
      </w:r>
      <w:r w:rsidR="005405FF">
        <w:rPr>
          <w:rFonts w:cs="Times New Roman"/>
        </w:rPr>
        <w:t>Rodríguez-Enrí</w:t>
      </w:r>
      <w:r w:rsidR="006353EE" w:rsidRPr="006353EE">
        <w:rPr>
          <w:rFonts w:cs="Times New Roman"/>
        </w:rPr>
        <w:t>quez</w:t>
      </w:r>
      <w:r w:rsidRPr="00DA7323">
        <w:rPr>
          <w:rFonts w:cs="Times New Roman"/>
        </w:rPr>
        <w:t xml:space="preserve"> ve ark (2010), uzun süreli hipoksiden (%0,1 0</w:t>
      </w:r>
      <w:r w:rsidRPr="00DA7323">
        <w:rPr>
          <w:rFonts w:cs="Times New Roman"/>
          <w:vertAlign w:val="subscript"/>
        </w:rPr>
        <w:t>2</w:t>
      </w:r>
      <w:r w:rsidRPr="00DA7323">
        <w:rPr>
          <w:rFonts w:cs="Times New Roman"/>
        </w:rPr>
        <w:t xml:space="preserve">, 24 saat) sonra MCF-7 ve HeLa </w:t>
      </w:r>
      <w:proofErr w:type="gramStart"/>
      <w:r w:rsidRPr="00DA7323">
        <w:rPr>
          <w:rFonts w:cs="Times New Roman"/>
        </w:rPr>
        <w:t>hücrelerinde  HIF1</w:t>
      </w:r>
      <w:proofErr w:type="gramEnd"/>
      <w:r w:rsidRPr="00DA7323">
        <w:rPr>
          <w:rFonts w:cs="Times New Roman"/>
        </w:rPr>
        <w:t>α’daki protein seviyelerinin 4 kata kadar ve sırasıyla glikolitik akışların 3.7 ve 6 kat arttığını gözlemlemiştir. Bu da uzun süreli hipoksik ortamın HIF1α yolu ile glikolizi tetiklediğinin bir göstergesidir. Tümör hücrelerinde, yüksek glukoz seviyelerinin</w:t>
      </w:r>
      <w:r w:rsidR="003C01B5">
        <w:rPr>
          <w:rFonts w:cs="Times New Roman"/>
        </w:rPr>
        <w:t xml:space="preserve"> ise</w:t>
      </w:r>
      <w:r w:rsidRPr="00DA7323">
        <w:rPr>
          <w:rFonts w:cs="Times New Roman"/>
        </w:rPr>
        <w:t xml:space="preserve"> hem normoksik hem de hipoksik koşullar altında HIF-lα ekspresyonunu arttırdığı bilinmektedir (Dehne ve ark, 2010).</w:t>
      </w:r>
    </w:p>
    <w:p w:rsidR="00DA7323" w:rsidRPr="00DA7323" w:rsidRDefault="00DB4B0B" w:rsidP="00DA7323">
      <w:pPr>
        <w:rPr>
          <w:rFonts w:cs="Times New Roman"/>
        </w:rPr>
      </w:pPr>
      <w:r>
        <w:rPr>
          <w:rFonts w:cs="Times New Roman"/>
        </w:rPr>
        <w:t>Yapılan</w:t>
      </w:r>
      <w:r w:rsidR="00DA7323" w:rsidRPr="00DA7323">
        <w:rPr>
          <w:rFonts w:cs="Times New Roman"/>
        </w:rPr>
        <w:t xml:space="preserve"> çalışmada</w:t>
      </w:r>
      <w:r>
        <w:rPr>
          <w:rFonts w:cs="Times New Roman"/>
        </w:rPr>
        <w:t>,</w:t>
      </w:r>
      <w:r w:rsidR="00DA7323" w:rsidRPr="00DA7323">
        <w:rPr>
          <w:rFonts w:cs="Times New Roman"/>
        </w:rPr>
        <w:t xml:space="preserve"> hipoksik ortamda tüm inkübasyon sürelerinde </w:t>
      </w:r>
      <w:proofErr w:type="gramStart"/>
      <w:r w:rsidR="00DA7323" w:rsidRPr="00DA7323">
        <w:rPr>
          <w:rFonts w:cs="Times New Roman"/>
        </w:rPr>
        <w:t>konsantrasyon</w:t>
      </w:r>
      <w:proofErr w:type="gramEnd"/>
      <w:r w:rsidR="00DA7323" w:rsidRPr="00DA7323">
        <w:rPr>
          <w:rFonts w:cs="Times New Roman"/>
        </w:rPr>
        <w:t xml:space="preserve"> artışına bağlı olarak hücre</w:t>
      </w:r>
      <w:r w:rsidR="00FB47E1">
        <w:rPr>
          <w:rFonts w:cs="Times New Roman"/>
        </w:rPr>
        <w:t xml:space="preserve"> canlılığında artış ol</w:t>
      </w:r>
      <w:r>
        <w:rPr>
          <w:rFonts w:cs="Times New Roman"/>
        </w:rPr>
        <w:t>m</w:t>
      </w:r>
      <w:r w:rsidR="00FB47E1">
        <w:rPr>
          <w:rFonts w:cs="Times New Roman"/>
        </w:rPr>
        <w:t>uş</w:t>
      </w:r>
      <w:r w:rsidR="00DA7323" w:rsidRPr="00DA7323">
        <w:rPr>
          <w:rFonts w:cs="Times New Roman"/>
        </w:rPr>
        <w:t xml:space="preserve">, özellikle 12. saatten sonra 55 mM konsantrasyonunda kontrole göre istatiksel olarak en yüksek düzeyde canlılık artışları belirlenmiştir (p&lt;0,001). Bu sonuçlar </w:t>
      </w:r>
      <w:proofErr w:type="gramStart"/>
      <w:r w:rsidR="00DA7323" w:rsidRPr="00DA7323">
        <w:rPr>
          <w:rFonts w:cs="Times New Roman"/>
        </w:rPr>
        <w:t>literatürlere</w:t>
      </w:r>
      <w:proofErr w:type="gramEnd"/>
      <w:r w:rsidR="00DA7323" w:rsidRPr="00DA7323">
        <w:rPr>
          <w:rFonts w:cs="Times New Roman"/>
        </w:rPr>
        <w:t xml:space="preserve"> de uygun şekilde hipoksinin ortamdaki glukoz yoğunluğuna bağlı olarak HIF-1α yolağına bağlı glikolizi indüklediğini ve dolayısıyla hücre gelişimini ve proliferasyonunu desteklediğini göstermiştir. En düşük hücre canlılığı oranı kontrole göre 5.5 mM glukoz dozu için 6. saat</w:t>
      </w:r>
      <w:r w:rsidR="00FB47E1">
        <w:rPr>
          <w:rFonts w:cs="Times New Roman"/>
        </w:rPr>
        <w:t>te belirlenmiş (p&gt;0,05) olup,</w:t>
      </w:r>
      <w:r w:rsidR="00DA7323" w:rsidRPr="00DA7323">
        <w:rPr>
          <w:rFonts w:cs="Times New Roman"/>
        </w:rPr>
        <w:t xml:space="preserve"> bu sonucun literatürdeki </w:t>
      </w:r>
      <w:r w:rsidR="000B0ECE">
        <w:rPr>
          <w:rFonts w:cs="Times New Roman"/>
        </w:rPr>
        <w:t>normo</w:t>
      </w:r>
      <w:r w:rsidR="00DA7323" w:rsidRPr="00DA7323">
        <w:rPr>
          <w:rFonts w:cs="Times New Roman"/>
        </w:rPr>
        <w:t>glisemik ortamda hipoksinin özellikle kısa süreli inkübasyonda hücre proliferasyonunu azalttığın</w:t>
      </w:r>
      <w:r>
        <w:rPr>
          <w:rFonts w:cs="Times New Roman"/>
        </w:rPr>
        <w:t xml:space="preserve">a dair raporları </w:t>
      </w:r>
      <w:proofErr w:type="gramStart"/>
      <w:r>
        <w:rPr>
          <w:rFonts w:cs="Times New Roman"/>
        </w:rPr>
        <w:t xml:space="preserve">desteklediği </w:t>
      </w:r>
      <w:r w:rsidR="00DA7323" w:rsidRPr="00DA7323">
        <w:rPr>
          <w:rFonts w:cs="Times New Roman"/>
        </w:rPr>
        <w:t xml:space="preserve"> kaydedilmiştir</w:t>
      </w:r>
      <w:proofErr w:type="gramEnd"/>
      <w:r w:rsidR="00DA7323" w:rsidRPr="00DA7323">
        <w:rPr>
          <w:rFonts w:cs="Times New Roman"/>
        </w:rPr>
        <w:t xml:space="preserve">. </w:t>
      </w:r>
    </w:p>
    <w:p w:rsidR="00DA7323" w:rsidRPr="00DA7323" w:rsidRDefault="00DB4B0B" w:rsidP="00DA7323">
      <w:pPr>
        <w:rPr>
          <w:rFonts w:cs="Times New Roman"/>
        </w:rPr>
      </w:pPr>
      <w:r>
        <w:rPr>
          <w:rFonts w:cs="Times New Roman"/>
        </w:rPr>
        <w:t>Liu ve ark (2018) yaptıkları çalışmada,</w:t>
      </w:r>
      <w:r w:rsidR="00DA7323" w:rsidRPr="00DA7323">
        <w:rPr>
          <w:rFonts w:cs="Times New Roman"/>
        </w:rPr>
        <w:t xml:space="preserve"> hipergliseminin hipoksiyi indükleyebileceği</w:t>
      </w:r>
      <w:r>
        <w:rPr>
          <w:rFonts w:cs="Times New Roman"/>
        </w:rPr>
        <w:t>ni</w:t>
      </w:r>
      <w:r w:rsidR="00DA7323" w:rsidRPr="00DA7323">
        <w:rPr>
          <w:rFonts w:cs="Times New Roman"/>
        </w:rPr>
        <w:t xml:space="preserve"> ve normal pankreasta ve pankreas kanserinde HIF-lα'nın ekspresyonunu artırabildiği</w:t>
      </w:r>
      <w:r>
        <w:rPr>
          <w:rFonts w:cs="Times New Roman"/>
        </w:rPr>
        <w:t xml:space="preserve">ni göstermişlerdir. </w:t>
      </w:r>
      <w:r w:rsidR="00DA7323" w:rsidRPr="00DA7323">
        <w:rPr>
          <w:rFonts w:cs="Times New Roman"/>
        </w:rPr>
        <w:t xml:space="preserve">Liu ve ark (2013), wt- ve si-MiaPaCa2 hücrelerini hipoksi veya normokside farklı miktarlarda glukoza maruz bırakmış ve glukoz metabolizmaları ile hipoksi, glukoz ve HIF-1α'nın glukoz metabolizmalarını ve enerji homeostazisini düzenlemek için birbirleriyle işbirliği içinde olup olmadığını </w:t>
      </w:r>
      <w:r>
        <w:rPr>
          <w:rFonts w:cs="Times New Roman"/>
        </w:rPr>
        <w:t>incelemişlerdir.</w:t>
      </w:r>
      <w:r w:rsidR="00DA7323" w:rsidRPr="00DA7323">
        <w:rPr>
          <w:rFonts w:cs="Times New Roman"/>
        </w:rPr>
        <w:t xml:space="preserve"> Aynı glukoz </w:t>
      </w:r>
      <w:proofErr w:type="gramStart"/>
      <w:r w:rsidR="00DA7323" w:rsidRPr="00DA7323">
        <w:rPr>
          <w:rFonts w:cs="Times New Roman"/>
        </w:rPr>
        <w:t>konsantrasyonlarıyla</w:t>
      </w:r>
      <w:proofErr w:type="gramEnd"/>
      <w:r w:rsidR="00DA7323" w:rsidRPr="00DA7323">
        <w:rPr>
          <w:rFonts w:cs="Times New Roman"/>
        </w:rPr>
        <w:t xml:space="preserve"> inkübe edilen farklı MiaPaCa2 hücrelerinde bağıl glikoliz seviyeleri karşılaştırıldığında, hipoksik wt- ve si-MiaPaCa2 hücreleri normoksik hücrelerden daha yüksek glikoliz seviyeleri göstermiştir. </w:t>
      </w:r>
      <w:r w:rsidR="00DA7323" w:rsidRPr="00DA7323">
        <w:rPr>
          <w:rFonts w:cs="Times New Roman"/>
        </w:rPr>
        <w:lastRenderedPageBreak/>
        <w:t>Guillaumond ve ark (2013), aerobik glikoliz (Warburg etkisi) sergileyen hücrelerle karşılaştırıldığında pankreatik hipoksik hücrelerin daha yüksek glikolitik potansiyel sergilediği</w:t>
      </w:r>
      <w:r>
        <w:rPr>
          <w:rFonts w:cs="Times New Roman"/>
        </w:rPr>
        <w:t>ni</w:t>
      </w:r>
      <w:r w:rsidR="00DA7323" w:rsidRPr="00DA7323">
        <w:rPr>
          <w:rFonts w:cs="Times New Roman"/>
        </w:rPr>
        <w:t xml:space="preserve"> ve bu durumun glukoz alımı ile laktik asit oluşumunda rol oynayan tüm enzimlerin ve taşıyıcıların daha güçlü bir aktivasyonuyla sonuçlandığı</w:t>
      </w:r>
      <w:r>
        <w:rPr>
          <w:rFonts w:cs="Times New Roman"/>
        </w:rPr>
        <w:t>nı</w:t>
      </w:r>
      <w:r w:rsidR="00DA7323" w:rsidRPr="00DA7323">
        <w:rPr>
          <w:rFonts w:cs="Times New Roman"/>
        </w:rPr>
        <w:t xml:space="preserve"> ortaya </w:t>
      </w:r>
      <w:r>
        <w:rPr>
          <w:rFonts w:cs="Times New Roman"/>
        </w:rPr>
        <w:t>koymuşlardır.</w:t>
      </w:r>
    </w:p>
    <w:p w:rsidR="00DA7323" w:rsidRPr="00DA7323" w:rsidRDefault="00DA7323" w:rsidP="00DA7323">
      <w:pPr>
        <w:rPr>
          <w:rFonts w:cs="Times New Roman"/>
          <w:bCs/>
        </w:rPr>
      </w:pPr>
      <w:r w:rsidRPr="00DA7323">
        <w:rPr>
          <w:rFonts w:cs="Times New Roman"/>
        </w:rPr>
        <w:t>Araştırma</w:t>
      </w:r>
      <w:r w:rsidR="00DB4B0B">
        <w:rPr>
          <w:rFonts w:cs="Times New Roman"/>
        </w:rPr>
        <w:t>da,</w:t>
      </w:r>
      <w:r w:rsidRPr="00DA7323">
        <w:rPr>
          <w:rFonts w:cs="Times New Roman"/>
        </w:rPr>
        <w:t xml:space="preserve"> hipoksi koşullarında </w:t>
      </w:r>
      <w:proofErr w:type="gramStart"/>
      <w:r w:rsidRPr="00DA7323">
        <w:rPr>
          <w:rFonts w:cs="Times New Roman"/>
        </w:rPr>
        <w:t>5.5</w:t>
      </w:r>
      <w:proofErr w:type="gramEnd"/>
      <w:r w:rsidRPr="00DA7323">
        <w:rPr>
          <w:rFonts w:cs="Times New Roman"/>
        </w:rPr>
        <w:t xml:space="preserve"> mM glukoz içeren ortamda 12.saatten sonra ve 15 mM glukoz içeren ortamda ise </w:t>
      </w:r>
      <w:r w:rsidR="00BF3574">
        <w:rPr>
          <w:rFonts w:cs="Times New Roman"/>
        </w:rPr>
        <w:t>3</w:t>
      </w:r>
      <w:r w:rsidRPr="00DA7323">
        <w:rPr>
          <w:rFonts w:cs="Times New Roman"/>
        </w:rPr>
        <w:t xml:space="preserve">. saatten sonra MCF7 hücrelerinin glukoz tüketimi artış göstermiştir. 55 mM glukoz bulunan normoksik ortamdaki gibi 3.saatten itibaren hücre içine glukoz alımı gerçekleşmiş olup, 48.saatte glukoz tüketimi azalmıştır (p&lt;0.001). Elde edilen bulgular </w:t>
      </w:r>
      <w:proofErr w:type="gramStart"/>
      <w:r w:rsidRPr="00DA7323">
        <w:rPr>
          <w:rFonts w:cs="Times New Roman"/>
        </w:rPr>
        <w:t>literatürü</w:t>
      </w:r>
      <w:proofErr w:type="gramEnd"/>
      <w:r w:rsidRPr="00DA7323">
        <w:rPr>
          <w:rFonts w:cs="Times New Roman"/>
        </w:rPr>
        <w:t xml:space="preserve"> destekler nitelikte ileri inkübasyon sürelerinde (24 ve 48) hipoksik hücrelerde glukozun hücre içine girişinin normoksik hücrelerden daha yüksek oranda olduğunu, yüksek konsantrasyonda glukozun da bu artışa katkı sağladığını göstermiştir. </w:t>
      </w:r>
      <w:r w:rsidRPr="00DA7323">
        <w:rPr>
          <w:rFonts w:cs="Times New Roman"/>
          <w:bCs/>
        </w:rPr>
        <w:t>Dolayısıyla hipoksik ve hiperglisemik ortamda glukoz tüketimi ve hüc</w:t>
      </w:r>
      <w:r w:rsidR="008C0026">
        <w:rPr>
          <w:rFonts w:cs="Times New Roman"/>
          <w:bCs/>
        </w:rPr>
        <w:t>re</w:t>
      </w:r>
      <w:r w:rsidR="00DB4B0B">
        <w:rPr>
          <w:rFonts w:cs="Times New Roman"/>
          <w:bCs/>
        </w:rPr>
        <w:t xml:space="preserve"> canlılığı sonuçları</w:t>
      </w:r>
      <w:r w:rsidR="008C0026">
        <w:rPr>
          <w:rFonts w:cs="Times New Roman"/>
          <w:bCs/>
        </w:rPr>
        <w:t xml:space="preserve"> birbiri ile paraleldir</w:t>
      </w:r>
      <w:r w:rsidRPr="00DA7323">
        <w:rPr>
          <w:rFonts w:cs="Times New Roman"/>
          <w:bCs/>
        </w:rPr>
        <w:t>.</w:t>
      </w:r>
    </w:p>
    <w:p w:rsidR="00DA7323" w:rsidRPr="00DA7323" w:rsidRDefault="00DA7323" w:rsidP="00DA7323">
      <w:pPr>
        <w:rPr>
          <w:rFonts w:cs="Times New Roman"/>
          <w:bCs/>
        </w:rPr>
      </w:pPr>
      <w:r w:rsidRPr="00DA7323">
        <w:rPr>
          <w:rFonts w:cs="Times New Roman"/>
          <w:bCs/>
        </w:rPr>
        <w:t>Warburg etkisinin tümör hücresi proliferasyonunu ve migrasyonu desteklediği rapor edilmiştir (</w:t>
      </w:r>
      <w:r w:rsidR="006353EE" w:rsidRPr="006353EE">
        <w:rPr>
          <w:rFonts w:cs="Times New Roman"/>
          <w:bCs/>
        </w:rPr>
        <w:t xml:space="preserve">Harada ve ark, 2016; </w:t>
      </w:r>
      <w:r w:rsidRPr="00DA7323">
        <w:rPr>
          <w:rFonts w:cs="Times New Roman"/>
          <w:bCs/>
        </w:rPr>
        <w:t xml:space="preserve">Liu </w:t>
      </w:r>
      <w:r w:rsidRPr="006353EE">
        <w:rPr>
          <w:rFonts w:cs="Times New Roman"/>
          <w:bCs/>
        </w:rPr>
        <w:t xml:space="preserve">ve Yin, 2017). </w:t>
      </w:r>
      <w:proofErr w:type="gramStart"/>
      <w:r w:rsidR="00AA4551" w:rsidRPr="006353EE">
        <w:rPr>
          <w:rFonts w:cs="Times New Roman"/>
          <w:bCs/>
        </w:rPr>
        <w:t>Zhu</w:t>
      </w:r>
      <w:r w:rsidR="00AA4551">
        <w:rPr>
          <w:rFonts w:cs="Times New Roman"/>
        </w:rPr>
        <w:t xml:space="preserve"> ve ark (</w:t>
      </w:r>
      <w:r w:rsidR="00AA4551" w:rsidRPr="00DA7323">
        <w:rPr>
          <w:rFonts w:cs="Times New Roman"/>
        </w:rPr>
        <w:t>2013</w:t>
      </w:r>
      <w:r w:rsidR="00AA4551">
        <w:rPr>
          <w:rFonts w:cs="Times New Roman"/>
        </w:rPr>
        <w:t>) yaptıkları b</w:t>
      </w:r>
      <w:r w:rsidRPr="00DA7323">
        <w:rPr>
          <w:rFonts w:cs="Times New Roman"/>
        </w:rPr>
        <w:t>ir deneysel çalışmada</w:t>
      </w:r>
      <w:r w:rsidR="00AA4551">
        <w:rPr>
          <w:rFonts w:cs="Times New Roman"/>
        </w:rPr>
        <w:t>,</w:t>
      </w:r>
      <w:r w:rsidRPr="00DA7323">
        <w:rPr>
          <w:rFonts w:cs="Times New Roman"/>
        </w:rPr>
        <w:t xml:space="preserve"> yara iyileşmesi yöntemiyle yüksek glukozun MCF-7 kanserinde hücre göçü ve invazyonu üzerine nasıl etki gösterdiği araştırılmış, 48 saat boyunca 11 mM ve 22 mM glukoz ile tedavi edilen hücrelerde nispi yara kapanması olduğu ve istilacı hücre sayısının ise önemli ö</w:t>
      </w:r>
      <w:r w:rsidR="00AA4551">
        <w:rPr>
          <w:rFonts w:cs="Times New Roman"/>
        </w:rPr>
        <w:t xml:space="preserve">lçüde arttığı tespit edilmiştir. </w:t>
      </w:r>
      <w:proofErr w:type="gramEnd"/>
      <w:r w:rsidRPr="00DA7323">
        <w:rPr>
          <w:rFonts w:cs="Times New Roman"/>
        </w:rPr>
        <w:t>Yang ve ark (2016) da</w:t>
      </w:r>
      <w:r w:rsidR="00AA4551">
        <w:rPr>
          <w:rFonts w:cs="Times New Roman"/>
        </w:rPr>
        <w:t>,</w:t>
      </w:r>
      <w:r w:rsidRPr="00DA7323">
        <w:rPr>
          <w:rFonts w:cs="Times New Roman"/>
        </w:rPr>
        <w:t xml:space="preserve"> farklı glukoz </w:t>
      </w:r>
      <w:proofErr w:type="gramStart"/>
      <w:r w:rsidRPr="00DA7323">
        <w:rPr>
          <w:rFonts w:cs="Times New Roman"/>
        </w:rPr>
        <w:t>konsantrasyonlarında</w:t>
      </w:r>
      <w:proofErr w:type="gramEnd"/>
      <w:r w:rsidRPr="00DA7323">
        <w:rPr>
          <w:rFonts w:cs="Times New Roman"/>
        </w:rPr>
        <w:t xml:space="preserve"> uygulamada bulundukları Caco2 hücreleri için, yara iyileşme analizi gerçekleştirmiş ve 0. saatte 5mM, 10mM ve 15mM glukoz konsantrasyonları için hücrelerarası boşluk mesafelerinin sırasıyla 1.84 mm, 1.84 mm ve 1.88 mm olduğunu belirlemiş</w:t>
      </w:r>
      <w:r w:rsidR="00AA4551">
        <w:rPr>
          <w:rFonts w:cs="Times New Roman"/>
        </w:rPr>
        <w:t>lerdir</w:t>
      </w:r>
      <w:r w:rsidRPr="00DA7323">
        <w:rPr>
          <w:rFonts w:cs="Times New Roman"/>
        </w:rPr>
        <w:t xml:space="preserve">. 24 saatlik inkübasyondan sonra, boşluk mesafeleri 5 mM glukoz ortamında 1.64 mm'ye, 10 mM glukoz ortamında 0.76 mm'ye ve 15 mM glukoz ortamında ise 0.72 mm’ye düşmüştür. 48 saat sonra boşluk mesafeleri ise, 5 mM için 0,48 mm'ye, 10 mM için 0,08 mm'ye ve 15 mM glukoz ortamı için ise 0 mm'ye kadar daralmıştır. Bu durum uzun süreli yüksek dozda glukoz muamelesinin hücre migrasyonunu arttırdığını göstermiştir. SW480 ve SW620 hücreleri için </w:t>
      </w:r>
      <w:proofErr w:type="gramStart"/>
      <w:r w:rsidRPr="00DA7323">
        <w:rPr>
          <w:rFonts w:cs="Times New Roman"/>
        </w:rPr>
        <w:t>de  değişen</w:t>
      </w:r>
      <w:proofErr w:type="gramEnd"/>
      <w:r w:rsidRPr="00DA7323">
        <w:rPr>
          <w:rFonts w:cs="Times New Roman"/>
        </w:rPr>
        <w:t xml:space="preserve"> D-glukoz konsantrasyonlarına bağlı hücre göçü incelenmiştir.  Yüksek glukoz </w:t>
      </w:r>
      <w:proofErr w:type="gramStart"/>
      <w:r w:rsidRPr="00DA7323">
        <w:rPr>
          <w:rFonts w:cs="Times New Roman"/>
        </w:rPr>
        <w:t>koşullarının  kolon</w:t>
      </w:r>
      <w:proofErr w:type="gramEnd"/>
      <w:r w:rsidRPr="00DA7323">
        <w:rPr>
          <w:rFonts w:cs="Times New Roman"/>
        </w:rPr>
        <w:t xml:space="preserve"> kanseri hücre hattında hücre proliferasyonunu artırabildiği, G0 / G1 </w:t>
      </w:r>
      <w:r w:rsidRPr="00DA7323">
        <w:rPr>
          <w:rFonts w:cs="Times New Roman"/>
          <w:bCs/>
        </w:rPr>
        <w:t xml:space="preserve">fazındaki hücre popülasyonunun durdurulmasını azaltabildiği ve hücre göçünü arttırdığı gösterilmiştir (Yang ve ark, 2016). </w:t>
      </w:r>
    </w:p>
    <w:p w:rsidR="00DA7323" w:rsidRPr="00DA7323" w:rsidRDefault="00DA7323" w:rsidP="00DA7323">
      <w:pPr>
        <w:rPr>
          <w:rFonts w:cs="Times New Roman"/>
          <w:bCs/>
        </w:rPr>
      </w:pPr>
      <w:r w:rsidRPr="00DA7323">
        <w:rPr>
          <w:rFonts w:cs="Times New Roman"/>
          <w:bCs/>
        </w:rPr>
        <w:t xml:space="preserve">Farklı konsantrasyonlarda glukoz uygulaması </w:t>
      </w:r>
      <w:r w:rsidR="00AA4551">
        <w:rPr>
          <w:rFonts w:cs="Times New Roman"/>
          <w:bCs/>
        </w:rPr>
        <w:t>yapılan</w:t>
      </w:r>
      <w:r w:rsidRPr="00DA7323">
        <w:rPr>
          <w:rFonts w:cs="Times New Roman"/>
          <w:bCs/>
        </w:rPr>
        <w:t xml:space="preserve"> MCF-7 kanser hücrelerinde </w:t>
      </w:r>
      <w:r w:rsidR="00FB47E1" w:rsidRPr="00DA7323">
        <w:rPr>
          <w:rFonts w:cs="Times New Roman"/>
        </w:rPr>
        <w:t xml:space="preserve">başlangıçta </w:t>
      </w:r>
      <w:r w:rsidR="00FB47E1">
        <w:rPr>
          <w:rFonts w:cs="Times New Roman"/>
        </w:rPr>
        <w:t>(0.dakika) oluştu</w:t>
      </w:r>
      <w:r w:rsidR="00AA4551">
        <w:rPr>
          <w:rFonts w:cs="Times New Roman"/>
        </w:rPr>
        <w:t>rulan</w:t>
      </w:r>
      <w:r w:rsidR="00FB47E1" w:rsidRPr="00DA7323">
        <w:rPr>
          <w:rFonts w:cs="Times New Roman"/>
        </w:rPr>
        <w:t xml:space="preserve"> hücrelerarasındaki yarıkların</w:t>
      </w:r>
      <w:r w:rsidR="00FB47E1" w:rsidRPr="00DA7323">
        <w:rPr>
          <w:rFonts w:cs="Times New Roman"/>
          <w:bCs/>
        </w:rPr>
        <w:t xml:space="preserve"> </w:t>
      </w:r>
      <w:r w:rsidRPr="00DA7323">
        <w:rPr>
          <w:rFonts w:cs="Times New Roman"/>
          <w:bCs/>
        </w:rPr>
        <w:t>0</w:t>
      </w:r>
      <w:proofErr w:type="gramStart"/>
      <w:r w:rsidRPr="00DA7323">
        <w:rPr>
          <w:rFonts w:cs="Times New Roman"/>
          <w:bCs/>
        </w:rPr>
        <w:t>.,</w:t>
      </w:r>
      <w:proofErr w:type="gramEnd"/>
      <w:r w:rsidRPr="00DA7323">
        <w:rPr>
          <w:rFonts w:cs="Times New Roman"/>
          <w:bCs/>
        </w:rPr>
        <w:t xml:space="preserve"> 6., 12.,</w:t>
      </w:r>
      <w:r w:rsidRPr="00DA7323">
        <w:rPr>
          <w:rFonts w:cs="Times New Roman"/>
        </w:rPr>
        <w:t xml:space="preserve"> 24. ve 48. saatlerde mesafeleri ölçülmüş ve glukozun normoksi ve hipoksi ortamındaki </w:t>
      </w:r>
      <w:r w:rsidR="00FB47E1">
        <w:rPr>
          <w:rFonts w:cs="Times New Roman"/>
        </w:rPr>
        <w:t>göç</w:t>
      </w:r>
      <w:r w:rsidRPr="00DA7323">
        <w:rPr>
          <w:rFonts w:cs="Times New Roman"/>
        </w:rPr>
        <w:t xml:space="preserve"> üzerine olan etkileri </w:t>
      </w:r>
      <w:r w:rsidRPr="00DA7323">
        <w:rPr>
          <w:rFonts w:cs="Times New Roman"/>
        </w:rPr>
        <w:lastRenderedPageBreak/>
        <w:t>tayin edilmiştir. Sonuçların WST-1 testi ile benzerlikler taşıdığı kaydedilmiştir. Hem normoksik hem de hipoksik or</w:t>
      </w:r>
      <w:r w:rsidR="001011D4">
        <w:rPr>
          <w:rFonts w:cs="Times New Roman"/>
        </w:rPr>
        <w:t xml:space="preserve">tamlarda yüksek </w:t>
      </w:r>
      <w:proofErr w:type="gramStart"/>
      <w:r w:rsidR="001011D4">
        <w:rPr>
          <w:rFonts w:cs="Times New Roman"/>
        </w:rPr>
        <w:t>konsantrasyonda</w:t>
      </w:r>
      <w:proofErr w:type="gramEnd"/>
      <w:r w:rsidR="001011D4">
        <w:rPr>
          <w:rFonts w:cs="Times New Roman"/>
        </w:rPr>
        <w:t xml:space="preserve"> (</w:t>
      </w:r>
      <w:r w:rsidRPr="00DA7323">
        <w:rPr>
          <w:rFonts w:cs="Times New Roman"/>
        </w:rPr>
        <w:t xml:space="preserve">55 mM) glukoz muamelesi yapılan gruplarda </w:t>
      </w:r>
      <w:r w:rsidR="008C0026">
        <w:rPr>
          <w:rFonts w:cs="Times New Roman"/>
        </w:rPr>
        <w:t>6</w:t>
      </w:r>
      <w:r w:rsidRPr="00DA7323">
        <w:rPr>
          <w:rFonts w:cs="Times New Roman"/>
        </w:rPr>
        <w:t>.saatten sonra yara açıklıklarının kapanıyor olması</w:t>
      </w:r>
      <w:r w:rsidR="006A7C9B">
        <w:rPr>
          <w:rFonts w:cs="Times New Roman"/>
        </w:rPr>
        <w:t xml:space="preserve"> </w:t>
      </w:r>
      <w:r w:rsidR="006A7C9B">
        <w:rPr>
          <w:rFonts w:cs="Times New Roman"/>
          <w:color w:val="000000"/>
          <w:szCs w:val="24"/>
        </w:rPr>
        <w:t>(</w:t>
      </w:r>
      <w:r w:rsidR="006A7C9B" w:rsidRPr="006A7C9B">
        <w:rPr>
          <w:rFonts w:cs="Times New Roman"/>
          <w:color w:val="000000"/>
          <w:szCs w:val="24"/>
        </w:rPr>
        <w:t>p&lt;0,001)</w:t>
      </w:r>
      <w:r w:rsidRPr="00DA7323">
        <w:rPr>
          <w:rFonts w:cs="Times New Roman"/>
        </w:rPr>
        <w:t xml:space="preserve">, bu inkübasyon süresi itibariyle artış gösteren hücre canlılığı sonuçları ile paraleldir. </w:t>
      </w:r>
      <w:r w:rsidR="00FB47E1">
        <w:rPr>
          <w:rFonts w:cs="Times New Roman"/>
        </w:rPr>
        <w:t>5.</w:t>
      </w:r>
      <w:r w:rsidRPr="00DA7323">
        <w:rPr>
          <w:rFonts w:cs="Times New Roman"/>
        </w:rPr>
        <w:t xml:space="preserve">5 mM uygulama için yara açıklığı yüzdeleri, her iki ortamda da ileri inkübasyon sürelerinde azalmıştır ve bu sonucun 48.saatteki yüksek hücre canlılığı ile uyumlu olduğu görülmüştür. Glukozsuz ortamda hem normoksik hem de hipoksik hücrelerin morfolojik görüntüleri değişmiş, ayrıca </w:t>
      </w:r>
      <w:r w:rsidR="008C0026">
        <w:rPr>
          <w:rFonts w:cs="Times New Roman"/>
        </w:rPr>
        <w:t>inkübasyon süresi arttıkça yara açıklığı yüzdeleri de artmış, yani hücre göçü azalmıştır</w:t>
      </w:r>
      <w:r w:rsidRPr="00DA7323">
        <w:rPr>
          <w:rFonts w:cs="Times New Roman"/>
          <w:bCs/>
        </w:rPr>
        <w:t xml:space="preserve">. Bu durum glukozun kanser hücrelerinin sağlıklı bir büyüme göstermeleri ve dokuya yayılımları adına gerekli bir besin olduğunun kanıtıdır. </w:t>
      </w:r>
    </w:p>
    <w:p w:rsidR="001011D4" w:rsidRDefault="00DA7323" w:rsidP="00DA7323">
      <w:pPr>
        <w:rPr>
          <w:rFonts w:cs="Times New Roman"/>
        </w:rPr>
      </w:pPr>
      <w:r w:rsidRPr="00DA7323">
        <w:rPr>
          <w:rFonts w:cs="Times New Roman"/>
          <w:bCs/>
        </w:rPr>
        <w:t>HIF-lα; hücre çoğalması, yer değiştirmesi ve metastazını teşvik etmek için çok çeşitli genlerin ekspresyonunu transkripsiyonel</w:t>
      </w:r>
      <w:r w:rsidRPr="00DA7323">
        <w:rPr>
          <w:rFonts w:cs="Times New Roman"/>
        </w:rPr>
        <w:t xml:space="preserve"> olarak düzenleyen anahtar bir aracı görevi görür (Liu ve Yin, 2017). HIF-1α siRNA’sının BxPC-3 hücrelerinin yüksek glukoz kaynaklı invaziv ve göç yetenekleri ü</w:t>
      </w:r>
      <w:r w:rsidR="005405FF">
        <w:rPr>
          <w:rFonts w:cs="Times New Roman"/>
        </w:rPr>
        <w:t>zerine etkileri test edilmiştir</w:t>
      </w:r>
      <w:r w:rsidRPr="00DA7323">
        <w:rPr>
          <w:rFonts w:cs="Times New Roman"/>
        </w:rPr>
        <w:t xml:space="preserve"> (Li ve ark, 2018). Yüksek glukoz varlığında artan BxPC-3 hücre istilası ve migrasyonunun HIF-1α yıkımı ile önemli ölçüde inhibe edildiği bulunmuştur. Bu veriler, yüksek glukoz seviyesinin, HIF-lα bağımlı bir şekilde pankreas kanseri invazyonuna ve migrasyonuna katkıda bulunduğunu göstermektedir. Hiperglisemi, pankreas kanserinin büyümesini, istilasını ve metastazını teşvik eder. Yüksek glukoz </w:t>
      </w:r>
      <w:proofErr w:type="gramStart"/>
      <w:r w:rsidRPr="00DA7323">
        <w:rPr>
          <w:rFonts w:cs="Times New Roman"/>
        </w:rPr>
        <w:t>konsantrasyonlarının</w:t>
      </w:r>
      <w:proofErr w:type="gramEnd"/>
      <w:r w:rsidRPr="00DA7323">
        <w:rPr>
          <w:rFonts w:cs="Times New Roman"/>
        </w:rPr>
        <w:t xml:space="preserve"> pankreas kanseri invazyonunu desteklemedeki rolü, HIF-lα'nın upregülasyonunu içerir. </w:t>
      </w:r>
    </w:p>
    <w:p w:rsidR="00DA7323" w:rsidRPr="00DA7323" w:rsidRDefault="001011D4" w:rsidP="00DA7323">
      <w:pPr>
        <w:rPr>
          <w:rFonts w:cs="Times New Roman"/>
          <w:bCs/>
        </w:rPr>
      </w:pPr>
      <w:r>
        <w:rPr>
          <w:rFonts w:cs="Times New Roman"/>
        </w:rPr>
        <w:t>Çalışmada</w:t>
      </w:r>
      <w:r w:rsidR="00DA7323" w:rsidRPr="00DA7323">
        <w:rPr>
          <w:rFonts w:cs="Times New Roman"/>
        </w:rPr>
        <w:t xml:space="preserve"> elde </w:t>
      </w:r>
      <w:r>
        <w:rPr>
          <w:rFonts w:cs="Times New Roman"/>
        </w:rPr>
        <w:t>edilen</w:t>
      </w:r>
      <w:r w:rsidR="00DA7323" w:rsidRPr="00DA7323">
        <w:rPr>
          <w:rFonts w:cs="Times New Roman"/>
        </w:rPr>
        <w:t xml:space="preserve"> sonuçlar hipoksik ortamda hiperglisemi ve normogliseminin benzer migrasyon oranları yarattığını göstermiştir. HIF-lα bağımlı yolağın proliferasyon ve migrasyonu desteklediğinin bir göstergesi olarak 55 mM uygulama gruplarında ileri inkübasyon sürelerinde </w:t>
      </w:r>
      <w:r w:rsidR="00557E83">
        <w:rPr>
          <w:rFonts w:cs="Times New Roman"/>
        </w:rPr>
        <w:t>yara kapanışları yani migrasyon hızları</w:t>
      </w:r>
      <w:r w:rsidR="00DA7323" w:rsidRPr="00DA7323">
        <w:rPr>
          <w:rFonts w:cs="Times New Roman"/>
        </w:rPr>
        <w:t xml:space="preserve"> artış göstermiştir. Normoksiye göre hipokside yara kapanış oranları özellikle </w:t>
      </w:r>
      <w:r w:rsidR="00557E83">
        <w:rPr>
          <w:rFonts w:cs="Times New Roman"/>
        </w:rPr>
        <w:t xml:space="preserve">hiperglisemik ortam için </w:t>
      </w:r>
      <w:r w:rsidR="00DA7323" w:rsidRPr="00DA7323">
        <w:rPr>
          <w:rFonts w:cs="Times New Roman"/>
        </w:rPr>
        <w:t xml:space="preserve">ilk 12 saatte daha düşüktür. Bu durum hipoksinin 12. saatten sonra hücrelerin migrasyon hızını arttırmasına yönelik etki gösterdiğinin bir kanıtı </w:t>
      </w:r>
      <w:r w:rsidR="00DA7323" w:rsidRPr="00DA7323">
        <w:rPr>
          <w:rFonts w:cs="Times New Roman"/>
          <w:bCs/>
        </w:rPr>
        <w:t xml:space="preserve">olabilir. Glukozsuz ortam ise hücrelerin </w:t>
      </w:r>
      <w:proofErr w:type="gramStart"/>
      <w:r w:rsidR="00DA7323" w:rsidRPr="00DA7323">
        <w:rPr>
          <w:rFonts w:cs="Times New Roman"/>
          <w:bCs/>
        </w:rPr>
        <w:t>agresifliğinin</w:t>
      </w:r>
      <w:proofErr w:type="gramEnd"/>
      <w:r w:rsidR="00DA7323" w:rsidRPr="00DA7323">
        <w:rPr>
          <w:rFonts w:cs="Times New Roman"/>
          <w:bCs/>
        </w:rPr>
        <w:t xml:space="preserve"> artmasına, migrasyon oranlarının azalmasına, hücrelerin büzülerek sağlıklı görüntülerinin kaybolmasına sebebiyet vermiştir. </w:t>
      </w:r>
    </w:p>
    <w:p w:rsidR="00DA7323" w:rsidRPr="00DA7323" w:rsidRDefault="00DA7323" w:rsidP="00DA7323">
      <w:pPr>
        <w:rPr>
          <w:rFonts w:cs="Times New Roman"/>
          <w:bCs/>
        </w:rPr>
      </w:pPr>
      <w:r w:rsidRPr="00DA7323">
        <w:rPr>
          <w:rFonts w:cs="Times New Roman"/>
          <w:bCs/>
        </w:rPr>
        <w:t xml:space="preserve">Artan aerobik glikoliz laktik asit üretimi ve salgılanmasında da artışa yol </w:t>
      </w:r>
      <w:r w:rsidR="00D408E6">
        <w:rPr>
          <w:rFonts w:cs="Times New Roman"/>
          <w:bCs/>
        </w:rPr>
        <w:t>açar. Gatenby ve Gillies (2004</w:t>
      </w:r>
      <w:r w:rsidR="00D408E6" w:rsidRPr="006353EE">
        <w:rPr>
          <w:rFonts w:cs="Times New Roman"/>
          <w:bCs/>
        </w:rPr>
        <w:t>),</w:t>
      </w:r>
      <w:r w:rsidRPr="00DA7323">
        <w:rPr>
          <w:rFonts w:cs="Times New Roman"/>
          <w:bCs/>
        </w:rPr>
        <w:t xml:space="preserve"> aerobik glikolizin, kanser hücrelerinin sınırsız çoğalmasını ve doku istilasını destekleyen güçlü, seçici bir büyüme avantajı sergileyen aside dirençli bir fenotip gelişimine yol açabileceğini göstermiştir. Laktat</w:t>
      </w:r>
      <w:r w:rsidRPr="00DA7323">
        <w:rPr>
          <w:rFonts w:cs="Times New Roman"/>
        </w:rPr>
        <w:t xml:space="preserve">, kanserde metabolik bir anahtar oyuncudur (Jiang ve ark, 2015). Baş ve boyun, servikal ve küçük hücreli olmayan akciğer kanseri gibi </w:t>
      </w:r>
      <w:r w:rsidRPr="00DA7323">
        <w:rPr>
          <w:rFonts w:cs="Times New Roman"/>
        </w:rPr>
        <w:lastRenderedPageBreak/>
        <w:t xml:space="preserve">çeşitli insan kanserlerinde yüksek laktat düzeylerinin metastaz, tümör nüksü ve kötü klinik sonuç ile korele olduğu tespit edilmiştir (Walenta ve ark, 2000). Laktat seviyeleri, radyasyona direnç ve metastaz olasılığı ile pozitif ilişkili olmasının yanı sıra insan rektal adenokarsinoma, glioblastoma ve prostat tümörü </w:t>
      </w:r>
      <w:proofErr w:type="gramStart"/>
      <w:r w:rsidRPr="00DA7323">
        <w:rPr>
          <w:rFonts w:cs="Times New Roman"/>
        </w:rPr>
        <w:t>agresifliğinin</w:t>
      </w:r>
      <w:proofErr w:type="gramEnd"/>
      <w:r w:rsidRPr="00DA7323">
        <w:rPr>
          <w:rFonts w:cs="Times New Roman"/>
        </w:rPr>
        <w:t xml:space="preserve"> potansiyel bir belirteci olarak tanımlanmıştır (</w:t>
      </w:r>
      <w:r w:rsidRPr="006353EE">
        <w:rPr>
          <w:rFonts w:cs="Times New Roman"/>
        </w:rPr>
        <w:t xml:space="preserve">Walenta ve Mueller-Klieser, 2004; Saraswathy ve ark, 2009; </w:t>
      </w:r>
      <w:r w:rsidR="006353EE" w:rsidRPr="006353EE">
        <w:rPr>
          <w:rFonts w:cs="Times New Roman"/>
        </w:rPr>
        <w:t>Park ve ark, 2010;</w:t>
      </w:r>
      <w:r w:rsidRPr="006353EE">
        <w:rPr>
          <w:rFonts w:cs="Times New Roman"/>
        </w:rPr>
        <w:t xml:space="preserve"> Yaligar ve ark, 2012</w:t>
      </w:r>
      <w:r w:rsidR="006353EE" w:rsidRPr="006353EE">
        <w:rPr>
          <w:rFonts w:cs="Times New Roman"/>
        </w:rPr>
        <w:t>; Keshari</w:t>
      </w:r>
      <w:r w:rsidR="006353EE" w:rsidRPr="00DA7323">
        <w:rPr>
          <w:rFonts w:cs="Times New Roman"/>
        </w:rPr>
        <w:t xml:space="preserve"> ve </w:t>
      </w:r>
      <w:r w:rsidR="006353EE" w:rsidRPr="006353EE">
        <w:rPr>
          <w:rFonts w:cs="Times New Roman"/>
        </w:rPr>
        <w:t>ark, 2013</w:t>
      </w:r>
      <w:r w:rsidRPr="006353EE">
        <w:rPr>
          <w:rFonts w:cs="Times New Roman"/>
        </w:rPr>
        <w:t>).</w:t>
      </w:r>
      <w:r w:rsidRPr="00DA7323">
        <w:rPr>
          <w:rFonts w:cs="Times New Roman"/>
          <w:bCs/>
        </w:rPr>
        <w:t xml:space="preserve"> Primer serviks kanserinde laktat birikiminin hastanın sağkalımı ile ters orantılı olduğu da gösterilmiştir (</w:t>
      </w:r>
      <w:r w:rsidR="003B46BD" w:rsidRPr="003B46BD">
        <w:rPr>
          <w:rFonts w:cs="Times New Roman"/>
          <w:bCs/>
        </w:rPr>
        <w:t xml:space="preserve">Walenta ve ark, 2000; </w:t>
      </w:r>
      <w:r w:rsidRPr="00DA7323">
        <w:rPr>
          <w:rFonts w:cs="Times New Roman"/>
          <w:bCs/>
        </w:rPr>
        <w:t xml:space="preserve">Jiang ve </w:t>
      </w:r>
      <w:r w:rsidRPr="003B46BD">
        <w:rPr>
          <w:rFonts w:cs="Times New Roman"/>
          <w:bCs/>
        </w:rPr>
        <w:t>ark, 2015</w:t>
      </w:r>
      <w:r w:rsidRPr="00DA7323">
        <w:rPr>
          <w:rFonts w:cs="Times New Roman"/>
          <w:bCs/>
        </w:rPr>
        <w:t xml:space="preserve">). </w:t>
      </w:r>
    </w:p>
    <w:p w:rsidR="00DA7323" w:rsidRPr="00DA7323" w:rsidRDefault="00DA7323" w:rsidP="00DA7323">
      <w:pPr>
        <w:rPr>
          <w:rFonts w:cs="Times New Roman"/>
          <w:bCs/>
        </w:rPr>
      </w:pPr>
      <w:r w:rsidRPr="00DA7323">
        <w:rPr>
          <w:rFonts w:cs="Times New Roman"/>
          <w:bCs/>
        </w:rPr>
        <w:t>Mitokondriyal OxPhos ile</w:t>
      </w:r>
      <w:r w:rsidRPr="00DA7323">
        <w:rPr>
          <w:rFonts w:cs="Times New Roman"/>
        </w:rPr>
        <w:t xml:space="preserve"> enerji üretimi için normoksik tümör hücreleri tarafından alınacak ve kullanılacak olan laktat, hipoksik glikolitik tümör hücreleri tarafından üretilir ve ihraç edilir </w:t>
      </w:r>
      <w:r w:rsidRPr="00FB47E1">
        <w:rPr>
          <w:rFonts w:cs="Times New Roman"/>
        </w:rPr>
        <w:t>(</w:t>
      </w:r>
      <w:hyperlink r:id="rId167" w:history="1">
        <w:r w:rsidRPr="00FB47E1">
          <w:rPr>
            <w:rStyle w:val="Kpr"/>
            <w:rFonts w:cs="Times New Roman"/>
            <w:color w:val="auto"/>
            <w:u w:val="none"/>
          </w:rPr>
          <w:t xml:space="preserve">Draoui ve </w:t>
        </w:r>
      </w:hyperlink>
      <w:hyperlink r:id="rId168" w:history="1">
        <w:r w:rsidRPr="00FB47E1">
          <w:rPr>
            <w:rStyle w:val="Kpr"/>
            <w:rFonts w:cs="Times New Roman"/>
            <w:color w:val="auto"/>
            <w:u w:val="none"/>
          </w:rPr>
          <w:t>Feron,</w:t>
        </w:r>
      </w:hyperlink>
      <w:r w:rsidRPr="00DA7323">
        <w:rPr>
          <w:rFonts w:cs="Times New Roman"/>
        </w:rPr>
        <w:t xml:space="preserve"> 2011). Bu laktat transferi işlemi, çoğu tümörde aşırı eksprese edilen, esas olarak hücreden laktat salınımı için MCT4 ve hücreye laktat alımı için MCT1 yoluyla gerçekleştirilir (Pinheiro ve ark, 2012). Meme kanseri hücre hatlarında (MCF-7 ve MDA-MB-231), MCT izoformlarının (1 ve 4) dağılımı ile laktat oluşumunda görevli enzim LDH’ın izoformlarının (A ve B) ekspresyon </w:t>
      </w:r>
      <w:proofErr w:type="gramStart"/>
      <w:r w:rsidRPr="00DA7323">
        <w:rPr>
          <w:rFonts w:cs="Times New Roman"/>
        </w:rPr>
        <w:t>profili</w:t>
      </w:r>
      <w:proofErr w:type="gramEnd"/>
      <w:r w:rsidRPr="00DA7323">
        <w:rPr>
          <w:rFonts w:cs="Times New Roman"/>
        </w:rPr>
        <w:t xml:space="preserve"> arasında önemli bir ilişki olduğu gösterilmiştir (Hussien ve A.Brooks, 2011). MDA-MB-231 hücre hattında, LDHA piruvatı laktata dönüştürmek için ve MCT4 laktatı serbest bırakmak için bol miktarda bulunurken</w:t>
      </w:r>
      <w:r w:rsidR="00557E83">
        <w:rPr>
          <w:rFonts w:cs="Times New Roman"/>
        </w:rPr>
        <w:t>,</w:t>
      </w:r>
      <w:r w:rsidRPr="00DA7323">
        <w:rPr>
          <w:rFonts w:cs="Times New Roman"/>
        </w:rPr>
        <w:t xml:space="preserve"> MCF-7 hücre hattında ise MCT1 laktat alımı için aşırı eksprese edilir ve LDHB, TCA döngüsüne enerji sağlamak adına laktatı piruvata dönüştürmek </w:t>
      </w:r>
      <w:r w:rsidRPr="00DA7323">
        <w:rPr>
          <w:rFonts w:cs="Times New Roman"/>
          <w:bCs/>
        </w:rPr>
        <w:t xml:space="preserve">için bol miktarda bulunur. Böylece kanser hücreleri, verimli enerji temini için glikolitik fenotiplerini düzenler (Abdel-Wahab ve ark, 2019). </w:t>
      </w:r>
    </w:p>
    <w:p w:rsidR="00DA7323" w:rsidRPr="00DA7323" w:rsidRDefault="00DA7323" w:rsidP="00DA7323">
      <w:pPr>
        <w:rPr>
          <w:rFonts w:cs="Times New Roman"/>
        </w:rPr>
      </w:pPr>
      <w:r w:rsidRPr="00DA7323">
        <w:rPr>
          <w:rFonts w:cs="Times New Roman"/>
          <w:bCs/>
        </w:rPr>
        <w:t>Glukozun enerji akışını nasıl etkilediğinin incelendiği bir çalışmada, yumurtalık kanseri hücrelerinde ATP ve laktatın hücresel</w:t>
      </w:r>
      <w:r w:rsidRPr="00DA7323">
        <w:rPr>
          <w:rFonts w:cs="Times New Roman"/>
        </w:rPr>
        <w:t xml:space="preserve"> seviyeleri ölçülmüştür. 24 saat boyunca çeşitli glukoz konsantrasyonlarında (0, 2.5, 5.5 ve 25 mM) inkübe edilen </w:t>
      </w:r>
      <w:proofErr w:type="gramStart"/>
      <w:r w:rsidRPr="00DA7323">
        <w:rPr>
          <w:rFonts w:cs="Times New Roman"/>
        </w:rPr>
        <w:t>hücrelerde  glukoz</w:t>
      </w:r>
      <w:proofErr w:type="gramEnd"/>
      <w:r w:rsidRPr="00DA7323">
        <w:rPr>
          <w:rFonts w:cs="Times New Roman"/>
        </w:rPr>
        <w:t xml:space="preserve"> konsantrasyonu artışına bağlı olarak hücresel ATP seviyesi ve laktat üretimi önemli ölçüde yükselmiştir  (Sun ve ark, 2017). Guillaumond ve ark (2013) yaptıkları çalışmada</w:t>
      </w:r>
      <w:r w:rsidR="001011D4">
        <w:rPr>
          <w:rFonts w:cs="Times New Roman"/>
        </w:rPr>
        <w:t>,</w:t>
      </w:r>
      <w:r w:rsidRPr="00DA7323">
        <w:rPr>
          <w:rFonts w:cs="Times New Roman"/>
        </w:rPr>
        <w:t xml:space="preserve"> </w:t>
      </w:r>
      <w:r w:rsidR="004D23FB" w:rsidRPr="004D23FB">
        <w:rPr>
          <w:rFonts w:cs="Times New Roman"/>
          <w:i/>
        </w:rPr>
        <w:t>in vitro</w:t>
      </w:r>
      <w:r w:rsidRPr="00DA7323">
        <w:rPr>
          <w:rFonts w:cs="Times New Roman"/>
        </w:rPr>
        <w:t xml:space="preserve"> epitelyal kanser hücre modeli (PK4A hücreleri) % 1 O</w:t>
      </w:r>
      <w:r w:rsidRPr="00DA7323">
        <w:rPr>
          <w:rFonts w:cs="Times New Roman"/>
          <w:vertAlign w:val="subscript"/>
        </w:rPr>
        <w:t>2</w:t>
      </w:r>
      <w:r w:rsidRPr="00DA7323">
        <w:rPr>
          <w:rFonts w:cs="Times New Roman"/>
        </w:rPr>
        <w:t xml:space="preserve"> ortamına alınmış ve glikolitik enzimler, glukoz ve laktat taşıyıcılarını kodlayan genlerin transkripsiyonu, normoksik PK4A hücrelerininki ile karşılaştırıldığında upregüle olduğu tespit edilmiş</w:t>
      </w:r>
      <w:r w:rsidR="00525870">
        <w:rPr>
          <w:rFonts w:cs="Times New Roman"/>
        </w:rPr>
        <w:t xml:space="preserve">tir (iki ila yedi kat). Ayrıca </w:t>
      </w:r>
      <w:r w:rsidRPr="00DA7323">
        <w:rPr>
          <w:rFonts w:cs="Times New Roman"/>
        </w:rPr>
        <w:t>48 ve 72 saat hipoksiden sonra normoksik hücrelere göre iki kat daha fazla glukoz ve la</w:t>
      </w:r>
      <w:r w:rsidR="00525870">
        <w:rPr>
          <w:rFonts w:cs="Times New Roman"/>
        </w:rPr>
        <w:t>ktat tükettiği ve salgıladığı,</w:t>
      </w:r>
      <w:r w:rsidRPr="00DA7323">
        <w:rPr>
          <w:rFonts w:cs="Times New Roman"/>
        </w:rPr>
        <w:t xml:space="preserve"> bu nedenle metabolik olarak oldukça aktif oldukları görülmüştür. Bu sonuçlar, yüksek glikolitik hücreler içeren PDAC-hipoksik bölgelerin, tümör kitlesinde yaygın olan aşırı </w:t>
      </w:r>
      <w:proofErr w:type="gramStart"/>
      <w:r w:rsidRPr="00DA7323">
        <w:rPr>
          <w:rFonts w:cs="Times New Roman"/>
        </w:rPr>
        <w:t>agresif</w:t>
      </w:r>
      <w:proofErr w:type="gramEnd"/>
      <w:r w:rsidRPr="00DA7323">
        <w:rPr>
          <w:rFonts w:cs="Times New Roman"/>
        </w:rPr>
        <w:t xml:space="preserve"> bölgeleri temsil ettiğini göstermektedir. Glikolitik hücreler tarafından salgılanan laktat fazlasının, tümör istilasını teşvik etmenin yanı sıra, kolon kanseri hücre hatlarında tarif edildiği gibi komşu normoksik kanser hücreleri tarafından glukoza alternatif bir karbon </w:t>
      </w:r>
      <w:r w:rsidRPr="00DA7323">
        <w:rPr>
          <w:rFonts w:cs="Times New Roman"/>
        </w:rPr>
        <w:lastRenderedPageBreak/>
        <w:t>kaynağı olarak kullanılabileceği iyi bilinmektedir (Sonveaux ve ark, 2008). Yine MDA-MB</w:t>
      </w:r>
      <w:r w:rsidR="00A87F9B">
        <w:rPr>
          <w:rFonts w:cs="Times New Roman"/>
        </w:rPr>
        <w:t>-231 hücrelerinin, hipoksi (% 1</w:t>
      </w:r>
      <w:r w:rsidRPr="00DA7323">
        <w:rPr>
          <w:rFonts w:cs="Times New Roman"/>
        </w:rPr>
        <w:t>O</w:t>
      </w:r>
      <w:r w:rsidRPr="00DA7323">
        <w:rPr>
          <w:rFonts w:cs="Times New Roman"/>
          <w:vertAlign w:val="subscript"/>
        </w:rPr>
        <w:t xml:space="preserve">2 </w:t>
      </w:r>
      <w:r w:rsidRPr="00DA7323">
        <w:rPr>
          <w:rFonts w:cs="Times New Roman"/>
        </w:rPr>
        <w:t>) koşulları altında, % 20 O</w:t>
      </w:r>
      <w:r w:rsidRPr="00DA7323">
        <w:rPr>
          <w:rFonts w:cs="Times New Roman"/>
          <w:vertAlign w:val="subscript"/>
        </w:rPr>
        <w:t xml:space="preserve">2 </w:t>
      </w:r>
      <w:r w:rsidRPr="00DA7323">
        <w:rPr>
          <w:rFonts w:cs="Times New Roman"/>
        </w:rPr>
        <w:t xml:space="preserve">içeren ortamda olduğundan daha yüksek miktarda (3 kat daha fazla) laktat salgıladığı ve laktatın sinyal yollarını aktive ederek tümör hücrelerine doğru göçü arttırdığı iddia edilmiştir (Rattigan ve ark, 2012). </w:t>
      </w:r>
    </w:p>
    <w:p w:rsidR="00DA7323" w:rsidRPr="00DA7323" w:rsidRDefault="00DA7323" w:rsidP="00DA7323">
      <w:pPr>
        <w:rPr>
          <w:rFonts w:cs="Times New Roman"/>
          <w:bCs/>
        </w:rPr>
      </w:pPr>
      <w:r w:rsidRPr="00DA7323">
        <w:rPr>
          <w:rFonts w:cs="Times New Roman"/>
        </w:rPr>
        <w:t>MCF-7 hücrelerinde yap</w:t>
      </w:r>
      <w:r w:rsidR="001011D4">
        <w:rPr>
          <w:rFonts w:cs="Times New Roman"/>
        </w:rPr>
        <w:t>ılan</w:t>
      </w:r>
      <w:r w:rsidRPr="00DA7323">
        <w:rPr>
          <w:rFonts w:cs="Times New Roman"/>
        </w:rPr>
        <w:t xml:space="preserve"> bu çalışmada</w:t>
      </w:r>
      <w:r w:rsidR="001011D4">
        <w:rPr>
          <w:rFonts w:cs="Times New Roman"/>
        </w:rPr>
        <w:t>,</w:t>
      </w:r>
      <w:r w:rsidRPr="00DA7323">
        <w:rPr>
          <w:rFonts w:cs="Times New Roman"/>
        </w:rPr>
        <w:t xml:space="preserve"> hücre dışına salınan laktat düzeylerinin hem normoksik hem de hipoksik ortamda zamana bağlı olarak tüm </w:t>
      </w:r>
      <w:proofErr w:type="gramStart"/>
      <w:r w:rsidRPr="00DA7323">
        <w:rPr>
          <w:rFonts w:cs="Times New Roman"/>
        </w:rPr>
        <w:t>konsantrasyonlar</w:t>
      </w:r>
      <w:proofErr w:type="gramEnd"/>
      <w:r w:rsidRPr="00DA7323">
        <w:rPr>
          <w:rFonts w:cs="Times New Roman"/>
        </w:rPr>
        <w:t xml:space="preserve"> için artış gösterdiği, sadece glukoz içermeyen ortamda büyük bir değişim olmadığı görülmüştür. Normoglisemi ve hiperglisemi ortamlarında laktat salınım düzeyleri birbirine yakın olmakla beraber, glukoz içermeyen kontrol gruplarına göre önemli artışlar kaydedilmiştir. Özellikle ileri inkübasyon sürelerinde fark istatistiksel olarak oldukça önem arz etmektedir (p&lt;0,05). Normoksi ortamında dahi hücrelerin aerobik glikolize yöneldiği görülmektedir. Ayrıca hipoksiye maruz bırakılan hücrelerin laktat salınımı istatiksel olarak önem göstermese de normoksik ortamdaki hücrelerden daha fazla bulunmuştur.  Özellikle uzun süreli (48 saat) hipoksi, laktat salınımını </w:t>
      </w:r>
      <w:proofErr w:type="gramStart"/>
      <w:r w:rsidRPr="00DA7323">
        <w:rPr>
          <w:rFonts w:cs="Times New Roman"/>
        </w:rPr>
        <w:t>konsantrasyona</w:t>
      </w:r>
      <w:proofErr w:type="gramEnd"/>
      <w:r w:rsidRPr="00DA7323">
        <w:rPr>
          <w:rFonts w:cs="Times New Roman"/>
        </w:rPr>
        <w:t xml:space="preserve"> bağlı kademeli olarak yükseltmiştir. Bu sonuçlar, elde </w:t>
      </w:r>
      <w:r w:rsidR="001011D4">
        <w:rPr>
          <w:rFonts w:cs="Times New Roman"/>
        </w:rPr>
        <w:t>edilen</w:t>
      </w:r>
      <w:r w:rsidRPr="00DA7323">
        <w:rPr>
          <w:rFonts w:cs="Times New Roman"/>
        </w:rPr>
        <w:t xml:space="preserve"> glukoz tüketimi, hücre migrasyonu ve hücre canlılıkları verileri ile de </w:t>
      </w:r>
      <w:r w:rsidRPr="00DA7323">
        <w:rPr>
          <w:rFonts w:cs="Times New Roman"/>
          <w:bCs/>
        </w:rPr>
        <w:t xml:space="preserve">uyumludur. Glukoz </w:t>
      </w:r>
      <w:proofErr w:type="gramStart"/>
      <w:r w:rsidRPr="00DA7323">
        <w:rPr>
          <w:rFonts w:cs="Times New Roman"/>
          <w:bCs/>
        </w:rPr>
        <w:t>konsantrasyonuna</w:t>
      </w:r>
      <w:proofErr w:type="gramEnd"/>
      <w:r w:rsidRPr="00DA7323">
        <w:rPr>
          <w:rFonts w:cs="Times New Roman"/>
          <w:bCs/>
        </w:rPr>
        <w:t xml:space="preserve"> bağlı artışlar kanserin bir fenomeni olan Crabtree etkisinin çalıştığını göstermektedir. </w:t>
      </w:r>
    </w:p>
    <w:p w:rsidR="00DA7323" w:rsidRPr="00DA7323" w:rsidRDefault="00DA7323" w:rsidP="00DA7323">
      <w:pPr>
        <w:rPr>
          <w:rFonts w:cs="Times New Roman"/>
          <w:bCs/>
        </w:rPr>
      </w:pPr>
      <w:r w:rsidRPr="00DA7323">
        <w:rPr>
          <w:rFonts w:cs="Times New Roman"/>
          <w:bCs/>
        </w:rPr>
        <w:t xml:space="preserve">Piruvattan laktatın oluşumu LDHA enzimi ile gerçekleştirilir. Bazı kanser hücrelerinde LDHA upregüle edilir ve </w:t>
      </w:r>
      <w:proofErr w:type="gramStart"/>
      <w:r w:rsidRPr="00DA7323">
        <w:rPr>
          <w:rFonts w:cs="Times New Roman"/>
          <w:bCs/>
        </w:rPr>
        <w:t>agresif</w:t>
      </w:r>
      <w:proofErr w:type="gramEnd"/>
      <w:r w:rsidRPr="00DA7323">
        <w:rPr>
          <w:rFonts w:cs="Times New Roman"/>
          <w:bCs/>
        </w:rPr>
        <w:t xml:space="preserve"> tümör oluşumu ile alakalıdır. LDHA’nın özofagus skuamoz hücreli karsinom, pankreatik</w:t>
      </w:r>
      <w:r w:rsidRPr="00DA7323">
        <w:rPr>
          <w:rFonts w:cs="Times New Roman"/>
        </w:rPr>
        <w:t xml:space="preserve"> kanser ve oral skuamoz hücreli karsinom gibi kanser türlerinde upregüle olduğu gösterilmiştir </w:t>
      </w:r>
      <w:r w:rsidRPr="003B46BD">
        <w:rPr>
          <w:rFonts w:cs="Times New Roman"/>
          <w:bCs/>
        </w:rPr>
        <w:t>(</w:t>
      </w:r>
      <w:r w:rsidR="003B46BD" w:rsidRPr="003B46BD">
        <w:rPr>
          <w:rFonts w:cs="Times New Roman"/>
          <w:bCs/>
        </w:rPr>
        <w:t xml:space="preserve">Grimm ve ark, 2013; </w:t>
      </w:r>
      <w:r w:rsidRPr="003B46BD">
        <w:rPr>
          <w:rFonts w:cs="Times New Roman"/>
          <w:bCs/>
        </w:rPr>
        <w:t>Rong ve ark, 2013; Yao ve ark, 2013).</w:t>
      </w:r>
      <w:r w:rsidRPr="00DA7323">
        <w:rPr>
          <w:rFonts w:cs="Times New Roman"/>
        </w:rPr>
        <w:t xml:space="preserve"> Mide karsinomlu bir hastada LDHA’nın aşırı ekspresyonunun intratümöraal anjiyogenez, hipoksi ve prognoz </w:t>
      </w:r>
      <w:proofErr w:type="gramStart"/>
      <w:r w:rsidRPr="00DA7323">
        <w:rPr>
          <w:rFonts w:cs="Times New Roman"/>
        </w:rPr>
        <w:t>dahil</w:t>
      </w:r>
      <w:proofErr w:type="gramEnd"/>
      <w:r w:rsidRPr="00DA7323">
        <w:rPr>
          <w:rFonts w:cs="Times New Roman"/>
        </w:rPr>
        <w:t xml:space="preserve"> birçok klinopatolojik parametreyle ilişkili olduğunu göstermiştir (</w:t>
      </w:r>
      <w:r w:rsidR="003B46BD" w:rsidRPr="003B46BD">
        <w:rPr>
          <w:rFonts w:cs="Times New Roman"/>
        </w:rPr>
        <w:t>Kolev ve ark</w:t>
      </w:r>
      <w:r w:rsidR="003B46BD" w:rsidRPr="00DA7323">
        <w:rPr>
          <w:rFonts w:cs="Times New Roman"/>
        </w:rPr>
        <w:t>, 2008</w:t>
      </w:r>
      <w:r w:rsidR="003B46BD">
        <w:rPr>
          <w:rFonts w:cs="Times New Roman"/>
        </w:rPr>
        <w:t xml:space="preserve">; </w:t>
      </w:r>
      <w:r w:rsidRPr="00DA7323">
        <w:rPr>
          <w:rFonts w:cs="Times New Roman"/>
        </w:rPr>
        <w:t>Ga</w:t>
      </w:r>
      <w:r w:rsidR="003B46BD" w:rsidRPr="003B46BD">
        <w:rPr>
          <w:rFonts w:cs="Times New Roman"/>
        </w:rPr>
        <w:t>llo ve ark, 2015</w:t>
      </w:r>
      <w:r w:rsidRPr="00DA7323">
        <w:rPr>
          <w:rFonts w:cs="Times New Roman"/>
        </w:rPr>
        <w:t xml:space="preserve">). LDHA aşırı eksprese olan hastalar yetersiz enzim ekspresyonuna sahip olanlara göre düşük sağ kalım oranına sahip bulunmuştur (Kolev ve </w:t>
      </w:r>
      <w:proofErr w:type="gramStart"/>
      <w:r w:rsidRPr="00DA7323">
        <w:rPr>
          <w:rFonts w:cs="Times New Roman"/>
        </w:rPr>
        <w:t>ark ,2008</w:t>
      </w:r>
      <w:proofErr w:type="gramEnd"/>
      <w:r w:rsidRPr="00DA7323">
        <w:rPr>
          <w:rFonts w:cs="Times New Roman"/>
        </w:rPr>
        <w:t xml:space="preserve">).  LDH'nin upregülasyonunun, hem etkili bir anaerobik/glikolitik metabolizmayı hem de tümör hücrelerinin hipoksik koşullar altında oksijene daha az bağımlı olmasını sağladığı önerilmiştir (Faloppi ve ark, 2016). Bu bilgiler ışığında LDHA’nın tümörün prolifere olması </w:t>
      </w:r>
      <w:r w:rsidRPr="00DA7323">
        <w:rPr>
          <w:rFonts w:cs="Times New Roman"/>
          <w:bCs/>
        </w:rPr>
        <w:t xml:space="preserve">ve malign özellikler sergilemesinde merkezi rol oynadığı ve tümör hücrelerinin hipoksik bir ortamda sağ kalabilmesinin büyük ölçüde LDHA aktivitesine bağlı olduğu görülmüştür. </w:t>
      </w:r>
    </w:p>
    <w:p w:rsidR="001011D4" w:rsidRDefault="00DA7323" w:rsidP="00DA7323">
      <w:pPr>
        <w:rPr>
          <w:rFonts w:cs="Times New Roman"/>
        </w:rPr>
      </w:pPr>
      <w:r w:rsidRPr="00DA7323">
        <w:rPr>
          <w:rFonts w:cs="Times New Roman"/>
          <w:bCs/>
        </w:rPr>
        <w:t xml:space="preserve">ECC-1 ve Ishikawa hücre hatları glikolitik yol değişimlerini değerlendirmek için kültür ortamında farklı glukoz konsantrasyonu ile </w:t>
      </w:r>
      <w:proofErr w:type="gramStart"/>
      <w:r w:rsidRPr="00DA7323">
        <w:rPr>
          <w:rFonts w:cs="Times New Roman"/>
          <w:bCs/>
        </w:rPr>
        <w:t>(</w:t>
      </w:r>
      <w:proofErr w:type="gramEnd"/>
      <w:r w:rsidRPr="00DA7323">
        <w:rPr>
          <w:rFonts w:cs="Times New Roman"/>
          <w:bCs/>
        </w:rPr>
        <w:t>düşük glikoz (LG 1 mM), normal glukoz (NG 5 mM) ve yüksek glikoz (HG 25</w:t>
      </w:r>
      <w:r w:rsidRPr="00DA7323">
        <w:rPr>
          <w:rFonts w:cs="Times New Roman"/>
        </w:rPr>
        <w:t xml:space="preserve"> mM) muamele edilmiş ve her iki hücre hattında da yüksek glukoz gruplarında azalan bir PDH protein ekspresyonu ve artan bir LDHA ekspresyonu </w:t>
      </w:r>
      <w:r w:rsidRPr="00DA7323">
        <w:rPr>
          <w:rFonts w:cs="Times New Roman"/>
        </w:rPr>
        <w:lastRenderedPageBreak/>
        <w:t>gözlemlenmiştir (Han ve ark, 2015). Marín-Hernández ve ark (2014) ise yaptıkları çalışmada, HeLa hücrelerinin normoksik koşulda normoglisemi (5 mM, fizyolojik koşul) , hipoglisemi (</w:t>
      </w:r>
      <w:proofErr w:type="gramStart"/>
      <w:r w:rsidRPr="00DA7323">
        <w:rPr>
          <w:rFonts w:cs="Times New Roman"/>
        </w:rPr>
        <w:t>2.5</w:t>
      </w:r>
      <w:proofErr w:type="gramEnd"/>
      <w:r w:rsidRPr="00DA7323">
        <w:rPr>
          <w:rFonts w:cs="Times New Roman"/>
        </w:rPr>
        <w:t xml:space="preserve"> mM) ve hiperglisemi (25 mM) ortamında 24 saat boyunca kültürlendiğinde hiperglisemiye kıyasla hipoglisemi altında LDHA protein seviyelerinde 7.5-9.3 kat artış olduğunu ancak normoglisemi altında önemli bir değişim olmadığını gözlemlemişlerdir. Hipoglisemik hücrelerde daha yüksek glikolitik akışın, esas olarak, yüksek afiniteli GLUT3 ve HKI izoformları yoluyla glukoz taşınması ve HK reaksiyonlarının artmasından kaynaklandığını ve kanser hücrelerinde glikolizisi arttırmayı tetiklemek için dış glukoz konsantrasyonunu </w:t>
      </w:r>
      <w:proofErr w:type="gramStart"/>
      <w:r w:rsidRPr="00DA7323">
        <w:rPr>
          <w:rFonts w:cs="Times New Roman"/>
        </w:rPr>
        <w:t>2.5</w:t>
      </w:r>
      <w:proofErr w:type="gramEnd"/>
      <w:r w:rsidRPr="00DA7323">
        <w:rPr>
          <w:rFonts w:cs="Times New Roman"/>
        </w:rPr>
        <w:t xml:space="preserve"> mM veya daha azına maruz bırakmak gerektiğini belirlemişlerdir (Marín-Hernández ve ark, 2014). </w:t>
      </w:r>
    </w:p>
    <w:p w:rsidR="00DA7323" w:rsidRPr="00DA7323" w:rsidRDefault="00DA7323" w:rsidP="00DA7323">
      <w:pPr>
        <w:rPr>
          <w:rFonts w:cs="Times New Roman"/>
          <w:bCs/>
        </w:rPr>
      </w:pPr>
      <w:r w:rsidRPr="00DA7323">
        <w:rPr>
          <w:rFonts w:cs="Times New Roman"/>
        </w:rPr>
        <w:t>Yap</w:t>
      </w:r>
      <w:r w:rsidR="001011D4">
        <w:rPr>
          <w:rFonts w:cs="Times New Roman"/>
        </w:rPr>
        <w:t>ılan</w:t>
      </w:r>
      <w:r w:rsidRPr="00DA7323">
        <w:rPr>
          <w:rFonts w:cs="Times New Roman"/>
        </w:rPr>
        <w:t xml:space="preserve"> çalışmada</w:t>
      </w:r>
      <w:r w:rsidR="001011D4">
        <w:rPr>
          <w:rFonts w:cs="Times New Roman"/>
        </w:rPr>
        <w:t>,</w:t>
      </w:r>
      <w:r w:rsidRPr="00DA7323">
        <w:rPr>
          <w:rFonts w:cs="Times New Roman"/>
        </w:rPr>
        <w:t xml:space="preserve"> normoksik ortamda 6, 24 ve 48. saatlerde glukozsuz ve </w:t>
      </w:r>
      <w:proofErr w:type="gramStart"/>
      <w:r w:rsidRPr="00DA7323">
        <w:rPr>
          <w:rFonts w:cs="Times New Roman"/>
        </w:rPr>
        <w:t>5.5</w:t>
      </w:r>
      <w:proofErr w:type="gramEnd"/>
      <w:r w:rsidRPr="00DA7323">
        <w:rPr>
          <w:rFonts w:cs="Times New Roman"/>
        </w:rPr>
        <w:t xml:space="preserve"> mM glukoz içeren ortamlarda LDHA miktarlarının 15 ve 55 mM </w:t>
      </w:r>
      <w:r w:rsidRPr="00DA7323">
        <w:rPr>
          <w:rFonts w:cs="Times New Roman"/>
          <w:bCs/>
        </w:rPr>
        <w:t xml:space="preserve">glukoz içeren ortamlara nazaran daha yüksek seyretmesi literatürdeki bilgiyi doğrular niteliktedir. </w:t>
      </w:r>
    </w:p>
    <w:p w:rsidR="00DA7323" w:rsidRPr="00DA7323" w:rsidRDefault="00DA7323" w:rsidP="00DA7323">
      <w:pPr>
        <w:rPr>
          <w:rFonts w:cs="Times New Roman"/>
          <w:bCs/>
        </w:rPr>
      </w:pPr>
      <w:r w:rsidRPr="00DA7323">
        <w:rPr>
          <w:rFonts w:cs="Times New Roman"/>
          <w:bCs/>
        </w:rPr>
        <w:t xml:space="preserve">Cui ve ark (2017), insan pankreatik kanser (PC) hücre hatları olan PANC-1 ve CFPAC-1’i, hipoksi (% </w:t>
      </w:r>
      <w:proofErr w:type="gramStart"/>
      <w:r w:rsidRPr="00DA7323">
        <w:rPr>
          <w:rFonts w:cs="Times New Roman"/>
          <w:bCs/>
        </w:rPr>
        <w:t>0.1</w:t>
      </w:r>
      <w:proofErr w:type="gramEnd"/>
      <w:r w:rsidRPr="00DA7323">
        <w:rPr>
          <w:rFonts w:cs="Times New Roman"/>
          <w:bCs/>
        </w:rPr>
        <w:t xml:space="preserve"> O2</w:t>
      </w:r>
      <w:r w:rsidRPr="00DA7323">
        <w:rPr>
          <w:rFonts w:cs="Times New Roman"/>
        </w:rPr>
        <w:t>) veya normoksi (% 20 O</w:t>
      </w:r>
      <w:r w:rsidRPr="00DA7323">
        <w:rPr>
          <w:rFonts w:cs="Times New Roman"/>
          <w:vertAlign w:val="subscript"/>
        </w:rPr>
        <w:t>2</w:t>
      </w:r>
      <w:r w:rsidRPr="00DA7323">
        <w:rPr>
          <w:rFonts w:cs="Times New Roman"/>
        </w:rPr>
        <w:t>) koşullarına tabi tutmuş, hipoksi altında kültürlenen hem PANC-1 hem de CFPAC-1 hücrelerinde LDHA mRNA düzeylerinin normoksik ortama göre önemli ölçüde arttığını (p &lt;0.01) tespit etmişlerdir. Marín-Hernández ve ark (2016) ise, orta şiddette hipoksi (%1 0</w:t>
      </w:r>
      <w:r w:rsidRPr="00DA7323">
        <w:rPr>
          <w:rFonts w:cs="Times New Roman"/>
          <w:vertAlign w:val="subscript"/>
        </w:rPr>
        <w:t>2</w:t>
      </w:r>
      <w:r w:rsidRPr="00DA7323">
        <w:rPr>
          <w:rFonts w:cs="Times New Roman"/>
        </w:rPr>
        <w:t>)/hipoglisemi altında (hipoksi/normoglisemiye karşı) LDH miktarı ile aktivitesinin ve glikolitik akışın değişmediğini gözlemlemişlerdir. Aynı sonuç şiddetli hipoksik ortamda (%0,1 0</w:t>
      </w:r>
      <w:r w:rsidRPr="00DA7323">
        <w:rPr>
          <w:rFonts w:cs="Times New Roman"/>
          <w:vertAlign w:val="subscript"/>
        </w:rPr>
        <w:t>2</w:t>
      </w:r>
      <w:r w:rsidRPr="00DA7323">
        <w:rPr>
          <w:rFonts w:cs="Times New Roman"/>
        </w:rPr>
        <w:t xml:space="preserve">) da görülmüştür. Burada ROS tarafından veya </w:t>
      </w:r>
      <w:r w:rsidRPr="00DA7323">
        <w:rPr>
          <w:rFonts w:cs="Times New Roman"/>
          <w:bCs/>
        </w:rPr>
        <w:t xml:space="preserve">p53 aktivasyonu ile dolaylı olarak glikolitik inaktivasyonun gerçekleşmiş olabileceğine dair bir yorumda bulunulmuştur. </w:t>
      </w:r>
    </w:p>
    <w:p w:rsidR="00DA7323" w:rsidRPr="00DA7323" w:rsidRDefault="00DA7323" w:rsidP="00DA7323">
      <w:pPr>
        <w:rPr>
          <w:rFonts w:cs="Times New Roman"/>
          <w:bCs/>
        </w:rPr>
      </w:pPr>
      <w:r w:rsidRPr="00DA7323">
        <w:rPr>
          <w:rFonts w:cs="Times New Roman"/>
          <w:bCs/>
        </w:rPr>
        <w:t>MCF-7 hücrelerinde</w:t>
      </w:r>
      <w:r w:rsidRPr="00DA7323">
        <w:rPr>
          <w:rFonts w:cs="Times New Roman"/>
        </w:rPr>
        <w:t xml:space="preserve"> normoksik ortamda zamana bağlı olarak </w:t>
      </w:r>
      <w:r w:rsidR="001011D4">
        <w:rPr>
          <w:rFonts w:cs="Times New Roman"/>
        </w:rPr>
        <w:t>incelenen</w:t>
      </w:r>
      <w:r w:rsidRPr="00DA7323">
        <w:rPr>
          <w:rFonts w:cs="Times New Roman"/>
        </w:rPr>
        <w:t xml:space="preserve"> LDHA miktarlarının ilk 24 saat boyunca her </w:t>
      </w:r>
      <w:proofErr w:type="gramStart"/>
      <w:r w:rsidRPr="00DA7323">
        <w:rPr>
          <w:rFonts w:cs="Times New Roman"/>
        </w:rPr>
        <w:t>konsantrasyon</w:t>
      </w:r>
      <w:proofErr w:type="gramEnd"/>
      <w:r w:rsidRPr="00DA7323">
        <w:rPr>
          <w:rFonts w:cs="Times New Roman"/>
        </w:rPr>
        <w:t xml:space="preserve"> için azalım gösterdiği, 24.saatten sonra ise enzimin arttığı; hipoksik koşullarda ise zamana bağlı kademeli bir şekilde sürekli azaldığı görülmüştür. Bu durum LDHA’nın normoksik ortamda HIF-1α’</w:t>
      </w:r>
      <w:proofErr w:type="gramStart"/>
      <w:r w:rsidRPr="00DA7323">
        <w:rPr>
          <w:rFonts w:cs="Times New Roman"/>
        </w:rPr>
        <w:t>dan</w:t>
      </w:r>
      <w:proofErr w:type="gramEnd"/>
      <w:r w:rsidRPr="00DA7323">
        <w:rPr>
          <w:rFonts w:cs="Times New Roman"/>
        </w:rPr>
        <w:t xml:space="preserve"> bağımsız bir yolla glikolizin tetiklemesi sonucu etkin bir şekilde üretildiğini, uzun süreli hipokside ise literatürde görüldüğü gibi oluşan ROS miktarına bağlı glikolitik akışın inhibe olduğunu  düşündürmüştür. Konsantrasyona bağlı incelendiğinde özellikle hipokside yüksek glukoz (55 mM) içeren ortamda enzim seviyesinin 15mM glukoz ortamına göre 2 kat azalış göstermesi de </w:t>
      </w:r>
      <w:r w:rsidRPr="00DA7323">
        <w:rPr>
          <w:rFonts w:cs="Times New Roman"/>
          <w:bCs/>
        </w:rPr>
        <w:t xml:space="preserve">glukoz </w:t>
      </w:r>
      <w:proofErr w:type="gramStart"/>
      <w:r w:rsidRPr="00DA7323">
        <w:rPr>
          <w:rFonts w:cs="Times New Roman"/>
          <w:bCs/>
        </w:rPr>
        <w:t>konsantrasyonu</w:t>
      </w:r>
      <w:proofErr w:type="gramEnd"/>
      <w:r w:rsidRPr="00DA7323">
        <w:rPr>
          <w:rFonts w:cs="Times New Roman"/>
          <w:bCs/>
        </w:rPr>
        <w:t xml:space="preserve"> artışına bağlı olarak yüksek miktarda laktat oluşumunun LDHA enzim sentezini </w:t>
      </w:r>
      <w:r w:rsidR="0072360C">
        <w:rPr>
          <w:rFonts w:cs="Times New Roman"/>
          <w:bCs/>
        </w:rPr>
        <w:t>bloke etmiş</w:t>
      </w:r>
      <w:r w:rsidR="00916176">
        <w:rPr>
          <w:rFonts w:cs="Times New Roman"/>
          <w:bCs/>
        </w:rPr>
        <w:t xml:space="preserve"> olabileceğini</w:t>
      </w:r>
      <w:r w:rsidRPr="00DA7323">
        <w:rPr>
          <w:rFonts w:cs="Times New Roman"/>
          <w:bCs/>
        </w:rPr>
        <w:t xml:space="preserve"> göstermiştir.  </w:t>
      </w:r>
    </w:p>
    <w:p w:rsidR="00DA7323" w:rsidRPr="00DA7323" w:rsidRDefault="00DA7323" w:rsidP="00DA7323">
      <w:pPr>
        <w:rPr>
          <w:rFonts w:cs="Times New Roman"/>
          <w:bCs/>
        </w:rPr>
      </w:pPr>
      <w:r w:rsidRPr="00DA7323">
        <w:rPr>
          <w:rFonts w:cs="Times New Roman"/>
          <w:bCs/>
        </w:rPr>
        <w:t>Glikolitik metabolizmanın</w:t>
      </w:r>
      <w:r w:rsidRPr="00DA7323">
        <w:rPr>
          <w:rFonts w:cs="Times New Roman"/>
        </w:rPr>
        <w:t xml:space="preserve"> anahtar bir enzimi olan PKM2, tümör hücrelerinde glikolitik enerji rejenerasyonu ve hücre yapı taşlarının sentezi arasındaki dengeyi sağlar (Spoden ve ark, </w:t>
      </w:r>
      <w:r w:rsidRPr="00DA7323">
        <w:rPr>
          <w:rFonts w:cs="Times New Roman"/>
        </w:rPr>
        <w:lastRenderedPageBreak/>
        <w:t xml:space="preserve">2009). PKM2 kanser metabolizmasında düzenleyici rolünün yanı sıra aynı zamanda kanser hücrelerinin proliferasyonu ve apoptozu üzerinde de önemli etkilere sahiptir ve PKM2'nin tümör büyümesi, tümör istilası ve metastazda büyük bir rol oynadığı da ortaya konmuştur (Christofk ve ark, 2008; Shuch ve ark, 2013; Li ve ark, 2019). Prostat, meme, serviks, böbrek, mesane ve kolon kanseri gibi çeşitli </w:t>
      </w:r>
      <w:proofErr w:type="gramStart"/>
      <w:r w:rsidRPr="00DA7323">
        <w:rPr>
          <w:rFonts w:cs="Times New Roman"/>
        </w:rPr>
        <w:t>kanser  türlerinde</w:t>
      </w:r>
      <w:proofErr w:type="gramEnd"/>
      <w:r w:rsidRPr="00DA7323">
        <w:rPr>
          <w:rFonts w:cs="Times New Roman"/>
        </w:rPr>
        <w:t xml:space="preserve"> PKM2’nin ekspresyonunun artış gösterdiği saptanmıştır (Bluemlein ve ark, 2011; Feng ve ark, 2013). Yapılan çalışmalar ortamdaki aşırı glukozun glikolitik ilişkili gen HK2 ve PKM2 ekspresyonunu indüklediğini göstermiştir (</w:t>
      </w:r>
      <w:r w:rsidR="003B46BD" w:rsidRPr="003B46BD">
        <w:rPr>
          <w:rFonts w:cs="Times New Roman"/>
        </w:rPr>
        <w:t xml:space="preserve">Mathupula ve ark, 2006; </w:t>
      </w:r>
      <w:r w:rsidRPr="00DA7323">
        <w:rPr>
          <w:rFonts w:cs="Times New Roman"/>
        </w:rPr>
        <w:t xml:space="preserve">Liu </w:t>
      </w:r>
      <w:r w:rsidRPr="003B46BD">
        <w:rPr>
          <w:rFonts w:cs="Times New Roman"/>
        </w:rPr>
        <w:t>ve ark, 2013; Yang ve Lu, 2013</w:t>
      </w:r>
      <w:r w:rsidRPr="00DA7323">
        <w:rPr>
          <w:rFonts w:cs="Times New Roman"/>
        </w:rPr>
        <w:t>). Christofk ve ark (</w:t>
      </w:r>
      <w:r w:rsidRPr="00DA7323">
        <w:rPr>
          <w:rFonts w:cs="Times New Roman"/>
          <w:bCs/>
        </w:rPr>
        <w:t>2008), PKM2 ekspresyonunun artan glukoz alımı ve laktat üretimi ile ilişkili olduğunu ve kanser hücrelerinde O</w:t>
      </w:r>
      <w:r w:rsidRPr="00916176">
        <w:rPr>
          <w:rFonts w:cs="Times New Roman"/>
          <w:bCs/>
          <w:vertAlign w:val="subscript"/>
        </w:rPr>
        <w:t>2</w:t>
      </w:r>
      <w:r w:rsidRPr="00DA7323">
        <w:rPr>
          <w:rFonts w:cs="Times New Roman"/>
          <w:bCs/>
        </w:rPr>
        <w:t xml:space="preserve"> tüketimini azalttığını </w:t>
      </w:r>
      <w:r w:rsidR="006F6349">
        <w:rPr>
          <w:rFonts w:cs="Times New Roman"/>
          <w:bCs/>
        </w:rPr>
        <w:t>rapor etmişlerdir</w:t>
      </w:r>
      <w:r w:rsidRPr="00DA7323">
        <w:rPr>
          <w:rFonts w:cs="Times New Roman"/>
          <w:bCs/>
        </w:rPr>
        <w:t xml:space="preserve">. </w:t>
      </w:r>
    </w:p>
    <w:p w:rsidR="00CB0B31" w:rsidRDefault="00DA7323" w:rsidP="00DA7323">
      <w:pPr>
        <w:rPr>
          <w:rFonts w:cs="Times New Roman"/>
        </w:rPr>
      </w:pPr>
      <w:r w:rsidRPr="00DA7323">
        <w:rPr>
          <w:rFonts w:cs="Times New Roman"/>
          <w:bCs/>
        </w:rPr>
        <w:t>Marín-Hernández ve ark (2014), farklı glukoz koşullarına maruz bırakmış olduğu HeLa hücrelerinin hiperglisemiye (25</w:t>
      </w:r>
      <w:r w:rsidRPr="00DA7323">
        <w:rPr>
          <w:rFonts w:cs="Times New Roman"/>
        </w:rPr>
        <w:t xml:space="preserve"> mM) kıyasla hipoglisemik (2,5 mM) ortamda piruvat kinaz izoformlarının (PK-R, PK-L, PK-M2) ve LDHA protein seviyelerinin 7,5-9,9 kat artış gösterdiğini belirlemiştir. Wang ve ark (2017) ise, yüksek glukoz ortamında kültürlenen (11.1mM, 16.7mM ve 25.0mM) dil skuamöz karsinom hücrelerinde (TSCC) normal glukoz ortamında kültürlenenlere göre PKM2 protein seviyelerinde artış gözlemlemişlerdir. Yüksek glukozun PKM2 yolunun uyarılması yoluyla TSCC'nin metastatik potansiyelin</w:t>
      </w:r>
      <w:r w:rsidR="001F50D7">
        <w:rPr>
          <w:rFonts w:cs="Times New Roman"/>
        </w:rPr>
        <w:t xml:space="preserve">i arttırdığı tespit </w:t>
      </w:r>
      <w:r w:rsidR="001F50D7" w:rsidRPr="003B46BD">
        <w:rPr>
          <w:rFonts w:cs="Times New Roman"/>
        </w:rPr>
        <w:t>edilmiştir.</w:t>
      </w:r>
    </w:p>
    <w:p w:rsidR="00DA7323" w:rsidRPr="00DA7323" w:rsidRDefault="00DA7323" w:rsidP="00DA7323">
      <w:pPr>
        <w:rPr>
          <w:rFonts w:cs="Times New Roman"/>
          <w:bCs/>
        </w:rPr>
      </w:pPr>
      <w:r w:rsidRPr="00DA7323">
        <w:rPr>
          <w:rFonts w:cs="Times New Roman"/>
        </w:rPr>
        <w:t>Yap</w:t>
      </w:r>
      <w:r w:rsidR="00CB0B31">
        <w:rPr>
          <w:rFonts w:cs="Times New Roman"/>
        </w:rPr>
        <w:t>ılan</w:t>
      </w:r>
      <w:r w:rsidRPr="00DA7323">
        <w:rPr>
          <w:rFonts w:cs="Times New Roman"/>
        </w:rPr>
        <w:t xml:space="preserve"> çalışmada</w:t>
      </w:r>
      <w:r w:rsidR="00CB0B31">
        <w:rPr>
          <w:rFonts w:cs="Times New Roman"/>
        </w:rPr>
        <w:t>,</w:t>
      </w:r>
      <w:r w:rsidRPr="00DA7323">
        <w:rPr>
          <w:rFonts w:cs="Times New Roman"/>
        </w:rPr>
        <w:t xml:space="preserve"> MCF-7 hücrelerinde glukoz </w:t>
      </w:r>
      <w:proofErr w:type="gramStart"/>
      <w:r w:rsidRPr="00DA7323">
        <w:rPr>
          <w:rFonts w:cs="Times New Roman"/>
        </w:rPr>
        <w:t>konsantrasyonundan</w:t>
      </w:r>
      <w:proofErr w:type="gramEnd"/>
      <w:r w:rsidRPr="00DA7323">
        <w:rPr>
          <w:rFonts w:cs="Times New Roman"/>
        </w:rPr>
        <w:t xml:space="preserve"> ziyade inkübasyon sürelerinin PKM2 enzim miktarları üzerine etkisi daha belirgin olmuştur. Normoksik ortamda ilk 6 saatte enzim miktarının maksimum düzeyde olması hücrelerin kısa süreli inkübasyon içinde glikoliz yolağını çalıştırdığının ve PKM2 sentezini başlattığının göstergesi olabilir. İlerleyen sürelerde enzim miktarı</w:t>
      </w:r>
      <w:r w:rsidR="00CB0B31" w:rsidRPr="00CB0B31">
        <w:rPr>
          <w:rFonts w:cs="Times New Roman"/>
        </w:rPr>
        <w:t xml:space="preserve"> </w:t>
      </w:r>
      <w:r w:rsidR="00CB0B31" w:rsidRPr="00DA7323">
        <w:rPr>
          <w:rFonts w:cs="Times New Roman"/>
        </w:rPr>
        <w:t>azal</w:t>
      </w:r>
      <w:r w:rsidR="00CB0B31">
        <w:rPr>
          <w:rFonts w:cs="Times New Roman"/>
        </w:rPr>
        <w:t>ması,</w:t>
      </w:r>
      <w:r w:rsidRPr="00DA7323">
        <w:rPr>
          <w:rFonts w:cs="Times New Roman"/>
        </w:rPr>
        <w:t xml:space="preserve"> </w:t>
      </w:r>
      <w:r w:rsidR="00525870">
        <w:rPr>
          <w:rFonts w:cs="Times New Roman"/>
        </w:rPr>
        <w:t>bu inkübasyonlarda</w:t>
      </w:r>
      <w:r w:rsidRPr="00DA7323">
        <w:rPr>
          <w:rFonts w:cs="Times New Roman"/>
        </w:rPr>
        <w:t xml:space="preserve"> </w:t>
      </w:r>
      <w:r w:rsidR="00CB0B31" w:rsidRPr="00DA7323">
        <w:rPr>
          <w:rFonts w:cs="Times New Roman"/>
        </w:rPr>
        <w:t>enzim sentezinin</w:t>
      </w:r>
      <w:r w:rsidR="00CB0B31">
        <w:rPr>
          <w:rFonts w:cs="Times New Roman"/>
        </w:rPr>
        <w:t xml:space="preserve"> </w:t>
      </w:r>
      <w:r w:rsidR="0072360C">
        <w:rPr>
          <w:rFonts w:cs="Times New Roman"/>
        </w:rPr>
        <w:t>durdurulduğunu</w:t>
      </w:r>
      <w:r w:rsidR="00DF6AFC">
        <w:rPr>
          <w:rFonts w:cs="Times New Roman"/>
        </w:rPr>
        <w:t xml:space="preserve">, </w:t>
      </w:r>
      <w:r w:rsidR="00CB0B31">
        <w:rPr>
          <w:rFonts w:cs="Times New Roman"/>
        </w:rPr>
        <w:t xml:space="preserve">ortamda </w:t>
      </w:r>
      <w:r w:rsidR="00525870">
        <w:rPr>
          <w:rFonts w:cs="Times New Roman"/>
        </w:rPr>
        <w:t xml:space="preserve">birikim gösteren </w:t>
      </w:r>
      <w:r w:rsidRPr="00DA7323">
        <w:rPr>
          <w:rFonts w:cs="Times New Roman"/>
        </w:rPr>
        <w:t xml:space="preserve">PEP, 3PG, G6P gibi glikolitik akışın yukarısındaki diğer ara maddelerin anabolik öncül molekülleri ve antioksidanları </w:t>
      </w:r>
      <w:r w:rsidRPr="00DA7323">
        <w:rPr>
          <w:rFonts w:cs="Times New Roman"/>
          <w:bCs/>
        </w:rPr>
        <w:t>sentezleyebilmek adına PPP gibi diğer yolaklara yönlendirildiği</w:t>
      </w:r>
      <w:r w:rsidR="00CB0B31">
        <w:rPr>
          <w:rFonts w:cs="Times New Roman"/>
          <w:bCs/>
        </w:rPr>
        <w:t>ni</w:t>
      </w:r>
      <w:r w:rsidRPr="00DA7323">
        <w:rPr>
          <w:rFonts w:cs="Times New Roman"/>
          <w:bCs/>
        </w:rPr>
        <w:t xml:space="preserve"> </w:t>
      </w:r>
      <w:r w:rsidR="00CB0B31">
        <w:rPr>
          <w:rFonts w:cs="Times New Roman"/>
          <w:bCs/>
        </w:rPr>
        <w:t>düşündürmüştür</w:t>
      </w:r>
      <w:r w:rsidRPr="00DA7323">
        <w:rPr>
          <w:rFonts w:cs="Times New Roman"/>
          <w:bCs/>
        </w:rPr>
        <w:t xml:space="preserve">. 24. saatten sonra ise PKM2 enzim miktarında tekrar artış şekillenmiştir. </w:t>
      </w:r>
    </w:p>
    <w:p w:rsidR="00DA7323" w:rsidRPr="00DA7323" w:rsidRDefault="00DA7323" w:rsidP="00DA7323">
      <w:pPr>
        <w:rPr>
          <w:rFonts w:cs="Times New Roman"/>
          <w:bCs/>
        </w:rPr>
      </w:pPr>
      <w:r w:rsidRPr="00DA7323">
        <w:rPr>
          <w:rFonts w:cs="Times New Roman"/>
          <w:bCs/>
        </w:rPr>
        <w:t>PKM2 sadece</w:t>
      </w:r>
      <w:r w:rsidRPr="00DA7323">
        <w:rPr>
          <w:rFonts w:cs="Times New Roman"/>
        </w:rPr>
        <w:t xml:space="preserve"> glikolizde rol oynamakla kalmaz, aynı zamanda nukleusta bir protein kinaz veya transkripsiyonel koaktivatör görevi görür. PKM2'nin HeLa servikal karsinom ve Hep3B hepatoblastom hücrelerinin nükleusunda HIF-lα ile etkileştiği ve transkripsiyonel bir koaktivatör olarak işlev gördüğü bulunmuştur ( Luo ve Semenza, 2011). PKM2’nin HIF-lα ile bağlanması hedef genler olan SLC2A1 (glukoz taşıyıcı 1 kodlayan), LDHA ve PDK1'in HeLa ve Hep3B hücrelerinde transaktivasyonunu arttırmıştır. HIF-1 hedef genlerinin PKM2 ile uyarılan ekspresyonu, oksidatif fosforilasyondan glikolitik metabolizmaya geçişi teşvik eder </w:t>
      </w:r>
      <w:r w:rsidRPr="00DA7323">
        <w:rPr>
          <w:rFonts w:cs="Times New Roman"/>
        </w:rPr>
        <w:lastRenderedPageBreak/>
        <w:t xml:space="preserve">(Luo ve Semenza, 2011). Metabolizmanın hipoksik </w:t>
      </w:r>
      <w:proofErr w:type="gramStart"/>
      <w:r w:rsidRPr="00DA7323">
        <w:rPr>
          <w:rFonts w:cs="Times New Roman"/>
        </w:rPr>
        <w:t>regülasyonunda</w:t>
      </w:r>
      <w:proofErr w:type="gramEnd"/>
      <w:r w:rsidRPr="00DA7323">
        <w:rPr>
          <w:rFonts w:cs="Times New Roman"/>
        </w:rPr>
        <w:t xml:space="preserve"> da bir rolü olup olmadığını belirlemek amacıyla insan embriyonik kök hücrelerinde (hESCs)'lerde PKM2 ekspresyonu araştırılmıştır (Christensen ve ark, 2015). Oksijen seviyeleri değişken kültür koşullarına tabi tutulan hücrelerde normoksik ortamdaki (%20 0</w:t>
      </w:r>
      <w:r w:rsidRPr="00DA7323">
        <w:rPr>
          <w:rFonts w:cs="Times New Roman"/>
          <w:vertAlign w:val="subscript"/>
        </w:rPr>
        <w:t>2</w:t>
      </w:r>
      <w:r w:rsidRPr="00DA7323">
        <w:rPr>
          <w:rFonts w:cs="Times New Roman"/>
        </w:rPr>
        <w:t xml:space="preserve">) hESCs’lerde PKM2 </w:t>
      </w:r>
      <w:r w:rsidRPr="00DA7323">
        <w:rPr>
          <w:rFonts w:cs="Times New Roman"/>
          <w:bCs/>
        </w:rPr>
        <w:t>ekspresyonu hipoksik ortamdaki (%5 0</w:t>
      </w:r>
      <w:r w:rsidRPr="00916176">
        <w:rPr>
          <w:rFonts w:cs="Times New Roman"/>
          <w:bCs/>
          <w:vertAlign w:val="subscript"/>
        </w:rPr>
        <w:t>2</w:t>
      </w:r>
      <w:r w:rsidRPr="00DA7323">
        <w:rPr>
          <w:rFonts w:cs="Times New Roman"/>
          <w:bCs/>
        </w:rPr>
        <w:t xml:space="preserve">) hücrelere kıyasla önemli oranda daha düşük bulunmuştur. </w:t>
      </w:r>
    </w:p>
    <w:p w:rsidR="00DA7323" w:rsidRPr="00DA7323" w:rsidRDefault="00DA7323" w:rsidP="00DA7323">
      <w:pPr>
        <w:rPr>
          <w:rFonts w:cs="Times New Roman"/>
          <w:bCs/>
        </w:rPr>
      </w:pPr>
      <w:r w:rsidRPr="00DA7323">
        <w:rPr>
          <w:rFonts w:cs="Times New Roman"/>
          <w:bCs/>
        </w:rPr>
        <w:t>Hipoksik ortamda gözlemle</w:t>
      </w:r>
      <w:r w:rsidR="00CB0B31">
        <w:rPr>
          <w:rFonts w:cs="Times New Roman"/>
          <w:bCs/>
        </w:rPr>
        <w:t>nen</w:t>
      </w:r>
      <w:r w:rsidRPr="00DA7323">
        <w:rPr>
          <w:rFonts w:cs="Times New Roman"/>
        </w:rPr>
        <w:t xml:space="preserve"> MCF-7 hücrelerinde</w:t>
      </w:r>
      <w:r w:rsidR="00CB0B31">
        <w:rPr>
          <w:rFonts w:cs="Times New Roman"/>
        </w:rPr>
        <w:t>,</w:t>
      </w:r>
      <w:r w:rsidRPr="00DA7323">
        <w:rPr>
          <w:rFonts w:cs="Times New Roman"/>
        </w:rPr>
        <w:t xml:space="preserve"> normoksik ortamdakine benzer şekilde </w:t>
      </w:r>
      <w:smartTag w:uri="urn:schemas-microsoft-com:office:smarttags" w:element="metricconverter">
        <w:smartTagPr>
          <w:attr w:name="ProductID" w:val="0 mM"/>
        </w:smartTagPr>
        <w:r w:rsidRPr="00DA7323">
          <w:rPr>
            <w:rFonts w:cs="Times New Roman"/>
          </w:rPr>
          <w:t>0 mM</w:t>
        </w:r>
      </w:smartTag>
      <w:r w:rsidRPr="00DA7323">
        <w:rPr>
          <w:rFonts w:cs="Times New Roman"/>
        </w:rPr>
        <w:t xml:space="preserve"> hariç diğer tüm uygulama gruplarında 6.saatte enzim miktarının maksimum olduğu ve bu saatten sonra giderek enzim seviye</w:t>
      </w:r>
      <w:r w:rsidR="006F6349">
        <w:rPr>
          <w:rFonts w:cs="Times New Roman"/>
        </w:rPr>
        <w:t>lerin</w:t>
      </w:r>
      <w:r w:rsidRPr="00DA7323">
        <w:rPr>
          <w:rFonts w:cs="Times New Roman"/>
        </w:rPr>
        <w:t xml:space="preserve">de düşme gerçekleştiği, yüksek </w:t>
      </w:r>
      <w:proofErr w:type="gramStart"/>
      <w:r w:rsidRPr="00DA7323">
        <w:rPr>
          <w:rFonts w:cs="Times New Roman"/>
        </w:rPr>
        <w:t>konsantrasyonlu</w:t>
      </w:r>
      <w:proofErr w:type="gramEnd"/>
      <w:r w:rsidRPr="00DA7323">
        <w:rPr>
          <w:rFonts w:cs="Times New Roman"/>
        </w:rPr>
        <w:t xml:space="preserve"> glukoz ortamlarında 24. saatten sonra enzim miktarında tekrar artış </w:t>
      </w:r>
      <w:r w:rsidR="00CB0B31">
        <w:rPr>
          <w:rFonts w:cs="Times New Roman"/>
        </w:rPr>
        <w:t>şekillendiği</w:t>
      </w:r>
      <w:r w:rsidRPr="00DA7323">
        <w:rPr>
          <w:rFonts w:cs="Times New Roman"/>
        </w:rPr>
        <w:t xml:space="preserve"> görülmüştür. Bu durum 24. saatten sonra 15 ve </w:t>
      </w:r>
      <w:smartTag w:uri="urn:schemas-microsoft-com:office:smarttags" w:element="metricconverter">
        <w:smartTagPr>
          <w:attr w:name="ProductID" w:val="55 mM"/>
        </w:smartTagPr>
        <w:r w:rsidRPr="00DA7323">
          <w:rPr>
            <w:rFonts w:cs="Times New Roman"/>
          </w:rPr>
          <w:t>55 mM</w:t>
        </w:r>
      </w:smartTag>
      <w:r w:rsidRPr="00DA7323">
        <w:rPr>
          <w:rFonts w:cs="Times New Roman"/>
        </w:rPr>
        <w:t xml:space="preserve"> glukoz ortamlarında hipoksinin HIF1α yolağını tetiklediğini ve yüksek glukoz varlığı ile birlikte glikolitik enzimlerin ve glikolitik yol</w:t>
      </w:r>
      <w:r w:rsidR="002611C7">
        <w:rPr>
          <w:rFonts w:cs="Times New Roman"/>
        </w:rPr>
        <w:t xml:space="preserve">ağın işlediğini göstermektedir. </w:t>
      </w:r>
      <w:r w:rsidRPr="00DA7323">
        <w:rPr>
          <w:rFonts w:cs="Times New Roman"/>
        </w:rPr>
        <w:t xml:space="preserve">Normoksik ortamda enzim miktarlarının hipoksik ortama göre daha yüksek seyretmesi </w:t>
      </w:r>
      <w:proofErr w:type="gramStart"/>
      <w:r w:rsidRPr="00DA7323">
        <w:rPr>
          <w:rFonts w:cs="Times New Roman"/>
        </w:rPr>
        <w:t>literatürdeki</w:t>
      </w:r>
      <w:proofErr w:type="gramEnd"/>
      <w:r w:rsidRPr="00DA7323">
        <w:rPr>
          <w:rFonts w:cs="Times New Roman"/>
        </w:rPr>
        <w:t xml:space="preserve"> </w:t>
      </w:r>
      <w:r w:rsidR="002611C7">
        <w:rPr>
          <w:rFonts w:cs="Times New Roman"/>
        </w:rPr>
        <w:t xml:space="preserve">bazı </w:t>
      </w:r>
      <w:r w:rsidRPr="00DA7323">
        <w:rPr>
          <w:rFonts w:cs="Times New Roman"/>
        </w:rPr>
        <w:t>sonuçlar ile çe</w:t>
      </w:r>
      <w:r w:rsidR="00840183">
        <w:rPr>
          <w:rFonts w:cs="Times New Roman"/>
        </w:rPr>
        <w:t>lişmektedir. Bu durum enzimlerde, hücrenin</w:t>
      </w:r>
      <w:r w:rsidRPr="00DA7323">
        <w:rPr>
          <w:rFonts w:cs="Times New Roman"/>
        </w:rPr>
        <w:t xml:space="preserve"> bulunduğu ortama ve hipoksiden aldığı etkiye bağlı olarak mRNA ve protein varyasyonlarındaki </w:t>
      </w:r>
      <w:r w:rsidRPr="00DA7323">
        <w:rPr>
          <w:rFonts w:cs="Times New Roman"/>
          <w:bCs/>
        </w:rPr>
        <w:t xml:space="preserve">oluşumların değişkenlik gösterdiğini kanıtlamaktadır. </w:t>
      </w:r>
    </w:p>
    <w:p w:rsidR="00DA7323" w:rsidRPr="00DA7323" w:rsidRDefault="00DA7323" w:rsidP="00DA7323">
      <w:pPr>
        <w:rPr>
          <w:rFonts w:cs="Times New Roman"/>
          <w:bCs/>
        </w:rPr>
      </w:pPr>
      <w:r w:rsidRPr="00DA7323">
        <w:rPr>
          <w:rFonts w:cs="Times New Roman"/>
          <w:bCs/>
        </w:rPr>
        <w:t>Glikolizin hipoksi ile aktivasyonu, glukoz kullanan diğer metabolik yollarla koordine edilmelidir (Gao ve ark, 2004</w:t>
      </w:r>
      <w:r w:rsidRPr="00DA7323">
        <w:rPr>
          <w:rFonts w:cs="Times New Roman"/>
        </w:rPr>
        <w:t xml:space="preserve">). Bu metabolik yollardan biri olan PPP’de önemli rol oynayan G6PD enzimi, riboz-5-fosfat ve NADPH üreten hız sınırlayıcı kilit bir enzimdir. Antioksidan sistemin tüm bileşenleri hücre sağ kalımı için önemli olmasına rağmen, G6PD, peroksidazların antioksidan etkisini destekleyen hücre içi indirgeyici NADPH'nin ana kaynağı olduğu için benzersiz bir role sahiptir (Zhang ve ark, 2010).  Hafif G6PD eksikliğinin bile fare </w:t>
      </w:r>
      <w:r w:rsidRPr="00DA7323">
        <w:rPr>
          <w:rFonts w:cs="Times New Roman"/>
          <w:bCs/>
        </w:rPr>
        <w:t xml:space="preserve">beyninde redoks kontrolü ve oksidatif mutajenezin bozulmasına neden olduğu belirlenmiştir (Felix ve ark, 2002). </w:t>
      </w:r>
    </w:p>
    <w:p w:rsidR="00DA7323" w:rsidRPr="00DA7323" w:rsidRDefault="00F75EAD" w:rsidP="00DA7323">
      <w:pPr>
        <w:rPr>
          <w:rFonts w:cs="Times New Roman"/>
          <w:bCs/>
        </w:rPr>
      </w:pPr>
      <w:r>
        <w:rPr>
          <w:rFonts w:cs="Times New Roman"/>
          <w:bCs/>
        </w:rPr>
        <w:t>Gao ve ark (2004) yaptıkları</w:t>
      </w:r>
      <w:r w:rsidR="00DA7323" w:rsidRPr="00DA7323">
        <w:rPr>
          <w:rFonts w:cs="Times New Roman"/>
          <w:bCs/>
        </w:rPr>
        <w:t xml:space="preserve"> bir çalışmada</w:t>
      </w:r>
      <w:r>
        <w:rPr>
          <w:rFonts w:cs="Times New Roman"/>
          <w:bCs/>
        </w:rPr>
        <w:t>,</w:t>
      </w:r>
      <w:r w:rsidR="00DA7323" w:rsidRPr="00DA7323">
        <w:rPr>
          <w:rFonts w:cs="Times New Roman"/>
          <w:bCs/>
        </w:rPr>
        <w:t xml:space="preserve"> sıçan feokromositoma PC12 hücrelerinde, G6PD gen ekspresyonu ve aktivitesinin doza ve zamana bağlı bir şekilde kronik hipoksi tarafından indüklendiği</w:t>
      </w:r>
      <w:r>
        <w:rPr>
          <w:rFonts w:cs="Times New Roman"/>
          <w:bCs/>
        </w:rPr>
        <w:t>ni</w:t>
      </w:r>
      <w:r w:rsidR="00DA7323" w:rsidRPr="00DA7323">
        <w:rPr>
          <w:rFonts w:cs="Times New Roman"/>
          <w:bCs/>
        </w:rPr>
        <w:t xml:space="preserve"> tespit </w:t>
      </w:r>
      <w:r>
        <w:rPr>
          <w:rFonts w:cs="Times New Roman"/>
          <w:bCs/>
        </w:rPr>
        <w:t>etmişlerdir.</w:t>
      </w:r>
      <w:r w:rsidR="00DA7323" w:rsidRPr="00DA7323">
        <w:rPr>
          <w:rFonts w:cs="Times New Roman"/>
        </w:rPr>
        <w:t xml:space="preserve"> Uzun süreli (72 saat) kronik  hipoksik (%3 0</w:t>
      </w:r>
      <w:r w:rsidR="00DA7323" w:rsidRPr="00DA7323">
        <w:rPr>
          <w:rFonts w:cs="Times New Roman"/>
          <w:vertAlign w:val="subscript"/>
        </w:rPr>
        <w:t>2</w:t>
      </w:r>
      <w:r w:rsidR="00DA7323" w:rsidRPr="00DA7323">
        <w:rPr>
          <w:rFonts w:cs="Times New Roman"/>
        </w:rPr>
        <w:t>)</w:t>
      </w:r>
      <w:r>
        <w:rPr>
          <w:rFonts w:cs="Times New Roman"/>
        </w:rPr>
        <w:t xml:space="preserve"> </w:t>
      </w:r>
      <w:r w:rsidR="00DA7323" w:rsidRPr="00DA7323">
        <w:rPr>
          <w:rFonts w:cs="Times New Roman"/>
        </w:rPr>
        <w:t>muamele kontrole (0. Saat) göre G6PD gen ekspresyonunu 2 katına kadar arttırmıştır. Kronik hipoksi tedavi sonrası G6PD transkriptindeki artışın daha sonra fizyolojik fonksiyonun artmasına neden olup olmadığını da değerlendirmek adına G6PD’nin enzimatik aktivitesi ölçülmüş ve 48 ile 72 saatlik %3 0</w:t>
      </w:r>
      <w:r w:rsidR="00DA7323" w:rsidRPr="00DA7323">
        <w:rPr>
          <w:rFonts w:cs="Times New Roman"/>
          <w:vertAlign w:val="subscript"/>
        </w:rPr>
        <w:t>2</w:t>
      </w:r>
      <w:r w:rsidR="00DA7323" w:rsidRPr="00DA7323">
        <w:rPr>
          <w:rFonts w:cs="Times New Roman"/>
        </w:rPr>
        <w:t xml:space="preserve"> uygulamasından sonra sırasıyla %30 ve %50 artış gerçekleşmiştir. Aynı çalışmada HIF aktivasyonuna oldukça duyarlı bir gen olan </w:t>
      </w:r>
      <w:r w:rsidR="009D7747">
        <w:rPr>
          <w:rFonts w:cs="Times New Roman"/>
        </w:rPr>
        <w:t>PGK-1 enzimi</w:t>
      </w:r>
      <w:r w:rsidR="00DA7323" w:rsidRPr="00DA7323">
        <w:rPr>
          <w:rFonts w:cs="Times New Roman"/>
        </w:rPr>
        <w:t xml:space="preserve"> için hızlı hipoksik indüksiyon gözlenirken G6PD için çok daha yavaş bir indüksiyon </w:t>
      </w:r>
      <w:r w:rsidR="00DA7323" w:rsidRPr="00DA7323">
        <w:rPr>
          <w:rFonts w:cs="Times New Roman"/>
        </w:rPr>
        <w:lastRenderedPageBreak/>
        <w:t>olmuştur, çünkü muhtemelen G6PD HIF’e daha az duyarlıdır ve daha da önemlisi G6PD'nin hipoksik indüksiyonuna ROS aracılık eder ve ortamda ROS birikimi ve düşük p0</w:t>
      </w:r>
      <w:r w:rsidR="00DA7323" w:rsidRPr="00DA7323">
        <w:rPr>
          <w:rFonts w:cs="Times New Roman"/>
          <w:vertAlign w:val="subscript"/>
        </w:rPr>
        <w:t>2</w:t>
      </w:r>
      <w:r w:rsidR="00DA7323" w:rsidRPr="00DA7323">
        <w:rPr>
          <w:rFonts w:cs="Times New Roman"/>
        </w:rPr>
        <w:t xml:space="preserve">’ye uzun süre maruz kalmayı gerektirir. Uzun süre hipoksiye maruz kalma </w:t>
      </w:r>
      <w:r w:rsidR="00DA7323" w:rsidRPr="00DA7323">
        <w:rPr>
          <w:rFonts w:cs="Times New Roman"/>
          <w:bCs/>
        </w:rPr>
        <w:t xml:space="preserve">esnasında G6PD’nin antioksidan ve koruyucu etkisi, ROS birikimini ve hücre ölümünü önlemek için gerekli olabilir. </w:t>
      </w:r>
    </w:p>
    <w:p w:rsidR="00DA7323" w:rsidRPr="00DA7323" w:rsidRDefault="00DA7323" w:rsidP="00DA7323">
      <w:pPr>
        <w:rPr>
          <w:rFonts w:cs="Times New Roman"/>
          <w:bCs/>
        </w:rPr>
      </w:pPr>
      <w:r w:rsidRPr="00DA7323">
        <w:rPr>
          <w:rFonts w:cs="Times New Roman"/>
          <w:bCs/>
        </w:rPr>
        <w:t>MCF-7 hücreleri ile yap</w:t>
      </w:r>
      <w:r w:rsidR="00F75EAD">
        <w:rPr>
          <w:rFonts w:cs="Times New Roman"/>
          <w:bCs/>
        </w:rPr>
        <w:t>ılan</w:t>
      </w:r>
      <w:r w:rsidRPr="00DA7323">
        <w:rPr>
          <w:rFonts w:cs="Times New Roman"/>
          <w:bCs/>
        </w:rPr>
        <w:t xml:space="preserve"> çalışmada</w:t>
      </w:r>
      <w:r w:rsidR="00F75EAD">
        <w:rPr>
          <w:rFonts w:cs="Times New Roman"/>
          <w:bCs/>
        </w:rPr>
        <w:t>,</w:t>
      </w:r>
      <w:r w:rsidRPr="00DA7323">
        <w:rPr>
          <w:rFonts w:cs="Times New Roman"/>
          <w:bCs/>
        </w:rPr>
        <w:t xml:space="preserve"> hipoksik ortama maruz bırak</w:t>
      </w:r>
      <w:r w:rsidR="00F75EAD">
        <w:rPr>
          <w:rFonts w:cs="Times New Roman"/>
          <w:bCs/>
        </w:rPr>
        <w:t>ılan</w:t>
      </w:r>
      <w:r w:rsidRPr="00DA7323">
        <w:rPr>
          <w:rFonts w:cs="Times New Roman"/>
          <w:bCs/>
        </w:rPr>
        <w:t xml:space="preserve"> hücrelerde ilk 6 saat G6PD miktarlarının daha yüksek olduğu, inkübasyon süresine bağlı</w:t>
      </w:r>
      <w:r w:rsidRPr="00DA7323">
        <w:rPr>
          <w:rFonts w:cs="Times New Roman"/>
        </w:rPr>
        <w:t xml:space="preserve"> enzim seviyelerinin azaldığı kaydedilmiştir (p&lt;</w:t>
      </w:r>
      <w:r w:rsidR="00CA5639">
        <w:rPr>
          <w:rFonts w:cs="Times New Roman"/>
        </w:rPr>
        <w:t xml:space="preserve">0,001). </w:t>
      </w:r>
      <w:r w:rsidR="00D63D26">
        <w:rPr>
          <w:rFonts w:cs="Times New Roman"/>
        </w:rPr>
        <w:t>Özellikle 48.saate kadar 5.</w:t>
      </w:r>
      <w:r w:rsidR="00D63D26" w:rsidRPr="00DA7323">
        <w:rPr>
          <w:rFonts w:cs="Times New Roman"/>
        </w:rPr>
        <w:t xml:space="preserve">5 mM glukoz içeren ortamdaki G6PD miktarı en büyük azalışı (2 kat) sergilemiştir (p&lt;0,001). </w:t>
      </w:r>
      <w:r w:rsidR="00CA5639">
        <w:rPr>
          <w:rFonts w:cs="Times New Roman"/>
        </w:rPr>
        <w:t>Hipokside PKM2 ile G6PD enzimlerinin her ikisinin de</w:t>
      </w:r>
      <w:r w:rsidRPr="00DA7323">
        <w:rPr>
          <w:rFonts w:cs="Times New Roman"/>
        </w:rPr>
        <w:t xml:space="preserve"> </w:t>
      </w:r>
      <w:r w:rsidR="00CA5639">
        <w:rPr>
          <w:rFonts w:cs="Times New Roman"/>
        </w:rPr>
        <w:t xml:space="preserve">tüm konsantrasyonlar için </w:t>
      </w:r>
      <w:r w:rsidRPr="00DA7323">
        <w:rPr>
          <w:rFonts w:cs="Times New Roman"/>
        </w:rPr>
        <w:t xml:space="preserve">kısa süreli inkübasyonda </w:t>
      </w:r>
      <w:r w:rsidR="00CA5639">
        <w:rPr>
          <w:rFonts w:cs="Times New Roman"/>
        </w:rPr>
        <w:t>(6.saat) en yüksek düzeyde olduğu</w:t>
      </w:r>
      <w:r w:rsidR="00D63D26">
        <w:rPr>
          <w:rFonts w:cs="Times New Roman"/>
        </w:rPr>
        <w:t xml:space="preserve"> ve dengeli çalıştıkları</w:t>
      </w:r>
      <w:r w:rsidRPr="00DA7323">
        <w:rPr>
          <w:rFonts w:cs="Times New Roman"/>
        </w:rPr>
        <w:t xml:space="preserve"> görülmekte</w:t>
      </w:r>
      <w:r w:rsidR="00916176">
        <w:rPr>
          <w:rFonts w:cs="Times New Roman"/>
        </w:rPr>
        <w:t xml:space="preserve">dir. </w:t>
      </w:r>
      <w:r w:rsidRPr="00DA7323">
        <w:rPr>
          <w:rFonts w:cs="Times New Roman"/>
        </w:rPr>
        <w:t xml:space="preserve">Bu veriler kanser hücrelerinde kısa süreli hipoksik müdahalenin </w:t>
      </w:r>
      <w:r w:rsidR="00CA5639">
        <w:rPr>
          <w:rFonts w:cs="Times New Roman"/>
        </w:rPr>
        <w:t xml:space="preserve">hem glikolitik yolağı hem de </w:t>
      </w:r>
      <w:r w:rsidRPr="00DA7323">
        <w:rPr>
          <w:rFonts w:cs="Times New Roman"/>
        </w:rPr>
        <w:t xml:space="preserve">PPP’nu aktive ettiğini göstermektedir. Ortamda zamanla birikim gösteren glikoliz yolağındaki 3PG’nin G6PD sentezinin durmasına neden </w:t>
      </w:r>
      <w:r w:rsidR="00916176">
        <w:rPr>
          <w:rFonts w:cs="Times New Roman"/>
        </w:rPr>
        <w:t>olabileceği</w:t>
      </w:r>
      <w:r w:rsidRPr="00DA7323">
        <w:rPr>
          <w:rFonts w:cs="Times New Roman"/>
        </w:rPr>
        <w:t xml:space="preserve"> ve bu nedenle ileri inkübasyon sürelerinde enzimin azalma </w:t>
      </w:r>
      <w:r w:rsidR="00916176">
        <w:rPr>
          <w:rFonts w:cs="Times New Roman"/>
        </w:rPr>
        <w:t>göstermesi</w:t>
      </w:r>
      <w:r w:rsidRPr="00DA7323">
        <w:rPr>
          <w:rFonts w:cs="Times New Roman"/>
        </w:rPr>
        <w:t xml:space="preserve"> de olasıdır. Normoksik ortamda enzim seviyelerinin hipoksik ortamdakilerden daha yüksek olduğu görülmektedir. Bu durum normokside glukozun PPP’na yönlendirildiğinin,  hipoksik ortamda ise HIF-1α yolu ile glikoliz basamaklarının çalıştırıldığının bir göstergesi olabilir. Bu </w:t>
      </w:r>
      <w:r w:rsidR="00916176">
        <w:rPr>
          <w:rFonts w:cs="Times New Roman"/>
        </w:rPr>
        <w:t>sonuca</w:t>
      </w:r>
      <w:r w:rsidRPr="00DA7323">
        <w:rPr>
          <w:rFonts w:cs="Times New Roman"/>
        </w:rPr>
        <w:t xml:space="preserve"> literatüre bağlı olarak da G6PD’nin HIF’e diğer glikolitik enzimlerden daha az duyarlı olması kanıt gösterilebilir. Hem normoksik hem de hipoksik ortamlarda ilk saatlerde metabolizmanın </w:t>
      </w:r>
      <w:r w:rsidRPr="00DA7323">
        <w:rPr>
          <w:rFonts w:cs="Times New Roman"/>
          <w:bCs/>
        </w:rPr>
        <w:t xml:space="preserve">ortamdaki glukoz miktarını ayırt etmeksizin ROS oluşumuna bağlı olarak savunma sistemleri olan G6PD sentezini arttırdığı düşünülmektedir.  </w:t>
      </w:r>
    </w:p>
    <w:p w:rsidR="00DA7323" w:rsidRPr="00DA7323" w:rsidRDefault="00DA7323" w:rsidP="00DA7323">
      <w:pPr>
        <w:rPr>
          <w:rFonts w:cs="Times New Roman"/>
        </w:rPr>
      </w:pPr>
      <w:r w:rsidRPr="00DA7323">
        <w:rPr>
          <w:rFonts w:cs="Times New Roman"/>
          <w:bCs/>
        </w:rPr>
        <w:t>Yapılan çalışmalar, G6PD'nin lösemi, melanom kanseri, endometriyal karsinomlar, meme kanserleri ve kolon</w:t>
      </w:r>
      <w:r w:rsidRPr="00DA7323">
        <w:rPr>
          <w:rFonts w:cs="Times New Roman"/>
        </w:rPr>
        <w:t xml:space="preserve"> kanserleri dahil olmak üzere çeşitli tümörlerde arttığını göstermiştir (</w:t>
      </w:r>
      <w:r w:rsidR="003B46BD" w:rsidRPr="00173B29">
        <w:rPr>
          <w:rFonts w:cs="Times New Roman"/>
        </w:rPr>
        <w:t>Philipson</w:t>
      </w:r>
      <w:r w:rsidR="003B46BD" w:rsidRPr="00DA7323">
        <w:rPr>
          <w:rFonts w:cs="Times New Roman"/>
        </w:rPr>
        <w:t xml:space="preserve"> ve ark, 1985</w:t>
      </w:r>
      <w:r w:rsidR="003B46BD">
        <w:rPr>
          <w:rFonts w:cs="Times New Roman"/>
        </w:rPr>
        <w:t>;</w:t>
      </w:r>
      <w:r w:rsidRPr="00DA7323">
        <w:rPr>
          <w:rFonts w:cs="Times New Roman"/>
        </w:rPr>
        <w:t xml:space="preserve"> </w:t>
      </w:r>
      <w:r w:rsidRPr="00173B29">
        <w:rPr>
          <w:rFonts w:cs="Times New Roman"/>
        </w:rPr>
        <w:t xml:space="preserve">Battetta ve ark, 1999; </w:t>
      </w:r>
      <w:r w:rsidR="003B46BD" w:rsidRPr="00DA7323">
        <w:rPr>
          <w:rFonts w:cs="Times New Roman"/>
        </w:rPr>
        <w:t>Van Driel ve ark, 1999</w:t>
      </w:r>
      <w:r w:rsidR="003B46BD">
        <w:rPr>
          <w:rFonts w:cs="Times New Roman"/>
        </w:rPr>
        <w:t xml:space="preserve">; </w:t>
      </w:r>
      <w:r w:rsidRPr="00DA7323">
        <w:rPr>
          <w:rFonts w:cs="Times New Roman"/>
        </w:rPr>
        <w:t xml:space="preserve">Polat ve ark, 2002; </w:t>
      </w:r>
      <w:r w:rsidR="003B46BD" w:rsidRPr="00173B29">
        <w:rPr>
          <w:rFonts w:cs="Times New Roman"/>
        </w:rPr>
        <w:t>Hu ve ark, 2013;</w:t>
      </w:r>
      <w:r w:rsidR="003B46BD" w:rsidRPr="00DA7323">
        <w:rPr>
          <w:rFonts w:cs="Times New Roman"/>
        </w:rPr>
        <w:t xml:space="preserve"> Fang ve ark, 2016</w:t>
      </w:r>
      <w:r w:rsidRPr="00DA7323">
        <w:rPr>
          <w:rFonts w:cs="Times New Roman"/>
        </w:rPr>
        <w:t xml:space="preserve">). Hızla büyüyen bir kanserin büyük biyosentetik talepleri ve stresli ortamlara uyumu nedeniyle, PPP'nin kanser ilerlemesini ve tedavi direncini arttırdığı önerilmiştir (Riganti ve ark, 2012). Glukozun fosforillenmesi sonucu oluşan G6P, ya F6P’a izomerleşerek piruvat oluşumuna doğru gider ya da G6PD enzimi ile ile PPP’nin oksidatif dalında yolculuğuna başlar. Glukozun bu reaksiyonlar zincirinin gidişatında rolü büyüktür. </w:t>
      </w:r>
    </w:p>
    <w:p w:rsidR="00DA7323" w:rsidRPr="00DA7323" w:rsidRDefault="00DA7323" w:rsidP="00DA7323">
      <w:pPr>
        <w:rPr>
          <w:rFonts w:cs="Times New Roman"/>
          <w:bCs/>
        </w:rPr>
      </w:pPr>
      <w:r w:rsidRPr="00DA7323">
        <w:rPr>
          <w:rFonts w:cs="Times New Roman"/>
        </w:rPr>
        <w:t xml:space="preserve">Normoksik ortamda konsantrasyon değişimine bağlı değişken enzim miktarları elde edilirken, yüksek dozda glukozun enzim düzeyleri üzerine büyük bir etkisi olmadığı görülmüştür. Hipokside ise 6.saatte farklı konsantrasyondaki uygulama gruplarında G6PD miktarları birbirinden çok farklı olmamakla beraber, 12. saatte değişim başlamıştır. Özellikle </w:t>
      </w:r>
      <w:r w:rsidRPr="00DA7323">
        <w:rPr>
          <w:rFonts w:cs="Times New Roman"/>
        </w:rPr>
        <w:lastRenderedPageBreak/>
        <w:t xml:space="preserve">yüksek dozda (55 mM) glukoz içeren ortamda 12. </w:t>
      </w:r>
      <w:r w:rsidR="009D7747">
        <w:rPr>
          <w:rFonts w:cs="Times New Roman"/>
        </w:rPr>
        <w:t>s</w:t>
      </w:r>
      <w:r w:rsidRPr="00DA7323">
        <w:rPr>
          <w:rFonts w:cs="Times New Roman"/>
        </w:rPr>
        <w:t xml:space="preserve">aatte enzim miktarının diğer uygulama gruplarına </w:t>
      </w:r>
      <w:r w:rsidRPr="00DA7323">
        <w:rPr>
          <w:rFonts w:cs="Times New Roman"/>
          <w:bCs/>
        </w:rPr>
        <w:t xml:space="preserve">göre daha düşük </w:t>
      </w:r>
      <w:r w:rsidR="00916176">
        <w:rPr>
          <w:rFonts w:cs="Times New Roman"/>
          <w:bCs/>
        </w:rPr>
        <w:t>seyretmesi</w:t>
      </w:r>
      <w:r w:rsidRPr="00DA7323">
        <w:rPr>
          <w:rFonts w:cs="Times New Roman"/>
          <w:bCs/>
        </w:rPr>
        <w:t xml:space="preserve"> (p&lt;0,001), bu inkübasyon süresinde PPP’nun </w:t>
      </w:r>
      <w:r w:rsidR="007D7777">
        <w:rPr>
          <w:rFonts w:cs="Times New Roman"/>
          <w:bCs/>
        </w:rPr>
        <w:t>değil</w:t>
      </w:r>
      <w:r w:rsidRPr="00DA7323">
        <w:rPr>
          <w:rFonts w:cs="Times New Roman"/>
          <w:bCs/>
        </w:rPr>
        <w:t xml:space="preserve"> glikolizin terih edildiğini göstermektedir.</w:t>
      </w:r>
    </w:p>
    <w:p w:rsidR="00DA7323" w:rsidRPr="00DA7323" w:rsidRDefault="00DA7323" w:rsidP="00DA7323">
      <w:pPr>
        <w:rPr>
          <w:rFonts w:cs="Times New Roman"/>
          <w:bCs/>
        </w:rPr>
      </w:pPr>
      <w:r w:rsidRPr="00DA7323">
        <w:rPr>
          <w:rFonts w:cs="Times New Roman"/>
          <w:bCs/>
        </w:rPr>
        <w:t>HIF-1α, tümör hücresi glikolizinde önemli bir bağlantıdır ve glikoliz yolundaki  çeşitli proteinleri indükler. HIF-1α’nın, HK2, PFK ve PKM2 hedef genlerinin ekspresyonunu düzenleyerek meme kanserinin metabolik</w:t>
      </w:r>
      <w:r w:rsidRPr="00DA7323">
        <w:rPr>
          <w:rFonts w:cs="Times New Roman"/>
        </w:rPr>
        <w:t xml:space="preserve"> fenotipinde önemli bir rol oynadığı bilinmektedir </w:t>
      </w:r>
      <w:r w:rsidRPr="003B46BD">
        <w:rPr>
          <w:rFonts w:cs="Times New Roman"/>
          <w:bCs/>
        </w:rPr>
        <w:t>(Marín-Hernández ve ark</w:t>
      </w:r>
      <w:r w:rsidR="001F50D7" w:rsidRPr="003B46BD">
        <w:rPr>
          <w:rFonts w:cs="Times New Roman"/>
          <w:bCs/>
        </w:rPr>
        <w:t>,</w:t>
      </w:r>
      <w:r w:rsidRPr="003B46BD">
        <w:rPr>
          <w:rFonts w:cs="Times New Roman"/>
          <w:bCs/>
        </w:rPr>
        <w:t xml:space="preserve"> 2009). Hem</w:t>
      </w:r>
      <w:r w:rsidRPr="00DA7323">
        <w:rPr>
          <w:rFonts w:cs="Times New Roman"/>
        </w:rPr>
        <w:t xml:space="preserve"> “Warburg etkisi” hem de kanser hücresi immortalizasyonunda </w:t>
      </w:r>
      <w:r w:rsidR="00916176">
        <w:rPr>
          <w:rFonts w:cs="Times New Roman"/>
        </w:rPr>
        <w:t>HK2</w:t>
      </w:r>
      <w:r w:rsidRPr="00DA7323">
        <w:rPr>
          <w:rFonts w:cs="Times New Roman"/>
        </w:rPr>
        <w:t xml:space="preserve"> önemli bir oyuncudur  (Lis ve ark, 2016).  HK2, </w:t>
      </w:r>
      <w:r w:rsidR="00916176">
        <w:rPr>
          <w:rFonts w:cs="Times New Roman"/>
        </w:rPr>
        <w:t>G6P</w:t>
      </w:r>
      <w:r w:rsidRPr="00DA7323">
        <w:rPr>
          <w:rFonts w:cs="Times New Roman"/>
        </w:rPr>
        <w:t xml:space="preserve"> üretmek için glukozu fosforile eder ve bu ürün daha sonra glikoliz, OXPHOS veya pentoz fosfat yollarından geçer. Bu yollardan gelen ara metabolitler ayrıca anabolik metabolizmalarda substrat olarak da işlev görebilir. Bu nedenle HK hemen hemen tüm glukoz metabolizmalarında büyük rol oynar (Liu ve ark, 2013). Dikkat çekici bulgulardan </w:t>
      </w:r>
      <w:r w:rsidRPr="00DA7323">
        <w:rPr>
          <w:rFonts w:cs="Times New Roman"/>
          <w:bCs/>
        </w:rPr>
        <w:t xml:space="preserve">biri ise HK2 promotörünün, glikolizin ilk substratı olan glukoz varlığında hipoksik koşullarla beraber yedi kat aktive edildiğidir (Mathupala ve ark, 2001). </w:t>
      </w:r>
    </w:p>
    <w:p w:rsidR="00DA7323" w:rsidRPr="00DA7323" w:rsidRDefault="00DA7323" w:rsidP="00DA7323">
      <w:pPr>
        <w:rPr>
          <w:rFonts w:cs="Times New Roman"/>
          <w:bCs/>
        </w:rPr>
      </w:pPr>
      <w:r w:rsidRPr="00DA7323">
        <w:rPr>
          <w:rFonts w:cs="Times New Roman"/>
          <w:bCs/>
        </w:rPr>
        <w:t>Liu ve ark 2013, normoksik wt-MiaPaCa2 (HIF-l</w:t>
      </w:r>
      <w:r w:rsidR="009D7747">
        <w:rPr>
          <w:rFonts w:cs="Times New Roman"/>
          <w:bCs/>
        </w:rPr>
        <w:t>α</w:t>
      </w:r>
      <w:r w:rsidRPr="00DA7323">
        <w:rPr>
          <w:rFonts w:cs="Times New Roman"/>
          <w:bCs/>
        </w:rPr>
        <w:t>-negatif), hipoksik wt-MiaPaCa2 (HIF-l</w:t>
      </w:r>
      <w:r w:rsidR="009D7747">
        <w:rPr>
          <w:rFonts w:cs="Times New Roman"/>
          <w:bCs/>
        </w:rPr>
        <w:t>α</w:t>
      </w:r>
      <w:r w:rsidRPr="00DA7323">
        <w:rPr>
          <w:rFonts w:cs="Times New Roman"/>
          <w:bCs/>
        </w:rPr>
        <w:t>-pozitif) ve hipoksik si-MiaPaCa2 (HIF-l</w:t>
      </w:r>
      <w:r w:rsidR="009D7747">
        <w:rPr>
          <w:rFonts w:cs="Times New Roman"/>
          <w:bCs/>
        </w:rPr>
        <w:t>α</w:t>
      </w:r>
      <w:r w:rsidRPr="00DA7323">
        <w:rPr>
          <w:rFonts w:cs="Times New Roman"/>
          <w:bCs/>
        </w:rPr>
        <w:t>’dan yoksun) hücre hatlarında, hücre dışı artan glukozun HK2 ekspresyonunu uyardığını belirlemiştir. Bu verilere göre glukozun hipoksi ve HIF-lα’dan bağımsız</w:t>
      </w:r>
      <w:r w:rsidRPr="00DA7323">
        <w:rPr>
          <w:rFonts w:cs="Times New Roman"/>
        </w:rPr>
        <w:t xml:space="preserve"> olarak HK2 ekspresyonunu indükleyebilir olduğu tespit edilmiştir. Bunun yanında hipoksi ortamında hücre dışı glukoz, wt-MiaPaCa2 hücrelerinde si-MiaPaCa2 hücrelerinde olduğundan daha büyük HK2 ekspresyonuna neden olmuştur. Bu </w:t>
      </w:r>
      <w:r w:rsidRPr="00DA7323">
        <w:rPr>
          <w:rFonts w:cs="Times New Roman"/>
          <w:bCs/>
        </w:rPr>
        <w:t xml:space="preserve">nedenle glukozun ayrıca HIF-lα’ya bağlı bir mekanizma ile de HK2 ekspresyonunu indüklediği sonucuna varılmıştır. </w:t>
      </w:r>
    </w:p>
    <w:p w:rsidR="00DA7323" w:rsidRPr="00DA7323" w:rsidRDefault="00DA7323" w:rsidP="00DA7323">
      <w:pPr>
        <w:rPr>
          <w:rFonts w:cs="Times New Roman"/>
          <w:bCs/>
        </w:rPr>
      </w:pPr>
      <w:r w:rsidRPr="00DA7323">
        <w:rPr>
          <w:rFonts w:cs="Times New Roman"/>
          <w:bCs/>
        </w:rPr>
        <w:t>Tümör hücresi kültürlerinde düşük glukozun, GLUT1, GLUT3,</w:t>
      </w:r>
      <w:r w:rsidR="009D7747">
        <w:rPr>
          <w:rFonts w:cs="Times New Roman"/>
          <w:bCs/>
        </w:rPr>
        <w:t xml:space="preserve"> </w:t>
      </w:r>
      <w:r w:rsidRPr="00DA7323">
        <w:rPr>
          <w:rFonts w:cs="Times New Roman"/>
          <w:bCs/>
        </w:rPr>
        <w:t>HK</w:t>
      </w:r>
      <w:r w:rsidR="00D8143F">
        <w:rPr>
          <w:rFonts w:cs="Times New Roman"/>
          <w:bCs/>
        </w:rPr>
        <w:t>2</w:t>
      </w:r>
      <w:r w:rsidRPr="00DA7323">
        <w:rPr>
          <w:rFonts w:cs="Times New Roman"/>
          <w:bCs/>
        </w:rPr>
        <w:t xml:space="preserve"> ve PFK2’yi kodlayan genlerin mRNA düzeylerinde önemli bir artışı (2-3 kat) desteklediği bildirilmiştir (</w:t>
      </w:r>
      <w:r w:rsidRPr="00173B29">
        <w:rPr>
          <w:rFonts w:cs="Times New Roman"/>
          <w:bCs/>
        </w:rPr>
        <w:t>Yun</w:t>
      </w:r>
      <w:r w:rsidRPr="00DA7323">
        <w:rPr>
          <w:rFonts w:cs="Times New Roman"/>
          <w:bCs/>
        </w:rPr>
        <w:t xml:space="preserve"> ve ark, 2005</w:t>
      </w:r>
      <w:r w:rsidR="00173B29">
        <w:rPr>
          <w:rFonts w:cs="Times New Roman"/>
          <w:bCs/>
        </w:rPr>
        <w:t xml:space="preserve">; </w:t>
      </w:r>
      <w:r w:rsidR="00173B29" w:rsidRPr="00173B29">
        <w:rPr>
          <w:rFonts w:cs="Times New Roman"/>
          <w:bCs/>
        </w:rPr>
        <w:t xml:space="preserve">Natsuizaka ve ark, 2007; </w:t>
      </w:r>
      <w:r w:rsidR="00173B29" w:rsidRPr="00DA7323">
        <w:rPr>
          <w:rFonts w:cs="Times New Roman"/>
          <w:bCs/>
        </w:rPr>
        <w:t>Marín-</w:t>
      </w:r>
      <w:r w:rsidR="00173B29" w:rsidRPr="00173B29">
        <w:rPr>
          <w:rFonts w:cs="Times New Roman"/>
          <w:bCs/>
        </w:rPr>
        <w:t>Hernández ve ark, 2014</w:t>
      </w:r>
      <w:r w:rsidRPr="00DA7323">
        <w:rPr>
          <w:rFonts w:cs="Times New Roman"/>
          <w:bCs/>
        </w:rPr>
        <w:t>). Hipoglisemik hücrelerde daha yüksek</w:t>
      </w:r>
      <w:r w:rsidRPr="00DA7323">
        <w:rPr>
          <w:rFonts w:cs="Times New Roman"/>
        </w:rPr>
        <w:t xml:space="preserve"> glikolitik akışın, esas olarak yüksek afiniteli GLUT3 ve HKI izoformları yolu ile glukoz taşınımı ve HK reaksiyonlarının artışından kaynaklanan bir durum olduğu sonucuna varılmıştır. Bu davranışın açıklaması, kararlı durumlarda enzim/taşıyıcı </w:t>
      </w:r>
      <w:r w:rsidRPr="00DA7323">
        <w:rPr>
          <w:rFonts w:cs="Times New Roman"/>
          <w:bCs/>
        </w:rPr>
        <w:t>aktivitelerinin doygunluğun altındaki substrat seviyeleri</w:t>
      </w:r>
      <w:r w:rsidR="00F0255C">
        <w:rPr>
          <w:rFonts w:cs="Times New Roman"/>
          <w:bCs/>
        </w:rPr>
        <w:t>nde (hipoglisemi) çalıştığıdır (Marín-Hernández ve ark, 2014).</w:t>
      </w:r>
    </w:p>
    <w:p w:rsidR="00DA7323" w:rsidRPr="00DA7323" w:rsidRDefault="00DA7323" w:rsidP="00DA7323">
      <w:pPr>
        <w:rPr>
          <w:rFonts w:cs="Times New Roman"/>
          <w:bCs/>
        </w:rPr>
      </w:pPr>
      <w:r w:rsidRPr="00DA7323">
        <w:rPr>
          <w:rFonts w:cs="Times New Roman"/>
          <w:bCs/>
        </w:rPr>
        <w:t>Yap</w:t>
      </w:r>
      <w:r w:rsidR="00F0255C">
        <w:rPr>
          <w:rFonts w:cs="Times New Roman"/>
          <w:bCs/>
        </w:rPr>
        <w:t>ılan</w:t>
      </w:r>
      <w:r w:rsidRPr="00DA7323">
        <w:rPr>
          <w:rFonts w:cs="Times New Roman"/>
          <w:bCs/>
        </w:rPr>
        <w:t xml:space="preserve"> çalışmada</w:t>
      </w:r>
      <w:r w:rsidR="00F0255C">
        <w:rPr>
          <w:rFonts w:cs="Times New Roman"/>
          <w:bCs/>
        </w:rPr>
        <w:t>,</w:t>
      </w:r>
      <w:r w:rsidRPr="00DA7323">
        <w:rPr>
          <w:rFonts w:cs="Times New Roman"/>
          <w:bCs/>
        </w:rPr>
        <w:t xml:space="preserve"> glukoz içermeyen normoksik ortamda HK2 enzim seviyelerinin zamana bağlı istatiksel olarak anlamlı</w:t>
      </w:r>
      <w:r w:rsidRPr="00DA7323">
        <w:rPr>
          <w:rFonts w:cs="Times New Roman"/>
        </w:rPr>
        <w:t xml:space="preserve"> bir değişim göstermediği gözlenmiş (p&gt;0,05), ancak 0 mM ortamında tüm diğer konsantrasyonlara göre en yüksek enzim düzeyi ölçülmüştür (p&lt;0,001). Bu veriler glukozsuz ortamda enzimin yüksek oranda sentezlendiğinin kanıtıdır. </w:t>
      </w:r>
      <w:r w:rsidRPr="00DA7323">
        <w:rPr>
          <w:rFonts w:cs="Times New Roman"/>
        </w:rPr>
        <w:lastRenderedPageBreak/>
        <w:t xml:space="preserve">15 ve 55 mM konsantrasyonlarında glukoz içeren uygulama gruplarında genel itibariyle enzim miktarında 6. saatten 12. saate kadar artış, 12. saatten 24. saate kadar azalış, 24. saatten 48.saate kadar ise tekrar bir artış olması metabolizmanın glikoliz akışında dalgalı bir gidişat seyrettiğinin ve muhtemel 12. ve 24. saat aralığında ortamda daha fazla HK2 </w:t>
      </w:r>
      <w:r w:rsidR="0061281A">
        <w:rPr>
          <w:rFonts w:cs="Times New Roman"/>
        </w:rPr>
        <w:t>ihtiyacı</w:t>
      </w:r>
      <w:r w:rsidRPr="00DA7323">
        <w:rPr>
          <w:rFonts w:cs="Times New Roman"/>
        </w:rPr>
        <w:t xml:space="preserve"> olmaması sonucu sentezin durması, ilerleyen saatlerde ise ilgili substratı ile etkileşmesi amaçlı tekrar enzim üretiminin başlatıld</w:t>
      </w:r>
      <w:r w:rsidR="0061281A">
        <w:rPr>
          <w:rFonts w:cs="Times New Roman"/>
        </w:rPr>
        <w:t>ığı yorumu yapılabilmektedir. 5.</w:t>
      </w:r>
      <w:r w:rsidRPr="00DA7323">
        <w:rPr>
          <w:rFonts w:cs="Times New Roman"/>
        </w:rPr>
        <w:t xml:space="preserve">5 mM glukoz içeren ortamlarda 6. saatten 24. saate kadar enzim miktarında anlamlı bir azalma olması (p&lt;0,001), düşük konsantrasyonda glukoz tüketiminin zamana bağlı artışı ile paraleldir ve glikoliz ürünlerinin ortamda birikimi sonucu ileri inkübasyon sürelerinde HK2 enzim sentezinin durdurulduğu söylenebilir. Burada aslında oluşan ürünlerin inhibisyon derecelerini ölçmek adına aktivite tayini yapmak da önem teşkil </w:t>
      </w:r>
      <w:r w:rsidRPr="00DA7323">
        <w:rPr>
          <w:rFonts w:cs="Times New Roman"/>
          <w:bCs/>
        </w:rPr>
        <w:t xml:space="preserve">etmektedir. 48. saatte özellikle yüksek glukoz ihtiva eden ortamlarda enzim oluşumu artış göstermiştir (p&lt;0,001).  </w:t>
      </w:r>
      <w:r w:rsidR="00173B29">
        <w:rPr>
          <w:rFonts w:cs="Times New Roman"/>
          <w:bCs/>
        </w:rPr>
        <w:t xml:space="preserve"> </w:t>
      </w:r>
      <w:r w:rsidRPr="00DA7323">
        <w:rPr>
          <w:rFonts w:cs="Times New Roman"/>
          <w:bCs/>
        </w:rPr>
        <w:t xml:space="preserve"> </w:t>
      </w:r>
    </w:p>
    <w:p w:rsidR="00DA7323" w:rsidRPr="00DA7323" w:rsidRDefault="00DA7323" w:rsidP="00DA7323">
      <w:pPr>
        <w:rPr>
          <w:rFonts w:cs="Times New Roman"/>
        </w:rPr>
      </w:pPr>
      <w:r w:rsidRPr="00DA7323">
        <w:rPr>
          <w:rFonts w:cs="Times New Roman"/>
          <w:bCs/>
        </w:rPr>
        <w:t>Hipoksik ortamda glukoz içermeyen uygulama gruplarında enzim miktarlarının normoksi ortamına göre daha</w:t>
      </w:r>
      <w:r w:rsidRPr="00DA7323">
        <w:rPr>
          <w:rFonts w:cs="Times New Roman"/>
        </w:rPr>
        <w:t xml:space="preserve"> düşük olduğu</w:t>
      </w:r>
      <w:r w:rsidR="00F0255C">
        <w:rPr>
          <w:rFonts w:cs="Times New Roman"/>
        </w:rPr>
        <w:t xml:space="preserve"> (12.saat hariç)</w:t>
      </w:r>
      <w:r w:rsidRPr="00DA7323">
        <w:rPr>
          <w:rFonts w:cs="Times New Roman"/>
        </w:rPr>
        <w:t>, saatlere bağlı anlamlı azalış ve artışlar gösterdiği belirlenmişt</w:t>
      </w:r>
      <w:r w:rsidR="0061281A">
        <w:rPr>
          <w:rFonts w:cs="Times New Roman"/>
        </w:rPr>
        <w:t>ir (p&lt;0,001). Hem 0 mM hem de 5.</w:t>
      </w:r>
      <w:r w:rsidRPr="00DA7323">
        <w:rPr>
          <w:rFonts w:cs="Times New Roman"/>
        </w:rPr>
        <w:t>5 mM glukoz uygulama gruplarında  6.saatten 12.saate kadar enzim miktar</w:t>
      </w:r>
      <w:r w:rsidR="0061281A">
        <w:rPr>
          <w:rFonts w:cs="Times New Roman"/>
        </w:rPr>
        <w:t>lar</w:t>
      </w:r>
      <w:r w:rsidRPr="00DA7323">
        <w:rPr>
          <w:rFonts w:cs="Times New Roman"/>
        </w:rPr>
        <w:t>ında kademeli bir artış gerçekleşmesi (5</w:t>
      </w:r>
      <w:r w:rsidR="0061281A">
        <w:rPr>
          <w:rFonts w:cs="Times New Roman"/>
        </w:rPr>
        <w:t>.</w:t>
      </w:r>
      <w:r w:rsidRPr="00DA7323">
        <w:rPr>
          <w:rFonts w:cs="Times New Roman"/>
        </w:rPr>
        <w:t xml:space="preserve">5 mM’da 24. </w:t>
      </w:r>
      <w:r w:rsidR="008D0428">
        <w:rPr>
          <w:rFonts w:cs="Times New Roman"/>
        </w:rPr>
        <w:t>s</w:t>
      </w:r>
      <w:r w:rsidRPr="00DA7323">
        <w:rPr>
          <w:rFonts w:cs="Times New Roman"/>
        </w:rPr>
        <w:t xml:space="preserve">aate kadar artış devam ediyor), glukoz içermeyen </w:t>
      </w:r>
      <w:r w:rsidR="00F0255C">
        <w:rPr>
          <w:rFonts w:cs="Times New Roman"/>
        </w:rPr>
        <w:t xml:space="preserve">veya </w:t>
      </w:r>
      <w:r w:rsidRPr="00DA7323">
        <w:rPr>
          <w:rFonts w:cs="Times New Roman"/>
        </w:rPr>
        <w:t>normoglisemik+hipoksik koşullar altında özellikle kısa süreli hipoksi maruziyetinde</w:t>
      </w:r>
      <w:r w:rsidR="0061281A">
        <w:rPr>
          <w:rFonts w:cs="Times New Roman"/>
        </w:rPr>
        <w:t xml:space="preserve"> enzim artışının tetiklenmiş olduğunu</w:t>
      </w:r>
      <w:r w:rsidRPr="00DA7323">
        <w:rPr>
          <w:rFonts w:cs="Times New Roman"/>
        </w:rPr>
        <w:t xml:space="preserve">, ayrıca normokside görülen azalmaya nazaran hipoksik ortamda normoglisemik koşulda gerçekleşen enzim artışının HIF-lα’ya bağlı bir mekanizma </w:t>
      </w:r>
      <w:r w:rsidR="0061281A">
        <w:rPr>
          <w:rFonts w:cs="Times New Roman"/>
        </w:rPr>
        <w:t xml:space="preserve">yolu </w:t>
      </w:r>
      <w:r w:rsidRPr="00DA7323">
        <w:rPr>
          <w:rFonts w:cs="Times New Roman"/>
        </w:rPr>
        <w:t xml:space="preserve">ile </w:t>
      </w:r>
      <w:r w:rsidR="0061281A">
        <w:rPr>
          <w:rFonts w:cs="Times New Roman"/>
        </w:rPr>
        <w:t>gerçekleştiğini</w:t>
      </w:r>
      <w:r w:rsidRPr="00DA7323">
        <w:rPr>
          <w:rFonts w:cs="Times New Roman"/>
        </w:rPr>
        <w:t xml:space="preserve"> </w:t>
      </w:r>
      <w:r w:rsidR="0061281A">
        <w:rPr>
          <w:rFonts w:cs="Times New Roman"/>
        </w:rPr>
        <w:t>düşündürmüştür.</w:t>
      </w:r>
      <w:r w:rsidRPr="00DA7323">
        <w:rPr>
          <w:rFonts w:cs="Times New Roman"/>
        </w:rPr>
        <w:t xml:space="preserve"> Yüksek </w:t>
      </w:r>
      <w:r w:rsidR="0061281A">
        <w:rPr>
          <w:rFonts w:cs="Times New Roman"/>
        </w:rPr>
        <w:t xml:space="preserve">miktar </w:t>
      </w:r>
      <w:r w:rsidRPr="00DA7323">
        <w:rPr>
          <w:rFonts w:cs="Times New Roman"/>
        </w:rPr>
        <w:t xml:space="preserve">glukozun </w:t>
      </w:r>
      <w:r w:rsidR="00F0255C">
        <w:rPr>
          <w:rFonts w:cs="Times New Roman"/>
        </w:rPr>
        <w:t xml:space="preserve">(55 mM) </w:t>
      </w:r>
      <w:r w:rsidRPr="00DA7323">
        <w:rPr>
          <w:rFonts w:cs="Times New Roman"/>
        </w:rPr>
        <w:t xml:space="preserve">ileri inkübasyon sürelerinde ise hipoksi ile işbirliği içinde çalışarak glikolizi indüklediği bu nedenle ortamda HK2 enzimi artışının gerçekleştiği görülmüştür. Buna rağmen normoksiye </w:t>
      </w:r>
      <w:r w:rsidR="008D0428">
        <w:rPr>
          <w:rFonts w:cs="Times New Roman"/>
        </w:rPr>
        <w:t>kıyasla</w:t>
      </w:r>
      <w:r w:rsidRPr="00DA7323">
        <w:rPr>
          <w:rFonts w:cs="Times New Roman"/>
        </w:rPr>
        <w:t xml:space="preserve"> özellikle 12. saatte bu konsantrasyonlar için (15 ve 55 mM) enzim miktarlarında büyük bir azalma söz konusudur (p&lt;0,001). Bu durum HIF1α yolundan bağımsız çalışan diğer yolakların normokside glukoz miktarına bağlı enzimin indüklenmesinde daha baskın i</w:t>
      </w:r>
      <w:r w:rsidR="00DA6831">
        <w:rPr>
          <w:rFonts w:cs="Times New Roman"/>
        </w:rPr>
        <w:t>şlediğinin de bir göstergesi olabilir.</w:t>
      </w:r>
      <w:r w:rsidRPr="00DA7323">
        <w:rPr>
          <w:rFonts w:cs="Times New Roman"/>
        </w:rPr>
        <w:t xml:space="preserve"> </w:t>
      </w:r>
    </w:p>
    <w:p w:rsidR="00DA7323" w:rsidRPr="00DA7323" w:rsidRDefault="00DA7323" w:rsidP="00DA7323">
      <w:pPr>
        <w:rPr>
          <w:rFonts w:cs="Times New Roman"/>
          <w:bCs/>
        </w:rPr>
      </w:pPr>
      <w:r w:rsidRPr="00DA7323">
        <w:rPr>
          <w:rFonts w:cs="Times New Roman"/>
        </w:rPr>
        <w:t>Natsuizaka ve ark (2007), Hem DNA mikroarray hem de Real-time PCR analizi ile hipoksi-indüklenebili</w:t>
      </w:r>
      <w:r w:rsidR="009D7747">
        <w:rPr>
          <w:rFonts w:cs="Times New Roman"/>
        </w:rPr>
        <w:t>r genlerden GLUT-1, GLUT-3, HKI ve HKII</w:t>
      </w:r>
      <w:r w:rsidRPr="00DA7323">
        <w:rPr>
          <w:rFonts w:cs="Times New Roman"/>
        </w:rPr>
        <w:t xml:space="preserve">’nin ekspresyonlarının normal glukoz+normoksik koşullar (NN) ile karşılaştırıldığında glukoz içermeyen+hipoksik koşullar (HL) altında arttığını göstermiştir. </w:t>
      </w:r>
      <w:r w:rsidR="00F0255C">
        <w:rPr>
          <w:rFonts w:cs="Times New Roman"/>
          <w:bCs/>
        </w:rPr>
        <w:t>Marín-Hernández ve ark (</w:t>
      </w:r>
      <w:r w:rsidR="00F0255C" w:rsidRPr="00DA7323">
        <w:rPr>
          <w:rFonts w:cs="Times New Roman"/>
          <w:bCs/>
        </w:rPr>
        <w:t>2016</w:t>
      </w:r>
      <w:r w:rsidR="00F0255C">
        <w:rPr>
          <w:rFonts w:cs="Times New Roman"/>
          <w:bCs/>
        </w:rPr>
        <w:t>) yaptıkları</w:t>
      </w:r>
      <w:r w:rsidRPr="00DA7323">
        <w:rPr>
          <w:rFonts w:cs="Times New Roman"/>
        </w:rPr>
        <w:t xml:space="preserve"> çalışmada</w:t>
      </w:r>
      <w:r w:rsidR="00F0255C">
        <w:rPr>
          <w:rFonts w:cs="Times New Roman"/>
        </w:rPr>
        <w:t>,</w:t>
      </w:r>
      <w:r w:rsidRPr="00DA7323">
        <w:rPr>
          <w:rFonts w:cs="Times New Roman"/>
        </w:rPr>
        <w:t xml:space="preserve"> orta şiddette hipoksi (%1 0</w:t>
      </w:r>
      <w:r w:rsidRPr="00DA7323">
        <w:rPr>
          <w:rFonts w:cs="Times New Roman"/>
          <w:vertAlign w:val="subscript"/>
        </w:rPr>
        <w:t>2</w:t>
      </w:r>
      <w:r w:rsidRPr="00DA7323">
        <w:rPr>
          <w:rFonts w:cs="Times New Roman"/>
        </w:rPr>
        <w:t>/24 saat) ve hipoglisemi (2,5 mM glukoz)’nin</w:t>
      </w:r>
      <w:r w:rsidR="00193A10">
        <w:rPr>
          <w:rFonts w:cs="Times New Roman"/>
        </w:rPr>
        <w:t xml:space="preserve"> </w:t>
      </w:r>
      <w:r w:rsidRPr="00DA7323">
        <w:rPr>
          <w:rFonts w:cs="Times New Roman"/>
        </w:rPr>
        <w:t xml:space="preserve">muhtemel AMPK-aracılı mekanizma yolu ile </w:t>
      </w:r>
      <w:r w:rsidR="009D7747">
        <w:rPr>
          <w:rFonts w:cs="Times New Roman"/>
          <w:bCs/>
        </w:rPr>
        <w:t xml:space="preserve">GLUT1 ve </w:t>
      </w:r>
      <w:r w:rsidR="008B0210">
        <w:rPr>
          <w:rFonts w:cs="Times New Roman"/>
          <w:bCs/>
        </w:rPr>
        <w:t>GLUT</w:t>
      </w:r>
      <w:r w:rsidR="009D7747">
        <w:rPr>
          <w:rFonts w:cs="Times New Roman"/>
          <w:bCs/>
        </w:rPr>
        <w:t>3, HKII</w:t>
      </w:r>
      <w:r w:rsidRPr="00DA7323">
        <w:rPr>
          <w:rFonts w:cs="Times New Roman"/>
          <w:bCs/>
        </w:rPr>
        <w:t xml:space="preserve"> mRNA seviyelerinde belirgin bir </w:t>
      </w:r>
      <w:r w:rsidR="008D0428">
        <w:rPr>
          <w:rFonts w:cs="Times New Roman"/>
          <w:bCs/>
        </w:rPr>
        <w:t>artışı</w:t>
      </w:r>
      <w:r w:rsidRPr="00DA7323">
        <w:rPr>
          <w:rFonts w:cs="Times New Roman"/>
          <w:bCs/>
        </w:rPr>
        <w:t xml:space="preserve"> (6-40 kat) indüklediği</w:t>
      </w:r>
      <w:r w:rsidR="008B0210">
        <w:rPr>
          <w:rFonts w:cs="Times New Roman"/>
          <w:bCs/>
        </w:rPr>
        <w:t>ni</w:t>
      </w:r>
      <w:r w:rsidRPr="00DA7323">
        <w:rPr>
          <w:rFonts w:cs="Times New Roman"/>
          <w:bCs/>
        </w:rPr>
        <w:t xml:space="preserve"> ortaya ko</w:t>
      </w:r>
      <w:r w:rsidR="008B0210">
        <w:rPr>
          <w:rFonts w:cs="Times New Roman"/>
          <w:bCs/>
        </w:rPr>
        <w:t>ymuşlardır</w:t>
      </w:r>
      <w:r w:rsidRPr="00DA7323">
        <w:rPr>
          <w:rFonts w:cs="Times New Roman"/>
          <w:bCs/>
        </w:rPr>
        <w:t xml:space="preserve">. </w:t>
      </w:r>
    </w:p>
    <w:p w:rsidR="00DA7323" w:rsidRPr="00DA7323" w:rsidRDefault="008B0210" w:rsidP="00DA7323">
      <w:pPr>
        <w:rPr>
          <w:rFonts w:cs="Times New Roman"/>
          <w:bCs/>
        </w:rPr>
      </w:pPr>
      <w:r>
        <w:rPr>
          <w:rFonts w:cs="Times New Roman"/>
        </w:rPr>
        <w:lastRenderedPageBreak/>
        <w:t>Rodríguez-Enríquez ve ark</w:t>
      </w:r>
      <w:r w:rsidRPr="00DA7323">
        <w:rPr>
          <w:rFonts w:cs="Times New Roman"/>
        </w:rPr>
        <w:t xml:space="preserve"> </w:t>
      </w:r>
      <w:r>
        <w:rPr>
          <w:rFonts w:cs="Times New Roman"/>
        </w:rPr>
        <w:t>(</w:t>
      </w:r>
      <w:r w:rsidRPr="00DA7323">
        <w:rPr>
          <w:rFonts w:cs="Times New Roman"/>
        </w:rPr>
        <w:t>2010</w:t>
      </w:r>
      <w:r>
        <w:rPr>
          <w:rFonts w:cs="Times New Roman"/>
        </w:rPr>
        <w:t>) yaptıkları bir</w:t>
      </w:r>
      <w:r w:rsidR="00DA7323" w:rsidRPr="00DA7323">
        <w:rPr>
          <w:rFonts w:cs="Times New Roman"/>
          <w:bCs/>
        </w:rPr>
        <w:t xml:space="preserve"> çalışmada, kısa süreli hipoksi (%0,1 0</w:t>
      </w:r>
      <w:r w:rsidR="00DA7323" w:rsidRPr="00A37B14">
        <w:rPr>
          <w:rFonts w:cs="Times New Roman"/>
          <w:bCs/>
          <w:vertAlign w:val="subscript"/>
        </w:rPr>
        <w:t>2</w:t>
      </w:r>
      <w:r w:rsidR="00DA7323" w:rsidRPr="00DA7323">
        <w:rPr>
          <w:rFonts w:cs="Times New Roman"/>
          <w:bCs/>
        </w:rPr>
        <w:t>, 8 saat) den sonra HeLa hücrelerinde normoksiye kıyasla GLUT1 mRNA ve protein içerikleri</w:t>
      </w:r>
      <w:r>
        <w:rPr>
          <w:rFonts w:cs="Times New Roman"/>
          <w:bCs/>
        </w:rPr>
        <w:t>nin</w:t>
      </w:r>
      <w:r w:rsidR="00DA7323" w:rsidRPr="00DA7323">
        <w:rPr>
          <w:rFonts w:cs="Times New Roman"/>
          <w:bCs/>
        </w:rPr>
        <w:t xml:space="preserve"> art</w:t>
      </w:r>
      <w:r>
        <w:rPr>
          <w:rFonts w:cs="Times New Roman"/>
          <w:bCs/>
        </w:rPr>
        <w:t>tığını</w:t>
      </w:r>
      <w:r w:rsidR="00DA7323" w:rsidRPr="00DA7323">
        <w:rPr>
          <w:rFonts w:cs="Times New Roman"/>
          <w:bCs/>
        </w:rPr>
        <w:t>, HKII transkripti değişmeden kalmasına</w:t>
      </w:r>
      <w:r w:rsidR="00DA7323" w:rsidRPr="00DA7323">
        <w:rPr>
          <w:rFonts w:cs="Times New Roman"/>
        </w:rPr>
        <w:t xml:space="preserve"> rağmen HKII protein içeriğinde 3.2 kat bir artış </w:t>
      </w:r>
      <w:r>
        <w:rPr>
          <w:rFonts w:cs="Times New Roman"/>
        </w:rPr>
        <w:t xml:space="preserve">olduğunu </w:t>
      </w:r>
      <w:r w:rsidR="00DA7323" w:rsidRPr="00DA7323">
        <w:rPr>
          <w:rFonts w:cs="Times New Roman"/>
        </w:rPr>
        <w:t>gözlemle</w:t>
      </w:r>
      <w:r>
        <w:rPr>
          <w:rFonts w:cs="Times New Roman"/>
        </w:rPr>
        <w:t>mişlerdir.</w:t>
      </w:r>
      <w:r w:rsidR="00DA7323" w:rsidRPr="00DA7323">
        <w:rPr>
          <w:rFonts w:cs="Times New Roman"/>
        </w:rPr>
        <w:t xml:space="preserve"> MCF7 hücrelerinde de GLUT1 ve HKII mRNA’larında önemli bir değişim gözlenmezken HeLa hücrelerine benzer şekilde GLUT ve HKII protein seviyelerinde önemli miktarda değişim olmuştur. Uzun süreli hipoksiden sonra (%0,1 0</w:t>
      </w:r>
      <w:r w:rsidR="00DA7323" w:rsidRPr="00DA7323">
        <w:rPr>
          <w:rFonts w:cs="Times New Roman"/>
          <w:vertAlign w:val="subscript"/>
        </w:rPr>
        <w:t>2</w:t>
      </w:r>
      <w:r w:rsidR="00DA7323" w:rsidRPr="00DA7323">
        <w:rPr>
          <w:rFonts w:cs="Times New Roman"/>
        </w:rPr>
        <w:t xml:space="preserve">, 24 saat) ise HIF1α transkripsiyon seviyelerinde değişim gözlenmemiş veya bir azalış olmuş ancak HIF1α protein içeriği her iki kanser hücresinde de 4 kata kadar artmıştır. HIF1α’daki protein oluşumu artan GLUT1 (1.9 kat ve 2.3 kat) ve HKII (1.5 kat) mRNA’larında görüldüğü gibi her iki tümörde de aktif bir transkripsiyonel fonksiyon ile korelasyon göstermektedir. Buna karşılık, sitozolik HKII (1.4-2.2 kat) aktivitesinin yanı sıra GLUT1 (2.3 kat) ve HKII (4.5-5.5 kat) protein seviyesi de ayrıca artmıştır. Ayrıca MCF-7 ve HeLa hücrelerinde glikolitik akış da sırayla 3.7 ve 6 kat artış göstermiştir. Elde edilen bulgular hipoksiye transkripsiyonel cevabın büyük olasılıkla hücreler hücuma maruz kaldıktan kısa bir süre sonra </w:t>
      </w:r>
      <w:r w:rsidR="00DA7323" w:rsidRPr="00DA7323">
        <w:rPr>
          <w:rFonts w:cs="Times New Roman"/>
          <w:bCs/>
        </w:rPr>
        <w:t>ortaya çıktığını ve 24 saatte görülen mRNA kararlı durum seviyelerinin her mRNA’nın sentez ve bozulma süreçlerine bağlı farklı yarılanma ömürlerinden kaynaklandığını göstermiştir (Rodríguez-Enríquez ve ark, 2010).</w:t>
      </w:r>
    </w:p>
    <w:p w:rsidR="00DA7323" w:rsidRPr="00DA7323" w:rsidRDefault="00DA7323" w:rsidP="00DA7323">
      <w:pPr>
        <w:rPr>
          <w:rFonts w:cs="Times New Roman"/>
          <w:bCs/>
        </w:rPr>
      </w:pPr>
      <w:r w:rsidRPr="00DA7323">
        <w:rPr>
          <w:rFonts w:cs="Times New Roman"/>
          <w:bCs/>
        </w:rPr>
        <w:t>HK</w:t>
      </w:r>
      <w:r w:rsidR="00D8143F">
        <w:rPr>
          <w:rFonts w:cs="Times New Roman"/>
          <w:bCs/>
        </w:rPr>
        <w:t>2</w:t>
      </w:r>
      <w:r w:rsidRPr="00DA7323">
        <w:rPr>
          <w:rFonts w:cs="Times New Roman"/>
          <w:bCs/>
        </w:rPr>
        <w:t>, PKM2 gibi önemli glikolitik kilit enzimlere ek olarak ayrıca fosfosfruktokinazı (PFK) kodlayan genler de HIF1α aracılı diferansiyel ekspresyona uğrayarak Warburg etkisine katkı sağlarlar.  PFK'nin, diğer glikolitik enzimler gibi hücresel süreçleri düzenlediğine dair kanıtlar vardır (Lincet ve Icard, 2015</w:t>
      </w:r>
      <w:r w:rsidRPr="00DA7323">
        <w:rPr>
          <w:rFonts w:cs="Times New Roman"/>
        </w:rPr>
        <w:t xml:space="preserve">). PFK-M, PFK-L ve PFK-P, sırasıyla kasta, karaciğerde ve trombositlerde eksprese edilen başlıca izoformlardır (Sola-Penna ve ark, 2010). Vora ve ark (1985), L ve P PFK izoformlarının, Walburg etkisinin aracılığı ile tümör ilerlemesinde oynadığı etkiyi tarif etmişlerdir. Daha yakın zamanlarda, insan meme kanseri hücrelerinin agresifliğinin ve glikolitik etkinliğin PFK-L ekspresyonu ile doğrudan ilişkili olduğu gösterilmiştir (Zancan ve ark, 2010). </w:t>
      </w:r>
      <w:r w:rsidR="008B0210">
        <w:rPr>
          <w:rFonts w:cs="Times New Roman"/>
        </w:rPr>
        <w:t>Cardim Pires ve ark</w:t>
      </w:r>
      <w:r w:rsidR="008B0210" w:rsidRPr="00DA7323">
        <w:rPr>
          <w:rFonts w:cs="Times New Roman"/>
        </w:rPr>
        <w:t xml:space="preserve"> </w:t>
      </w:r>
      <w:r w:rsidR="008B0210">
        <w:rPr>
          <w:rFonts w:cs="Times New Roman"/>
        </w:rPr>
        <w:t>(</w:t>
      </w:r>
      <w:r w:rsidR="008B0210" w:rsidRPr="00DA7323">
        <w:rPr>
          <w:rFonts w:cs="Times New Roman"/>
        </w:rPr>
        <w:t>2017</w:t>
      </w:r>
      <w:r w:rsidR="008B0210">
        <w:rPr>
          <w:rFonts w:cs="Times New Roman"/>
        </w:rPr>
        <w:t>)</w:t>
      </w:r>
      <w:r w:rsidRPr="00DA7323">
        <w:rPr>
          <w:rFonts w:cs="Times New Roman"/>
        </w:rPr>
        <w:t xml:space="preserve">, HeLa hücrelerinin önceki çalışmalara uygun olan PFK-P izoformunu eksprese </w:t>
      </w:r>
      <w:r w:rsidR="008B0210">
        <w:rPr>
          <w:rFonts w:cs="Times New Roman"/>
        </w:rPr>
        <w:t>ettiğini</w:t>
      </w:r>
      <w:r w:rsidRPr="00DA7323">
        <w:rPr>
          <w:rFonts w:cs="Times New Roman"/>
        </w:rPr>
        <w:t xml:space="preserve"> bul</w:t>
      </w:r>
      <w:r w:rsidR="008B0210">
        <w:rPr>
          <w:rFonts w:cs="Times New Roman"/>
        </w:rPr>
        <w:t>muşlardır.</w:t>
      </w:r>
      <w:r w:rsidRPr="00DA7323">
        <w:rPr>
          <w:rFonts w:cs="Times New Roman"/>
        </w:rPr>
        <w:t xml:space="preserve"> Šmerc ve ark (2011) ise, memeli kanser hücrelerinde PFK‑M'nin post-translasyonel modifikasyonunun, kanserde glikolitik akı düzenlemesinde önemli bir </w:t>
      </w:r>
      <w:r w:rsidRPr="00DA7323">
        <w:rPr>
          <w:rFonts w:cs="Times New Roman"/>
          <w:bCs/>
        </w:rPr>
        <w:t xml:space="preserve">değişikliği tetikleyebilen değişen kinetik parametrelere sahip aktif kısa PFK-M fragmanlarının oluşumuna yol açtığını ve bunun Warburg etkisi üzerinde etkisi olabildiğini göstermişlerdir. </w:t>
      </w:r>
    </w:p>
    <w:p w:rsidR="00DA7323" w:rsidRPr="00DA7323" w:rsidRDefault="00DA7323" w:rsidP="00DA7323">
      <w:pPr>
        <w:rPr>
          <w:rFonts w:cs="Times New Roman"/>
          <w:bCs/>
        </w:rPr>
      </w:pPr>
      <w:r w:rsidRPr="00DA7323">
        <w:rPr>
          <w:rFonts w:cs="Times New Roman"/>
          <w:bCs/>
        </w:rPr>
        <w:t>Yap</w:t>
      </w:r>
      <w:r w:rsidR="008B0210">
        <w:rPr>
          <w:rFonts w:cs="Times New Roman"/>
          <w:bCs/>
        </w:rPr>
        <w:t>ılan</w:t>
      </w:r>
      <w:r w:rsidRPr="00DA7323">
        <w:rPr>
          <w:rFonts w:cs="Times New Roman"/>
          <w:bCs/>
        </w:rPr>
        <w:t xml:space="preserve"> çalışmada</w:t>
      </w:r>
      <w:r w:rsidR="008B0210">
        <w:rPr>
          <w:rFonts w:cs="Times New Roman"/>
          <w:bCs/>
        </w:rPr>
        <w:t>,</w:t>
      </w:r>
      <w:r w:rsidRPr="00DA7323">
        <w:rPr>
          <w:rFonts w:cs="Times New Roman"/>
          <w:bCs/>
        </w:rPr>
        <w:t xml:space="preserve"> normoksik ortamda konsantrasyona bağlı elde edilen PFK</w:t>
      </w:r>
      <w:r w:rsidR="00A37B14">
        <w:rPr>
          <w:rFonts w:cs="Times New Roman"/>
          <w:bCs/>
        </w:rPr>
        <w:t xml:space="preserve">P </w:t>
      </w:r>
      <w:r w:rsidR="009D7747">
        <w:rPr>
          <w:rFonts w:cs="Times New Roman"/>
          <w:bCs/>
        </w:rPr>
        <w:t>sonuçları HK</w:t>
      </w:r>
      <w:r w:rsidR="00D8143F">
        <w:rPr>
          <w:rFonts w:cs="Times New Roman"/>
          <w:bCs/>
        </w:rPr>
        <w:t>2</w:t>
      </w:r>
      <w:r w:rsidRPr="00DA7323">
        <w:rPr>
          <w:rFonts w:cs="Times New Roman"/>
          <w:bCs/>
        </w:rPr>
        <w:t xml:space="preserve"> verileri ile paralellik taşımaktadır ve bu durum her iki kilit enzimin normoksi ortamında birbirleriyle destek hal</w:t>
      </w:r>
      <w:r w:rsidR="006620CC">
        <w:rPr>
          <w:rFonts w:cs="Times New Roman"/>
          <w:bCs/>
        </w:rPr>
        <w:t>inde çalıştığını göstermektedir</w:t>
      </w:r>
      <w:r w:rsidR="009D7747">
        <w:rPr>
          <w:rFonts w:cs="Times New Roman"/>
        </w:rPr>
        <w:t>. HK</w:t>
      </w:r>
      <w:r w:rsidR="00D8143F">
        <w:rPr>
          <w:rFonts w:cs="Times New Roman"/>
        </w:rPr>
        <w:t>2</w:t>
      </w:r>
      <w:r w:rsidRPr="00DA7323">
        <w:rPr>
          <w:rFonts w:cs="Times New Roman"/>
        </w:rPr>
        <w:t xml:space="preserve"> ile uyumlu şekilde </w:t>
      </w:r>
      <w:r w:rsidRPr="00DA7323">
        <w:rPr>
          <w:rFonts w:cs="Times New Roman"/>
        </w:rPr>
        <w:lastRenderedPageBreak/>
        <w:t xml:space="preserve">saatlere bağlı olarak uygulama gruplarında dalgalı bir değişim (artış-azalış) söz konusudur. 15 ve 55 mM konsantrasyonlarında 12. ve 48. saatte enzim miktarlarının zamana bağlı yükseldiği görülmektedir. Bu saatlerde, glikolitik akışın hızlanması sonucu substratı olan F6P ile hızlı bir şekilde etkileşmesi amacıyla enzim </w:t>
      </w:r>
      <w:r w:rsidRPr="00DA7323">
        <w:rPr>
          <w:rFonts w:cs="Times New Roman"/>
          <w:bCs/>
        </w:rPr>
        <w:t xml:space="preserve">sentezinin artış gösterdiği </w:t>
      </w:r>
      <w:r w:rsidR="0061281A">
        <w:rPr>
          <w:rFonts w:cs="Times New Roman"/>
          <w:bCs/>
        </w:rPr>
        <w:t>sonucuna varılmıştır</w:t>
      </w:r>
      <w:r w:rsidRPr="00DA7323">
        <w:rPr>
          <w:rFonts w:cs="Times New Roman"/>
          <w:bCs/>
        </w:rPr>
        <w:t>. Bu durum aynı zamanda bu inkübasyon sürelerinde hiperglisemik koşulların Warburg etkisi yoluyla ortamdaki PFK</w:t>
      </w:r>
      <w:r w:rsidR="00A37B14">
        <w:rPr>
          <w:rFonts w:cs="Times New Roman"/>
          <w:bCs/>
        </w:rPr>
        <w:t>P</w:t>
      </w:r>
      <w:r w:rsidRPr="00DA7323">
        <w:rPr>
          <w:rFonts w:cs="Times New Roman"/>
          <w:bCs/>
        </w:rPr>
        <w:t xml:space="preserve"> enzim seviyesini arttırdığını </w:t>
      </w:r>
      <w:r w:rsidR="006620CC">
        <w:rPr>
          <w:rFonts w:cs="Times New Roman"/>
          <w:bCs/>
        </w:rPr>
        <w:t>kanıtlar niteliktedir</w:t>
      </w:r>
      <w:r w:rsidRPr="00DA7323">
        <w:rPr>
          <w:rFonts w:cs="Times New Roman"/>
          <w:bCs/>
        </w:rPr>
        <w:t xml:space="preserve">. </w:t>
      </w:r>
    </w:p>
    <w:p w:rsidR="00DA7323" w:rsidRPr="00DA7323" w:rsidRDefault="008B0210" w:rsidP="00DA7323">
      <w:pPr>
        <w:rPr>
          <w:rFonts w:cs="Times New Roman"/>
          <w:bCs/>
        </w:rPr>
      </w:pPr>
      <w:r>
        <w:rPr>
          <w:rFonts w:cs="Times New Roman"/>
        </w:rPr>
        <w:t xml:space="preserve">Olbryt ve </w:t>
      </w:r>
      <w:r w:rsidRPr="00173B29">
        <w:rPr>
          <w:rFonts w:cs="Times New Roman"/>
          <w:bCs/>
        </w:rPr>
        <w:t xml:space="preserve">ark </w:t>
      </w:r>
      <w:r>
        <w:rPr>
          <w:rFonts w:cs="Times New Roman"/>
        </w:rPr>
        <w:t>(</w:t>
      </w:r>
      <w:r w:rsidRPr="00DA7323">
        <w:rPr>
          <w:rFonts w:cs="Times New Roman"/>
        </w:rPr>
        <w:t>2006</w:t>
      </w:r>
      <w:r>
        <w:rPr>
          <w:rFonts w:cs="Times New Roman"/>
        </w:rPr>
        <w:t>)</w:t>
      </w:r>
      <w:r w:rsidR="00173B29">
        <w:rPr>
          <w:rFonts w:cs="Times New Roman"/>
        </w:rPr>
        <w:t>,</w:t>
      </w:r>
      <w:r>
        <w:rPr>
          <w:rFonts w:cs="Times New Roman"/>
        </w:rPr>
        <w:t xml:space="preserve"> </w:t>
      </w:r>
      <w:r>
        <w:rPr>
          <w:rFonts w:cs="Times New Roman"/>
          <w:bCs/>
        </w:rPr>
        <w:t>g</w:t>
      </w:r>
      <w:r w:rsidR="00DA7323" w:rsidRPr="00DA7323">
        <w:rPr>
          <w:rFonts w:cs="Times New Roman"/>
          <w:bCs/>
        </w:rPr>
        <w:t>liko</w:t>
      </w:r>
      <w:r>
        <w:rPr>
          <w:rFonts w:cs="Times New Roman"/>
          <w:bCs/>
        </w:rPr>
        <w:t>litik akıya hipoksinin etkisini</w:t>
      </w:r>
      <w:r w:rsidR="00DA7323" w:rsidRPr="00DA7323">
        <w:rPr>
          <w:rFonts w:cs="Times New Roman"/>
          <w:bCs/>
        </w:rPr>
        <w:t xml:space="preserve"> değerlendi</w:t>
      </w:r>
      <w:r>
        <w:rPr>
          <w:rFonts w:cs="Times New Roman"/>
          <w:bCs/>
        </w:rPr>
        <w:t>rdikleri</w:t>
      </w:r>
      <w:r w:rsidR="00DA7323" w:rsidRPr="00DA7323">
        <w:rPr>
          <w:rFonts w:cs="Times New Roman"/>
          <w:bCs/>
        </w:rPr>
        <w:t xml:space="preserve"> bir çalışmada</w:t>
      </w:r>
      <w:r>
        <w:rPr>
          <w:rFonts w:cs="Times New Roman"/>
          <w:bCs/>
        </w:rPr>
        <w:t>,</w:t>
      </w:r>
      <w:r w:rsidR="00DA7323" w:rsidRPr="00DA7323">
        <w:rPr>
          <w:rFonts w:cs="Times New Roman"/>
          <w:bCs/>
        </w:rPr>
        <w:t xml:space="preserve"> hipoksi maruziyetine uğratılan kanser</w:t>
      </w:r>
      <w:r w:rsidR="009D7747">
        <w:rPr>
          <w:rFonts w:cs="Times New Roman"/>
        </w:rPr>
        <w:t xml:space="preserve"> hücrelerinin, PFK</w:t>
      </w:r>
      <w:r w:rsidR="00DA7323" w:rsidRPr="00DA7323">
        <w:rPr>
          <w:rFonts w:cs="Times New Roman"/>
        </w:rPr>
        <w:t>P'yi aşırı eksprese ettiği tespit e</w:t>
      </w:r>
      <w:r>
        <w:rPr>
          <w:rFonts w:cs="Times New Roman"/>
        </w:rPr>
        <w:t>tmişlerdir.</w:t>
      </w:r>
      <w:r w:rsidR="00DA7323" w:rsidRPr="00DA7323">
        <w:rPr>
          <w:rFonts w:cs="Times New Roman"/>
        </w:rPr>
        <w:t xml:space="preserve"> Hipoksi sırasında karides hepatopankreasında glikolitik PFK ve glukoneojenik fruktoz bifosfataz (FBP) ekspresyonunun indüklendiği gösterilmiştir (Cota-Ruiz ve ark, 2016). Hiperglisemi, pankreas kanseri glikolizini destekler. Pankreas kanseri BxPC-3 hücrelerinde LDHA aktivitesi ve HK2 ile PFKP ekspresyonunun hiperglisemik koşullar altında önemli ölçüde upregüle olduğu belirlenmiştir (Cheng ve ark, 2019). HIF-lα yıkımı ise, LDHA aktivitesini ve HK2 ile PFKP ekspresyonunu downregüle etmiş ve laktat </w:t>
      </w:r>
      <w:r w:rsidR="00DA7323" w:rsidRPr="00DA7323">
        <w:rPr>
          <w:rFonts w:cs="Times New Roman"/>
          <w:bCs/>
        </w:rPr>
        <w:t>üretimini azaltmıştır. Hipoksi koşulunda hipergliseminin, HIF-lα'ya bağımlı ve bağımsız mekaniz</w:t>
      </w:r>
      <w:r w:rsidR="0061281A">
        <w:rPr>
          <w:rFonts w:cs="Times New Roman"/>
          <w:bCs/>
        </w:rPr>
        <w:t>malar ile pankreatik glikolizi</w:t>
      </w:r>
      <w:r w:rsidR="00DA7323" w:rsidRPr="00DA7323">
        <w:rPr>
          <w:rFonts w:cs="Times New Roman"/>
          <w:bCs/>
        </w:rPr>
        <w:t xml:space="preserve"> indüklediği rapor edilmiştir (Cheng ve ark, 2019).</w:t>
      </w:r>
    </w:p>
    <w:p w:rsidR="00DA7323" w:rsidRPr="00DA7323" w:rsidRDefault="00DA7323" w:rsidP="00DA7323">
      <w:pPr>
        <w:rPr>
          <w:rFonts w:cs="Times New Roman"/>
        </w:rPr>
      </w:pPr>
      <w:r w:rsidRPr="00DA7323">
        <w:rPr>
          <w:rFonts w:cs="Times New Roman"/>
          <w:bCs/>
        </w:rPr>
        <w:t>Hipoksik koşullarda glukozsuz ortamda enzim miktarlarının 6., 12. ve 24. saatlerde diğer konsantrasyonlara göre yüksek olduğu görü</w:t>
      </w:r>
      <w:r w:rsidR="0061281A">
        <w:rPr>
          <w:rFonts w:cs="Times New Roman"/>
          <w:bCs/>
        </w:rPr>
        <w:t>lmektedir (p&lt;0,001). 5.</w:t>
      </w:r>
      <w:r w:rsidRPr="00DA7323">
        <w:rPr>
          <w:rFonts w:cs="Times New Roman"/>
          <w:bCs/>
        </w:rPr>
        <w:t>5 mM glukoz ortamında enzim seviyelerinin</w:t>
      </w:r>
      <w:r w:rsidRPr="00DA7323">
        <w:rPr>
          <w:rFonts w:cs="Times New Roman"/>
        </w:rPr>
        <w:t xml:space="preserve"> glukozsuz ortama göre ilk 24 saat düştüğü, 24. </w:t>
      </w:r>
      <w:r w:rsidR="0061281A">
        <w:rPr>
          <w:rFonts w:cs="Times New Roman"/>
        </w:rPr>
        <w:t>s</w:t>
      </w:r>
      <w:r w:rsidRPr="00DA7323">
        <w:rPr>
          <w:rFonts w:cs="Times New Roman"/>
        </w:rPr>
        <w:t xml:space="preserve">aatten sonra ise yükseldiği görülmüştür (p&gt;0,001), bu durum uzun süreli hipoksinin normoglisemik ortamda enzim sentezini başlattığının bir kanıtı olabilir. Yüksek glukoz dozlarında ilk 6 saat konsantrasyona bağlı enzim miktarının </w:t>
      </w:r>
      <w:r w:rsidR="00CC7712">
        <w:rPr>
          <w:rFonts w:cs="Times New Roman"/>
        </w:rPr>
        <w:t>yüksek olması</w:t>
      </w:r>
      <w:r w:rsidRPr="00DA7323">
        <w:rPr>
          <w:rFonts w:cs="Times New Roman"/>
        </w:rPr>
        <w:t xml:space="preserve"> (p&lt;0,001), hiperglisemik ortamda kısa süreli hipoksinin etkin olduğunu, 12. saatteki enzim seviyesindeki düşüşün ise metabolizmanın hipoksiye uyumlanarak enz</w:t>
      </w:r>
      <w:r w:rsidR="006620CC">
        <w:rPr>
          <w:rFonts w:cs="Times New Roman"/>
        </w:rPr>
        <w:t>im sentezini azaltmış olabileceğini düşündürmüştür</w:t>
      </w:r>
      <w:r w:rsidRPr="00DA7323">
        <w:rPr>
          <w:rFonts w:cs="Times New Roman"/>
        </w:rPr>
        <w:t>. Uzun süreli (48 saat) hipo</w:t>
      </w:r>
      <w:r w:rsidR="00CC7712">
        <w:rPr>
          <w:rFonts w:cs="Times New Roman"/>
        </w:rPr>
        <w:t>kside enzim miktarı tekrar artmıştır</w:t>
      </w:r>
      <w:r w:rsidR="009D7747">
        <w:rPr>
          <w:rFonts w:cs="Times New Roman"/>
        </w:rPr>
        <w:t>. Normoksik ortamda HK</w:t>
      </w:r>
      <w:r w:rsidR="00D8143F">
        <w:rPr>
          <w:rFonts w:cs="Times New Roman"/>
        </w:rPr>
        <w:t>2</w:t>
      </w:r>
      <w:r w:rsidRPr="00DA7323">
        <w:rPr>
          <w:rFonts w:cs="Times New Roman"/>
        </w:rPr>
        <w:t xml:space="preserve"> ile PFK</w:t>
      </w:r>
      <w:r w:rsidR="00A37B14">
        <w:rPr>
          <w:rFonts w:cs="Times New Roman"/>
        </w:rPr>
        <w:t>P</w:t>
      </w:r>
      <w:r w:rsidR="00153A55">
        <w:rPr>
          <w:rFonts w:cs="Times New Roman"/>
        </w:rPr>
        <w:t xml:space="preserve"> düzeyleri benzer değişimler (artış-azalış)</w:t>
      </w:r>
      <w:r w:rsidRPr="00DA7323">
        <w:rPr>
          <w:rFonts w:cs="Times New Roman"/>
        </w:rPr>
        <w:t xml:space="preserve"> gösterirken, aynı benzerlik hipokside mevcut değildir. Elde edilen veriler hipoksinin her iki enzim üzerine olan etkinliğinin farklılığını kanıtlamıştır. Yüksek glukoz dozları için normoksi ve hipoksi arasındaki farklılıklar daha belirgin olmakla beraber 15</w:t>
      </w:r>
      <w:r w:rsidR="00A37B14">
        <w:rPr>
          <w:rFonts w:cs="Times New Roman"/>
        </w:rPr>
        <w:t xml:space="preserve"> mM glukoz ortamında 6.</w:t>
      </w:r>
      <w:r w:rsidRPr="00DA7323">
        <w:rPr>
          <w:rFonts w:cs="Times New Roman"/>
        </w:rPr>
        <w:t xml:space="preserve"> ve  24. saatlerde hipokside normoksiye göre sırasıyla 14,91 ve 56,5 kat artış </w:t>
      </w:r>
      <w:r w:rsidR="0061281A">
        <w:rPr>
          <w:rFonts w:cs="Times New Roman"/>
        </w:rPr>
        <w:t>kaydedilmiştir</w:t>
      </w:r>
      <w:r w:rsidRPr="00DA7323">
        <w:rPr>
          <w:rFonts w:cs="Times New Roman"/>
        </w:rPr>
        <w:t xml:space="preserve">. Bu durum bu inkübasyon sürelerinde hipoksi ile HIF1α-bağlı glikolitik akının indüklendiğini göstermektedir. 15 ve 55 mM glukoz ortamları için 12. saatlerde normoksiye göre hipokside enzim miktarlarında yüksek ölçüde azalma olması ise bu inkübasyonda normoksik ortamdaki </w:t>
      </w:r>
      <w:r w:rsidRPr="00DA7323">
        <w:rPr>
          <w:rFonts w:cs="Times New Roman"/>
        </w:rPr>
        <w:lastRenderedPageBreak/>
        <w:t xml:space="preserve">glikolitik akışın HIF1α’dan bağımsız farklı onkogenler vasıtasıyla tetiklendiğini ortaya koymaktadır. </w:t>
      </w:r>
    </w:p>
    <w:p w:rsidR="00DA7323" w:rsidRPr="00DA7323" w:rsidRDefault="00DA7323" w:rsidP="00DA7323">
      <w:pPr>
        <w:rPr>
          <w:rFonts w:cs="Times New Roman"/>
        </w:rPr>
      </w:pPr>
    </w:p>
    <w:p w:rsidR="00DA7323" w:rsidRPr="00DA7323" w:rsidRDefault="00DA7323" w:rsidP="00DA7323">
      <w:pPr>
        <w:rPr>
          <w:rFonts w:cs="Times New Roman"/>
        </w:rPr>
      </w:pPr>
    </w:p>
    <w:p w:rsidR="00DA7323" w:rsidRDefault="00DA7323"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173B29" w:rsidRDefault="00173B29" w:rsidP="00DA7323">
      <w:pPr>
        <w:rPr>
          <w:rFonts w:cs="Times New Roman"/>
        </w:rPr>
      </w:pPr>
    </w:p>
    <w:p w:rsidR="00173B29" w:rsidRDefault="00173B29" w:rsidP="00DA7323">
      <w:pPr>
        <w:rPr>
          <w:rFonts w:cs="Times New Roman"/>
        </w:rPr>
      </w:pPr>
    </w:p>
    <w:p w:rsidR="00173B29" w:rsidRDefault="00173B29" w:rsidP="00DA7323">
      <w:pPr>
        <w:rPr>
          <w:rFonts w:cs="Times New Roman"/>
        </w:rPr>
      </w:pPr>
    </w:p>
    <w:p w:rsidR="00173B29" w:rsidRDefault="00173B29"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3A14E5" w:rsidRDefault="003A14E5" w:rsidP="00DA7323">
      <w:pPr>
        <w:rPr>
          <w:rFonts w:cs="Times New Roman"/>
        </w:rPr>
      </w:pPr>
    </w:p>
    <w:p w:rsidR="00DA7323" w:rsidRPr="00DA7323" w:rsidRDefault="00DA7323" w:rsidP="00DA7323">
      <w:pPr>
        <w:rPr>
          <w:rFonts w:cs="Times New Roman"/>
        </w:rPr>
      </w:pPr>
    </w:p>
    <w:p w:rsidR="00DA7323" w:rsidRPr="00DA7323" w:rsidRDefault="00DA7323" w:rsidP="00DA7323">
      <w:pPr>
        <w:rPr>
          <w:rFonts w:cs="Times New Roman"/>
        </w:rPr>
      </w:pPr>
    </w:p>
    <w:p w:rsidR="00DA7323" w:rsidRPr="00DA7323" w:rsidRDefault="00DA7323" w:rsidP="00DA7323">
      <w:pPr>
        <w:rPr>
          <w:rFonts w:cs="Times New Roman"/>
        </w:rPr>
      </w:pPr>
    </w:p>
    <w:p w:rsidR="00DA7323" w:rsidRDefault="00DA7323" w:rsidP="00DA7323">
      <w:pPr>
        <w:rPr>
          <w:rFonts w:cs="Times New Roman"/>
        </w:rPr>
      </w:pPr>
    </w:p>
    <w:p w:rsidR="00D3254B" w:rsidRPr="00DA7323" w:rsidRDefault="00D3254B" w:rsidP="00DA7323">
      <w:pPr>
        <w:rPr>
          <w:rFonts w:cs="Times New Roman"/>
        </w:rPr>
      </w:pPr>
      <w:bookmarkStart w:id="30" w:name="_GoBack"/>
      <w:bookmarkEnd w:id="30"/>
    </w:p>
    <w:p w:rsidR="00002CBF" w:rsidRPr="009E54D6" w:rsidRDefault="00002CBF" w:rsidP="00002CBF">
      <w:pPr>
        <w:autoSpaceDE w:val="0"/>
        <w:autoSpaceDN w:val="0"/>
        <w:adjustRightInd w:val="0"/>
        <w:ind w:firstLine="0"/>
        <w:jc w:val="center"/>
        <w:rPr>
          <w:rFonts w:eastAsia="Times New Roman" w:cs="Times New Roman"/>
          <w:color w:val="FF0000"/>
          <w:szCs w:val="24"/>
          <w:lang w:eastAsia="tr-TR"/>
        </w:rPr>
      </w:pPr>
      <w:r w:rsidRPr="004C1D44">
        <w:rPr>
          <w:rFonts w:cs="Times New Roman"/>
          <w:b/>
          <w:color w:val="000000" w:themeColor="text1"/>
          <w:sz w:val="28"/>
          <w:szCs w:val="28"/>
        </w:rPr>
        <w:lastRenderedPageBreak/>
        <w:t>6. SONUÇ VE ÖNERİLER</w:t>
      </w:r>
    </w:p>
    <w:p w:rsidR="00DA7323" w:rsidRDefault="00DA7323" w:rsidP="00DA7323">
      <w:pPr>
        <w:jc w:val="center"/>
        <w:rPr>
          <w:rFonts w:cs="Times New Roman"/>
          <w:b/>
        </w:rPr>
      </w:pPr>
    </w:p>
    <w:p w:rsidR="00DA7323" w:rsidRPr="00DA7323" w:rsidRDefault="00DA7323" w:rsidP="00DA7323">
      <w:pPr>
        <w:jc w:val="center"/>
        <w:rPr>
          <w:rFonts w:cs="Times New Roman"/>
          <w:b/>
        </w:rPr>
      </w:pPr>
    </w:p>
    <w:p w:rsidR="00DA7323" w:rsidRPr="00DA7323" w:rsidRDefault="00DA7323" w:rsidP="00DA7323">
      <w:pPr>
        <w:rPr>
          <w:rFonts w:cs="Times New Roman"/>
        </w:rPr>
      </w:pPr>
      <w:r w:rsidRPr="00DA7323">
        <w:rPr>
          <w:rFonts w:cs="Times New Roman"/>
        </w:rPr>
        <w:t xml:space="preserve">Kanser hücresi enerji metabolizması normal dokularınkinden önemli ölçüde </w:t>
      </w:r>
      <w:r w:rsidR="006F48C2">
        <w:rPr>
          <w:rFonts w:cs="Times New Roman"/>
        </w:rPr>
        <w:t xml:space="preserve">farklılıklar göstermektedir. </w:t>
      </w:r>
      <w:r w:rsidRPr="00DA7323">
        <w:rPr>
          <w:rFonts w:cs="Times New Roman"/>
        </w:rPr>
        <w:t>Çok sayıda çalışma, bu hücrelerin metabolizmalarını yeniden programladıklarını ve düzenlenen metabolizmanın kanser tedavisi için potansiyel bir terapötik hedef olara</w:t>
      </w:r>
      <w:r w:rsidR="006F48C2">
        <w:rPr>
          <w:rFonts w:cs="Times New Roman"/>
        </w:rPr>
        <w:t xml:space="preserve">k kabul edildiğini göstermiştir. </w:t>
      </w:r>
      <w:r w:rsidRPr="00DA7323">
        <w:rPr>
          <w:rFonts w:cs="Times New Roman"/>
        </w:rPr>
        <w:t>Birçok kanser hücresi, normoksik veya hipoksik durum altında olsun ya da olmasın, enerji üretimi ve gerekli katabolik ve anabolik öncül maddelerini üretebilmek adına aerobik glikoliz</w:t>
      </w:r>
      <w:r w:rsidR="00D60C0A">
        <w:rPr>
          <w:rFonts w:cs="Times New Roman"/>
        </w:rPr>
        <w:t>e</w:t>
      </w:r>
      <w:r w:rsidRPr="00DA7323">
        <w:rPr>
          <w:rFonts w:cs="Times New Roman"/>
        </w:rPr>
        <w:t xml:space="preserve"> yönelirler. Dolayısıyla glikolitik yolağın içerisinde yer alan enzimler ve </w:t>
      </w:r>
      <w:r w:rsidR="00B22864">
        <w:rPr>
          <w:rFonts w:cs="Times New Roman"/>
        </w:rPr>
        <w:t xml:space="preserve">hücrede </w:t>
      </w:r>
      <w:r w:rsidRPr="00DA7323">
        <w:rPr>
          <w:rFonts w:cs="Times New Roman"/>
        </w:rPr>
        <w:t xml:space="preserve">oluşan metabolitlerin hedeflenmesi yeni nesil antikanser ajanları geliştirmeyi amaçlayan kanser araştırmalarına etkili bir yaklaşım sağlamaya yardımcı olacaktır. </w:t>
      </w:r>
    </w:p>
    <w:p w:rsidR="006F48C2" w:rsidRDefault="00DA7323" w:rsidP="00DA7323">
      <w:pPr>
        <w:rPr>
          <w:rFonts w:cs="Times New Roman"/>
        </w:rPr>
      </w:pPr>
      <w:r w:rsidRPr="00DA7323">
        <w:rPr>
          <w:rFonts w:cs="Times New Roman"/>
        </w:rPr>
        <w:t>Yap</w:t>
      </w:r>
      <w:r w:rsidR="006F48C2">
        <w:rPr>
          <w:rFonts w:cs="Times New Roman"/>
        </w:rPr>
        <w:t>ılan</w:t>
      </w:r>
      <w:r w:rsidRPr="00DA7323">
        <w:rPr>
          <w:rFonts w:cs="Times New Roman"/>
        </w:rPr>
        <w:t xml:space="preserve"> çalışmada</w:t>
      </w:r>
      <w:r w:rsidR="006F48C2">
        <w:rPr>
          <w:rFonts w:cs="Times New Roman"/>
        </w:rPr>
        <w:t>,</w:t>
      </w:r>
      <w:r w:rsidRPr="00DA7323">
        <w:rPr>
          <w:rFonts w:cs="Times New Roman"/>
        </w:rPr>
        <w:t xml:space="preserve"> </w:t>
      </w:r>
    </w:p>
    <w:p w:rsidR="002C6DDA" w:rsidRDefault="006F48C2" w:rsidP="006F48C2">
      <w:pPr>
        <w:pStyle w:val="ListeParagraf"/>
        <w:numPr>
          <w:ilvl w:val="0"/>
          <w:numId w:val="19"/>
        </w:numPr>
        <w:rPr>
          <w:rFonts w:cs="Times New Roman"/>
        </w:rPr>
      </w:pPr>
      <w:r>
        <w:rPr>
          <w:rFonts w:cs="Times New Roman"/>
        </w:rPr>
        <w:t>N</w:t>
      </w:r>
      <w:r w:rsidR="00DA7323" w:rsidRPr="006F48C2">
        <w:rPr>
          <w:rFonts w:cs="Times New Roman"/>
        </w:rPr>
        <w:t>ormoksik</w:t>
      </w:r>
      <w:r w:rsidRPr="006F48C2">
        <w:rPr>
          <w:rFonts w:cs="Times New Roman"/>
        </w:rPr>
        <w:t>/hipoksik</w:t>
      </w:r>
      <w:r w:rsidR="00DA7323" w:rsidRPr="006F48C2">
        <w:rPr>
          <w:rFonts w:cs="Times New Roman"/>
        </w:rPr>
        <w:t xml:space="preserve"> ve hiperglisemik ortamın Warburg etkisi yoluyla kanser hücresi çoğalımına v</w:t>
      </w:r>
      <w:r w:rsidR="00294CAF">
        <w:rPr>
          <w:rFonts w:cs="Times New Roman"/>
        </w:rPr>
        <w:t>e sağ kalımına katkı sağladığı</w:t>
      </w:r>
      <w:r w:rsidR="00DA7323" w:rsidRPr="006F48C2">
        <w:rPr>
          <w:rFonts w:cs="Times New Roman"/>
        </w:rPr>
        <w:t>, ayrıca hüc</w:t>
      </w:r>
      <w:r>
        <w:rPr>
          <w:rFonts w:cs="Times New Roman"/>
        </w:rPr>
        <w:t>rede glukoz tüketimini arttırdığı</w:t>
      </w:r>
      <w:r w:rsidR="00DA7323" w:rsidRPr="006F48C2">
        <w:rPr>
          <w:rFonts w:cs="Times New Roman"/>
        </w:rPr>
        <w:t xml:space="preserve"> gö</w:t>
      </w:r>
      <w:r w:rsidR="002C6DDA">
        <w:rPr>
          <w:rFonts w:cs="Times New Roman"/>
        </w:rPr>
        <w:t>rülmüştür</w:t>
      </w:r>
      <w:r w:rsidR="00DA7323" w:rsidRPr="006F48C2">
        <w:rPr>
          <w:rFonts w:cs="Times New Roman"/>
        </w:rPr>
        <w:t xml:space="preserve">. </w:t>
      </w:r>
    </w:p>
    <w:p w:rsidR="002C6DDA" w:rsidRDefault="002C6DDA" w:rsidP="006F48C2">
      <w:pPr>
        <w:pStyle w:val="ListeParagraf"/>
        <w:numPr>
          <w:ilvl w:val="0"/>
          <w:numId w:val="19"/>
        </w:numPr>
        <w:rPr>
          <w:rFonts w:cs="Times New Roman"/>
        </w:rPr>
      </w:pPr>
      <w:r>
        <w:rPr>
          <w:rFonts w:cs="Times New Roman"/>
        </w:rPr>
        <w:t>N</w:t>
      </w:r>
      <w:r w:rsidR="00DA7323" w:rsidRPr="006F48C2">
        <w:rPr>
          <w:rFonts w:cs="Times New Roman"/>
        </w:rPr>
        <w:t>ormoksiye kıyasla hipoksik hücrelerde glukozun hücre içine giriş</w:t>
      </w:r>
      <w:r>
        <w:rPr>
          <w:rFonts w:cs="Times New Roman"/>
        </w:rPr>
        <w:t>inin daha yüksek oranda olduğu</w:t>
      </w:r>
      <w:r w:rsidR="00DA7323" w:rsidRPr="006F48C2">
        <w:rPr>
          <w:rFonts w:cs="Times New Roman"/>
        </w:rPr>
        <w:t xml:space="preserve"> ve hipergliseminin bu artışa muhtemel HIF1α yolu</w:t>
      </w:r>
      <w:r>
        <w:rPr>
          <w:rFonts w:cs="Times New Roman"/>
        </w:rPr>
        <w:t xml:space="preserve"> aracılığı ile katkı sağladığı</w:t>
      </w:r>
      <w:r w:rsidR="00DA7323" w:rsidRPr="006F48C2">
        <w:rPr>
          <w:rFonts w:cs="Times New Roman"/>
        </w:rPr>
        <w:t xml:space="preserve"> ayrıca hipoksi</w:t>
      </w:r>
      <w:r w:rsidR="006C3ADA">
        <w:rPr>
          <w:rFonts w:cs="Times New Roman"/>
        </w:rPr>
        <w:t xml:space="preserve"> maruziyetinin uzaması sonucu</w:t>
      </w:r>
      <w:r w:rsidR="00DA7323" w:rsidRPr="006F48C2">
        <w:rPr>
          <w:rFonts w:cs="Times New Roman"/>
        </w:rPr>
        <w:t xml:space="preserve"> hücrelerin ortama direnç kazanarak canlılıklarını koru</w:t>
      </w:r>
      <w:r w:rsidR="006C3ADA">
        <w:rPr>
          <w:rFonts w:cs="Times New Roman"/>
        </w:rPr>
        <w:t>yabildikleri</w:t>
      </w:r>
      <w:r w:rsidR="00DA7323" w:rsidRPr="006F48C2">
        <w:rPr>
          <w:rFonts w:cs="Times New Roman"/>
        </w:rPr>
        <w:t xml:space="preserve"> </w:t>
      </w:r>
      <w:r w:rsidR="006C3ADA">
        <w:rPr>
          <w:rFonts w:cs="Times New Roman"/>
        </w:rPr>
        <w:t>gözlenmiştir.</w:t>
      </w:r>
      <w:r w:rsidR="00DA7323" w:rsidRPr="006F48C2">
        <w:rPr>
          <w:rFonts w:cs="Times New Roman"/>
        </w:rPr>
        <w:t xml:space="preserve"> </w:t>
      </w:r>
    </w:p>
    <w:p w:rsidR="002C6DDA" w:rsidRPr="006C3ADA" w:rsidRDefault="006C3ADA" w:rsidP="006C3ADA">
      <w:pPr>
        <w:pStyle w:val="ListeParagraf"/>
        <w:numPr>
          <w:ilvl w:val="0"/>
          <w:numId w:val="19"/>
        </w:numPr>
        <w:rPr>
          <w:rFonts w:cs="Times New Roman"/>
        </w:rPr>
      </w:pPr>
      <w:r>
        <w:rPr>
          <w:rFonts w:cs="Times New Roman"/>
        </w:rPr>
        <w:t>H</w:t>
      </w:r>
      <w:r w:rsidRPr="00B93812">
        <w:rPr>
          <w:rFonts w:cs="Times New Roman"/>
        </w:rPr>
        <w:t>em normoksik hem de hipoksik ortamda</w:t>
      </w:r>
      <w:r>
        <w:rPr>
          <w:rFonts w:cs="Times New Roman"/>
        </w:rPr>
        <w:t>ki</w:t>
      </w:r>
      <w:r w:rsidRPr="00B93812">
        <w:rPr>
          <w:rFonts w:cs="Times New Roman"/>
        </w:rPr>
        <w:t xml:space="preserve"> </w:t>
      </w:r>
      <w:r>
        <w:rPr>
          <w:rFonts w:cs="Times New Roman"/>
        </w:rPr>
        <w:t>hiperglisemik (55 mM glukoz) hücrelerde 6. saatten itibaren</w:t>
      </w:r>
      <w:r w:rsidRPr="00B93812">
        <w:rPr>
          <w:rFonts w:cs="Times New Roman"/>
        </w:rPr>
        <w:t xml:space="preserve"> </w:t>
      </w:r>
      <w:r>
        <w:rPr>
          <w:rFonts w:cs="Times New Roman"/>
        </w:rPr>
        <w:t xml:space="preserve">hücre </w:t>
      </w:r>
      <w:r w:rsidRPr="00B93812">
        <w:rPr>
          <w:rFonts w:cs="Times New Roman"/>
        </w:rPr>
        <w:t>migrasyon</w:t>
      </w:r>
      <w:r>
        <w:rPr>
          <w:rFonts w:cs="Times New Roman"/>
        </w:rPr>
        <w:t>u</w:t>
      </w:r>
      <w:r w:rsidRPr="00B93812">
        <w:rPr>
          <w:rFonts w:cs="Times New Roman"/>
        </w:rPr>
        <w:t xml:space="preserve"> </w:t>
      </w:r>
      <w:r>
        <w:rPr>
          <w:rFonts w:cs="Times New Roman"/>
        </w:rPr>
        <w:t xml:space="preserve">hızlanmış, yara açıklığı yüzdeleri azalmıştır. </w:t>
      </w:r>
      <w:r w:rsidR="00DA7323" w:rsidRPr="006C3ADA">
        <w:rPr>
          <w:rFonts w:cs="Times New Roman"/>
        </w:rPr>
        <w:t xml:space="preserve">Uzun süreli hipoksi </w:t>
      </w:r>
      <w:r>
        <w:rPr>
          <w:rFonts w:cs="Times New Roman"/>
        </w:rPr>
        <w:t xml:space="preserve">maruziyeti </w:t>
      </w:r>
      <w:r w:rsidR="00DA7323" w:rsidRPr="006C3ADA">
        <w:rPr>
          <w:rFonts w:cs="Times New Roman"/>
        </w:rPr>
        <w:t xml:space="preserve">yüksek miktarda glukoz içeren ortamda </w:t>
      </w:r>
      <w:r w:rsidR="002C6DDA" w:rsidRPr="006C3ADA">
        <w:rPr>
          <w:rFonts w:cs="Times New Roman"/>
        </w:rPr>
        <w:t>hücrelerin göç potansiyelini</w:t>
      </w:r>
      <w:r>
        <w:rPr>
          <w:rFonts w:cs="Times New Roman"/>
        </w:rPr>
        <w:t xml:space="preserve"> </w:t>
      </w:r>
      <w:r w:rsidR="00DA7323" w:rsidRPr="006C3ADA">
        <w:rPr>
          <w:rFonts w:cs="Times New Roman"/>
        </w:rPr>
        <w:t xml:space="preserve">arttırmıştır. </w:t>
      </w:r>
    </w:p>
    <w:p w:rsidR="002C6DDA" w:rsidRDefault="00DA7323" w:rsidP="006F48C2">
      <w:pPr>
        <w:pStyle w:val="ListeParagraf"/>
        <w:numPr>
          <w:ilvl w:val="0"/>
          <w:numId w:val="19"/>
        </w:numPr>
        <w:rPr>
          <w:rFonts w:cs="Times New Roman"/>
        </w:rPr>
      </w:pPr>
      <w:r w:rsidRPr="006F48C2">
        <w:rPr>
          <w:rFonts w:cs="Times New Roman"/>
        </w:rPr>
        <w:t>Hücrelerin glukozsuz kalması hem normoksi hem de hipokside hücre canlılığı ve yara iyileşmesi oranlarını azaltmış, hücrelerin morfolojilerinde büyük deği</w:t>
      </w:r>
      <w:r w:rsidR="00810D89">
        <w:rPr>
          <w:rFonts w:cs="Times New Roman"/>
        </w:rPr>
        <w:t xml:space="preserve">şimlere sebebiyet vermiştir. Elde edilen sonuçlar, </w:t>
      </w:r>
      <w:r w:rsidRPr="006F48C2">
        <w:rPr>
          <w:rFonts w:cs="Times New Roman"/>
        </w:rPr>
        <w:t xml:space="preserve">glukozun kanser hücreleri için </w:t>
      </w:r>
      <w:r w:rsidR="00810D89">
        <w:rPr>
          <w:rFonts w:cs="Times New Roman"/>
        </w:rPr>
        <w:t>ne kadar önemli bir besin kaynağı olduğunu gösterir niteliktedir.</w:t>
      </w:r>
    </w:p>
    <w:p w:rsidR="002C6DDA" w:rsidRDefault="00DA7323" w:rsidP="006F48C2">
      <w:pPr>
        <w:pStyle w:val="ListeParagraf"/>
        <w:numPr>
          <w:ilvl w:val="0"/>
          <w:numId w:val="19"/>
        </w:numPr>
        <w:rPr>
          <w:rFonts w:cs="Times New Roman"/>
        </w:rPr>
      </w:pPr>
      <w:r w:rsidRPr="006F48C2">
        <w:rPr>
          <w:rFonts w:cs="Times New Roman"/>
        </w:rPr>
        <w:t xml:space="preserve">Çalışmanın laktat sonuçları ise, MCF 7 hücrelerinde Crabtree etkisinin baskın </w:t>
      </w:r>
      <w:r w:rsidR="00810D89">
        <w:rPr>
          <w:rFonts w:cs="Times New Roman"/>
        </w:rPr>
        <w:t>çalıştığını</w:t>
      </w:r>
      <w:r w:rsidR="00910106">
        <w:rPr>
          <w:rFonts w:cs="Times New Roman"/>
        </w:rPr>
        <w:t>, hem normoksi hem de hipokside kanser hücrelerinin glikolizi tercih ettiğini</w:t>
      </w:r>
      <w:r w:rsidRPr="006F48C2">
        <w:rPr>
          <w:rFonts w:cs="Times New Roman"/>
        </w:rPr>
        <w:t xml:space="preserve"> </w:t>
      </w:r>
      <w:r w:rsidR="00294CAF">
        <w:rPr>
          <w:rFonts w:cs="Times New Roman"/>
        </w:rPr>
        <w:t>kanıtlamıştır</w:t>
      </w:r>
      <w:r w:rsidRPr="006F48C2">
        <w:rPr>
          <w:rFonts w:cs="Times New Roman"/>
        </w:rPr>
        <w:t>. Yüksek laktat miktarları</w:t>
      </w:r>
      <w:r w:rsidR="000374A3">
        <w:rPr>
          <w:rFonts w:cs="Times New Roman"/>
        </w:rPr>
        <w:t>,</w:t>
      </w:r>
      <w:r w:rsidRPr="006F48C2">
        <w:rPr>
          <w:rFonts w:cs="Times New Roman"/>
        </w:rPr>
        <w:t xml:space="preserve"> hücrelerin canlılıkları ve migrasyon kabiliyetleri ile doğru orantılı değişim sergilemiştir. </w:t>
      </w:r>
    </w:p>
    <w:p w:rsidR="002C6DDA" w:rsidRDefault="00DA7323" w:rsidP="006F48C2">
      <w:pPr>
        <w:pStyle w:val="ListeParagraf"/>
        <w:numPr>
          <w:ilvl w:val="0"/>
          <w:numId w:val="19"/>
        </w:numPr>
        <w:rPr>
          <w:rFonts w:cs="Times New Roman"/>
        </w:rPr>
      </w:pPr>
      <w:r w:rsidRPr="006F48C2">
        <w:rPr>
          <w:rFonts w:cs="Times New Roman"/>
        </w:rPr>
        <w:lastRenderedPageBreak/>
        <w:t xml:space="preserve">Ekstrasellüler laktat oluşumu ile LDHA düzeyleri arasında hipoksik ortamda ters bir orantı olduğu belirlenmiş ve bu durumun hipoksinin glikolitik akıyı hızlandırması sonucu </w:t>
      </w:r>
      <w:r w:rsidR="00294CAF">
        <w:rPr>
          <w:rFonts w:cs="Times New Roman"/>
        </w:rPr>
        <w:t xml:space="preserve">ortamda </w:t>
      </w:r>
      <w:r w:rsidR="00D60C0A" w:rsidRPr="006F48C2">
        <w:rPr>
          <w:rFonts w:cs="Times New Roman"/>
        </w:rPr>
        <w:t>biriken</w:t>
      </w:r>
      <w:r w:rsidRPr="006F48C2">
        <w:rPr>
          <w:rFonts w:cs="Times New Roman"/>
        </w:rPr>
        <w:t xml:space="preserve"> laktat </w:t>
      </w:r>
      <w:proofErr w:type="gramStart"/>
      <w:r w:rsidRPr="006F48C2">
        <w:rPr>
          <w:rFonts w:cs="Times New Roman"/>
        </w:rPr>
        <w:t>seviyelerinin  enzim</w:t>
      </w:r>
      <w:proofErr w:type="gramEnd"/>
      <w:r w:rsidRPr="006F48C2">
        <w:rPr>
          <w:rFonts w:cs="Times New Roman"/>
        </w:rPr>
        <w:t xml:space="preserve"> sentezini </w:t>
      </w:r>
      <w:r w:rsidR="0072360C">
        <w:rPr>
          <w:rFonts w:cs="Times New Roman"/>
        </w:rPr>
        <w:t>durdurması</w:t>
      </w:r>
      <w:r w:rsidRPr="006F48C2">
        <w:rPr>
          <w:rFonts w:cs="Times New Roman"/>
        </w:rPr>
        <w:t xml:space="preserve"> </w:t>
      </w:r>
      <w:r w:rsidR="002C6DDA">
        <w:rPr>
          <w:rFonts w:cs="Times New Roman"/>
        </w:rPr>
        <w:t>yoluyla</w:t>
      </w:r>
      <w:r w:rsidRPr="006F48C2">
        <w:rPr>
          <w:rFonts w:cs="Times New Roman"/>
        </w:rPr>
        <w:t xml:space="preserve"> gerçekleştiği kanaatine varılmıştır. </w:t>
      </w:r>
    </w:p>
    <w:p w:rsidR="002C6DDA" w:rsidRDefault="00DA7323" w:rsidP="006F48C2">
      <w:pPr>
        <w:pStyle w:val="ListeParagraf"/>
        <w:numPr>
          <w:ilvl w:val="0"/>
          <w:numId w:val="19"/>
        </w:numPr>
        <w:rPr>
          <w:rFonts w:cs="Times New Roman"/>
        </w:rPr>
      </w:pPr>
      <w:r w:rsidRPr="006F48C2">
        <w:rPr>
          <w:rFonts w:cs="Times New Roman"/>
        </w:rPr>
        <w:t>Glukoz konsantrasyonundan ziyade inkübasyon sürelerinin PKM2 enzimi üzerine etkisinin daha net olduğu ve ilk 6 saatte enzim miktarlarının maksimum düzeyde seyrettiği görülmüştür.</w:t>
      </w:r>
      <w:r w:rsidR="00D63D26">
        <w:rPr>
          <w:rFonts w:cs="Times New Roman"/>
        </w:rPr>
        <w:t xml:space="preserve"> </w:t>
      </w:r>
      <w:r w:rsidR="00996027">
        <w:rPr>
          <w:rFonts w:cs="Times New Roman"/>
        </w:rPr>
        <w:t>Hiperglisemik koşulda uzun süreli hipoksik müdahale de enzim sentezini arttırmıştır.</w:t>
      </w:r>
    </w:p>
    <w:p w:rsidR="00996027" w:rsidRDefault="00996027" w:rsidP="006F48C2">
      <w:pPr>
        <w:pStyle w:val="ListeParagraf"/>
        <w:numPr>
          <w:ilvl w:val="0"/>
          <w:numId w:val="19"/>
        </w:numPr>
        <w:rPr>
          <w:rFonts w:cs="Times New Roman"/>
        </w:rPr>
      </w:pPr>
      <w:r>
        <w:rPr>
          <w:rFonts w:cs="Times New Roman"/>
        </w:rPr>
        <w:t xml:space="preserve">Hipoksik ortamda ilk 6 saat </w:t>
      </w:r>
      <w:r w:rsidR="00DA7323" w:rsidRPr="006F48C2">
        <w:rPr>
          <w:rFonts w:cs="Times New Roman"/>
        </w:rPr>
        <w:t xml:space="preserve">PKM2 ve G6PD enzimlerinin </w:t>
      </w:r>
      <w:r>
        <w:rPr>
          <w:rFonts w:cs="Times New Roman"/>
        </w:rPr>
        <w:t xml:space="preserve">tüm konsantrasyonlar için en yüksek düzeyde olduğu ve </w:t>
      </w:r>
      <w:r w:rsidR="00DA7323" w:rsidRPr="006F48C2">
        <w:rPr>
          <w:rFonts w:cs="Times New Roman"/>
        </w:rPr>
        <w:t xml:space="preserve">birbiriyle </w:t>
      </w:r>
      <w:r>
        <w:rPr>
          <w:rFonts w:cs="Times New Roman"/>
        </w:rPr>
        <w:t>denge halinde</w:t>
      </w:r>
      <w:r w:rsidR="00DA7323" w:rsidRPr="006F48C2">
        <w:rPr>
          <w:rFonts w:cs="Times New Roman"/>
        </w:rPr>
        <w:t xml:space="preserve"> çalıştığı belirlenmiştir. </w:t>
      </w:r>
      <w:r>
        <w:rPr>
          <w:rFonts w:cs="Times New Roman"/>
        </w:rPr>
        <w:t>Bu veriler, kanser hücrelerinde kısa süreli hipoksik maruziyetin hem glikolitik yolağı hem de PPP’nu aktive ettiğini göstermiştir. Normokside G6PD enzimi seviyelerinin hipoksiye göre yüksek seyretmesi, normokside G6P’ın PPP’na</w:t>
      </w:r>
      <w:r w:rsidR="00E41BCF">
        <w:rPr>
          <w:rFonts w:cs="Times New Roman"/>
        </w:rPr>
        <w:t>,</w:t>
      </w:r>
      <w:r>
        <w:rPr>
          <w:rFonts w:cs="Times New Roman"/>
        </w:rPr>
        <w:t xml:space="preserve"> hipokside ise </w:t>
      </w:r>
      <w:r w:rsidR="00E41BCF">
        <w:rPr>
          <w:rFonts w:cs="Times New Roman"/>
        </w:rPr>
        <w:t>glikolitik akışa</w:t>
      </w:r>
      <w:r w:rsidR="00E41BCF" w:rsidRPr="00E41BCF">
        <w:rPr>
          <w:rFonts w:cs="Times New Roman"/>
        </w:rPr>
        <w:t xml:space="preserve"> </w:t>
      </w:r>
      <w:r w:rsidR="00E41BCF">
        <w:rPr>
          <w:rFonts w:cs="Times New Roman"/>
        </w:rPr>
        <w:t>yönlendirildiğinin bir göstergesi olabilir.</w:t>
      </w:r>
    </w:p>
    <w:p w:rsidR="00AF65B9" w:rsidRDefault="00AF65B9" w:rsidP="006F48C2">
      <w:pPr>
        <w:pStyle w:val="ListeParagraf"/>
        <w:numPr>
          <w:ilvl w:val="0"/>
          <w:numId w:val="19"/>
        </w:numPr>
        <w:rPr>
          <w:rFonts w:cs="Times New Roman"/>
        </w:rPr>
      </w:pPr>
      <w:r>
        <w:rPr>
          <w:rFonts w:cs="Times New Roman"/>
        </w:rPr>
        <w:t>Normokside g</w:t>
      </w:r>
      <w:r w:rsidRPr="006F48C2">
        <w:rPr>
          <w:rFonts w:cs="Times New Roman"/>
        </w:rPr>
        <w:t xml:space="preserve">lukozsuz ortamlarda </w:t>
      </w:r>
      <w:r>
        <w:rPr>
          <w:rFonts w:cs="Times New Roman"/>
        </w:rPr>
        <w:t xml:space="preserve">HK2 enzim seviyesinin diğer tüm konsantrasyonlara nazaran </w:t>
      </w:r>
      <w:r w:rsidRPr="006F48C2">
        <w:rPr>
          <w:rFonts w:cs="Times New Roman"/>
        </w:rPr>
        <w:t xml:space="preserve"> yüksek miktarda seyrediyor olması önemli bir öncül madde olan glukozun eksikliğinin </w:t>
      </w:r>
      <w:r>
        <w:rPr>
          <w:rFonts w:cs="Times New Roman"/>
        </w:rPr>
        <w:t xml:space="preserve">bu </w:t>
      </w:r>
      <w:r w:rsidRPr="006F48C2">
        <w:rPr>
          <w:rFonts w:cs="Times New Roman"/>
        </w:rPr>
        <w:t>enzim</w:t>
      </w:r>
      <w:r>
        <w:rPr>
          <w:rFonts w:cs="Times New Roman"/>
        </w:rPr>
        <w:t xml:space="preserve"> miktarını </w:t>
      </w:r>
      <w:r w:rsidRPr="006F48C2">
        <w:rPr>
          <w:rFonts w:cs="Times New Roman"/>
        </w:rPr>
        <w:t>arttırmaya yönelik bir tetikleme gösterdiğini kanıtlamıştır. Literatürde buna yönelik hipoglisemik (2,5 mM glukoz) ortamlarda enzim/taşıyıcı miktar ve aktivitelerinin doygunluğun altındaki substrat seviyelerinde çalıştığı gösterilmiş olup ileride yapılacak çalışmalarda 0-5.5 mM aralığındaki glukoz konsantrasyonlarının da enzim üzerine olan etkinliklerinin incelenmesi gerekliliği saptanmıştır.</w:t>
      </w:r>
    </w:p>
    <w:p w:rsidR="00AF65B9" w:rsidRDefault="00AF65B9" w:rsidP="006F48C2">
      <w:pPr>
        <w:pStyle w:val="ListeParagraf"/>
        <w:numPr>
          <w:ilvl w:val="0"/>
          <w:numId w:val="19"/>
        </w:numPr>
        <w:rPr>
          <w:rFonts w:cs="Times New Roman"/>
        </w:rPr>
      </w:pPr>
      <w:r>
        <w:rPr>
          <w:rFonts w:cs="Times New Roman"/>
        </w:rPr>
        <w:t>Normoksik ortamda i</w:t>
      </w:r>
      <w:r w:rsidR="009D7747" w:rsidRPr="006F48C2">
        <w:rPr>
          <w:rFonts w:cs="Times New Roman"/>
        </w:rPr>
        <w:t>ki kilit enzim olan HK2</w:t>
      </w:r>
      <w:r w:rsidR="00DA7323" w:rsidRPr="006F48C2">
        <w:rPr>
          <w:rFonts w:cs="Times New Roman"/>
        </w:rPr>
        <w:t xml:space="preserve"> ve PFK</w:t>
      </w:r>
      <w:r w:rsidR="009D7747" w:rsidRPr="006F48C2">
        <w:rPr>
          <w:rFonts w:cs="Times New Roman"/>
        </w:rPr>
        <w:t>P</w:t>
      </w:r>
      <w:r>
        <w:rPr>
          <w:rFonts w:cs="Times New Roman"/>
        </w:rPr>
        <w:t xml:space="preserve"> enzimlerinin inkübasyon süresine bağlı olarak miktarlarında benzer değişimler (artış-azalış) olduğu ve bu koşulda </w:t>
      </w:r>
      <w:r w:rsidR="00DA7323" w:rsidRPr="006F48C2">
        <w:rPr>
          <w:rFonts w:cs="Times New Roman"/>
        </w:rPr>
        <w:t>den</w:t>
      </w:r>
      <w:r>
        <w:rPr>
          <w:rFonts w:cs="Times New Roman"/>
        </w:rPr>
        <w:t>ge halinde çalıştıkları belirlenmiştir</w:t>
      </w:r>
      <w:r w:rsidR="00DA7323" w:rsidRPr="006F48C2">
        <w:rPr>
          <w:rFonts w:cs="Times New Roman"/>
        </w:rPr>
        <w:t>.</w:t>
      </w:r>
      <w:r>
        <w:rPr>
          <w:rFonts w:cs="Times New Roman"/>
        </w:rPr>
        <w:t xml:space="preserve"> Aynı durum hipokside mevcut olmayıp, hipoksinin enzimler üzerine olan etkinliğinin farklı olduğu </w:t>
      </w:r>
      <w:r w:rsidR="00294CAF">
        <w:rPr>
          <w:rFonts w:cs="Times New Roman"/>
        </w:rPr>
        <w:t>sonucuna</w:t>
      </w:r>
      <w:r>
        <w:rPr>
          <w:rFonts w:cs="Times New Roman"/>
        </w:rPr>
        <w:t xml:space="preserve"> varılmıştır.</w:t>
      </w:r>
    </w:p>
    <w:p w:rsidR="00910106" w:rsidRDefault="00DA7323" w:rsidP="00910106">
      <w:pPr>
        <w:pStyle w:val="ListeParagraf"/>
        <w:numPr>
          <w:ilvl w:val="0"/>
          <w:numId w:val="19"/>
        </w:numPr>
        <w:rPr>
          <w:rFonts w:cs="Times New Roman"/>
        </w:rPr>
      </w:pPr>
      <w:r w:rsidRPr="006F48C2">
        <w:rPr>
          <w:rFonts w:cs="Times New Roman"/>
        </w:rPr>
        <w:t xml:space="preserve">Enzimlerin tümünün ileri inkübasyon süresinde (48. Saat) özellikle normoksik ve hiperglisemik </w:t>
      </w:r>
      <w:r w:rsidR="00294CAF">
        <w:rPr>
          <w:rFonts w:cs="Times New Roman"/>
        </w:rPr>
        <w:t xml:space="preserve">(15 ve 55 mM) </w:t>
      </w:r>
      <w:r w:rsidRPr="006F48C2">
        <w:rPr>
          <w:rFonts w:cs="Times New Roman"/>
        </w:rPr>
        <w:t>ortamlarda seviyelerinin arttığı</w:t>
      </w:r>
      <w:r w:rsidR="00294CAF">
        <w:rPr>
          <w:rFonts w:cs="Times New Roman"/>
        </w:rPr>
        <w:t>,</w:t>
      </w:r>
      <w:r w:rsidRPr="006F48C2">
        <w:rPr>
          <w:rFonts w:cs="Times New Roman"/>
        </w:rPr>
        <w:t xml:space="preserve"> </w:t>
      </w:r>
      <w:r w:rsidR="00294CAF" w:rsidRPr="006F48C2">
        <w:rPr>
          <w:rFonts w:cs="Times New Roman"/>
        </w:rPr>
        <w:t xml:space="preserve">Warburg </w:t>
      </w:r>
      <w:r w:rsidR="00294CAF">
        <w:rPr>
          <w:rFonts w:cs="Times New Roman"/>
        </w:rPr>
        <w:t>etkisinin çalıştığı</w:t>
      </w:r>
      <w:r w:rsidR="00294CAF" w:rsidRPr="006F48C2">
        <w:rPr>
          <w:rFonts w:cs="Times New Roman"/>
        </w:rPr>
        <w:t xml:space="preserve"> </w:t>
      </w:r>
      <w:r w:rsidRPr="006F48C2">
        <w:rPr>
          <w:rFonts w:cs="Times New Roman"/>
        </w:rPr>
        <w:t xml:space="preserve">izlenmiştir. </w:t>
      </w:r>
    </w:p>
    <w:p w:rsidR="00910106" w:rsidRPr="00910106" w:rsidRDefault="00DA7323" w:rsidP="00910106">
      <w:pPr>
        <w:pStyle w:val="ListeParagraf"/>
        <w:numPr>
          <w:ilvl w:val="0"/>
          <w:numId w:val="19"/>
        </w:numPr>
        <w:rPr>
          <w:rFonts w:cs="Times New Roman"/>
        </w:rPr>
      </w:pPr>
      <w:r w:rsidRPr="00910106">
        <w:rPr>
          <w:rFonts w:cs="Times New Roman"/>
          <w:bCs/>
        </w:rPr>
        <w:t xml:space="preserve">Çalışmada </w:t>
      </w:r>
      <w:r w:rsidR="00D60C0A" w:rsidRPr="00910106">
        <w:rPr>
          <w:rFonts w:cs="Times New Roman"/>
          <w:bCs/>
        </w:rPr>
        <w:t>tüm</w:t>
      </w:r>
      <w:r w:rsidRPr="00910106">
        <w:rPr>
          <w:rFonts w:cs="Times New Roman"/>
          <w:bCs/>
        </w:rPr>
        <w:t xml:space="preserve"> uygulama gruplarında yer alan MCF-7 meme kanseri hücrelerinden elde edilmiş olan farklı düzeyde enzim miktarları, oksijen gerilimine uyumlanmada </w:t>
      </w:r>
      <w:r w:rsidRPr="00910106">
        <w:rPr>
          <w:rFonts w:cs="Times New Roman"/>
          <w:bCs/>
        </w:rPr>
        <w:lastRenderedPageBreak/>
        <w:t>hücrelerin birbir</w:t>
      </w:r>
      <w:r w:rsidR="00294CAF" w:rsidRPr="00910106">
        <w:rPr>
          <w:rFonts w:cs="Times New Roman"/>
          <w:bCs/>
        </w:rPr>
        <w:t>ler</w:t>
      </w:r>
      <w:r w:rsidRPr="00910106">
        <w:rPr>
          <w:rFonts w:cs="Times New Roman"/>
          <w:bCs/>
        </w:rPr>
        <w:t xml:space="preserve">inden ayrı potansiyel kapasitelere ve değişen mekanizmalara sahip olduğunu da göstermiştir. </w:t>
      </w:r>
    </w:p>
    <w:p w:rsidR="00DA7323" w:rsidRPr="00E41BCF" w:rsidRDefault="00DA7323" w:rsidP="00E41BCF">
      <w:pPr>
        <w:rPr>
          <w:rFonts w:cs="Times New Roman"/>
        </w:rPr>
      </w:pPr>
      <w:r w:rsidRPr="00DA7323">
        <w:rPr>
          <w:rFonts w:cs="Times New Roman"/>
          <w:bCs/>
        </w:rPr>
        <w:t>Glikolitik yolaktaki enzimlerin miktarlarındaki değişimlerin</w:t>
      </w:r>
      <w:r w:rsidR="00910106">
        <w:rPr>
          <w:rFonts w:cs="Times New Roman"/>
          <w:bCs/>
        </w:rPr>
        <w:t xml:space="preserve"> </w:t>
      </w:r>
      <w:r w:rsidRPr="00DA7323">
        <w:rPr>
          <w:rFonts w:cs="Times New Roman"/>
          <w:bCs/>
        </w:rPr>
        <w:t xml:space="preserve">glikolitik yol akışı ile ilgili </w:t>
      </w:r>
      <w:r w:rsidR="00910106">
        <w:rPr>
          <w:rFonts w:cs="Times New Roman"/>
          <w:bCs/>
        </w:rPr>
        <w:t>tüm oluşumları</w:t>
      </w:r>
      <w:r w:rsidRPr="00DA7323">
        <w:rPr>
          <w:rFonts w:cs="Times New Roman"/>
          <w:bCs/>
        </w:rPr>
        <w:t xml:space="preserve"> tam olarak </w:t>
      </w:r>
      <w:r w:rsidR="00910106">
        <w:rPr>
          <w:rFonts w:cs="Times New Roman"/>
          <w:bCs/>
        </w:rPr>
        <w:t>yansıtamadığı</w:t>
      </w:r>
      <w:r w:rsidRPr="00DA7323">
        <w:rPr>
          <w:rFonts w:cs="Times New Roman"/>
          <w:bCs/>
        </w:rPr>
        <w:t xml:space="preserve"> açıktır. </w:t>
      </w:r>
      <w:r w:rsidR="00910106">
        <w:rPr>
          <w:rFonts w:cs="Times New Roman"/>
          <w:bCs/>
        </w:rPr>
        <w:t>G</w:t>
      </w:r>
      <w:r w:rsidR="00910106" w:rsidRPr="00DA7323">
        <w:rPr>
          <w:rFonts w:cs="Times New Roman"/>
          <w:bCs/>
        </w:rPr>
        <w:t xml:space="preserve">likolitik regülasyondaki </w:t>
      </w:r>
      <w:r w:rsidR="00910106">
        <w:rPr>
          <w:rFonts w:cs="Times New Roman"/>
          <w:bCs/>
        </w:rPr>
        <w:t>farklılıkların</w:t>
      </w:r>
      <w:r w:rsidR="00910106" w:rsidRPr="00DA7323">
        <w:rPr>
          <w:rFonts w:cs="Times New Roman"/>
          <w:bCs/>
        </w:rPr>
        <w:t xml:space="preserve"> </w:t>
      </w:r>
      <w:r w:rsidR="00910106">
        <w:rPr>
          <w:rFonts w:cs="Times New Roman"/>
          <w:bCs/>
        </w:rPr>
        <w:t>g</w:t>
      </w:r>
      <w:r w:rsidRPr="00DA7323">
        <w:rPr>
          <w:rFonts w:cs="Times New Roman"/>
          <w:bCs/>
        </w:rPr>
        <w:t>enetik bazlı modülasyonlara ek olarak, translasyon seviyesindeki değişiklikler, yol enzimlerinin veya sinyal moleküllerinin alternatif post-translasyonel modifikasyonları, enzimlerdeki nokta mutasyonları ve doğrudan veya dolaylı metabolik geri besleme yoluyla meydana gelmesi mümkündür (</w:t>
      </w:r>
      <w:r w:rsidRPr="00173B29">
        <w:rPr>
          <w:rFonts w:cs="Times New Roman"/>
          <w:bCs/>
        </w:rPr>
        <w:t>Vander Heiden ve ark, 2009; Fritz ve Fa</w:t>
      </w:r>
      <w:r w:rsidR="00173B29" w:rsidRPr="00173B29">
        <w:rPr>
          <w:rFonts w:cs="Times New Roman"/>
          <w:bCs/>
        </w:rPr>
        <w:t>jas, 2010; Levine ve Puzio</w:t>
      </w:r>
      <w:r w:rsidR="00173B29" w:rsidRPr="00DA7323">
        <w:rPr>
          <w:rFonts w:cs="Times New Roman"/>
          <w:bCs/>
        </w:rPr>
        <w:t>- Kuter, 2010</w:t>
      </w:r>
      <w:r w:rsidR="00173B29">
        <w:rPr>
          <w:rFonts w:cs="Times New Roman"/>
          <w:bCs/>
        </w:rPr>
        <w:t xml:space="preserve">; </w:t>
      </w:r>
      <w:r w:rsidR="00173B29" w:rsidRPr="00173B29">
        <w:rPr>
          <w:rFonts w:cs="Times New Roman"/>
          <w:bCs/>
        </w:rPr>
        <w:t>Herling ve ark, 2011; Blount, 2013</w:t>
      </w:r>
      <w:r w:rsidRPr="00DA7323">
        <w:rPr>
          <w:rFonts w:cs="Times New Roman"/>
          <w:bCs/>
        </w:rPr>
        <w:t xml:space="preserve">). Bu nedenle gelecekte yapılacak çalışmalar için hipoksinin enzimlere olan metabolik etkilerinin transkripsiyon düzeyinde ve protein varyasyonlarındaki değişimler ile birlikte ele alarak ayrıca aktivite parametrelerinin tamamının da ölçülmesine gerek olduğu düşünülmektedir. Bunun yanında kanser metabolizmasının aydınlatılmasında hem </w:t>
      </w:r>
      <w:r w:rsidR="004D23FB">
        <w:rPr>
          <w:rFonts w:cs="Times New Roman"/>
          <w:bCs/>
          <w:i/>
        </w:rPr>
        <w:t>in vivo</w:t>
      </w:r>
      <w:r w:rsidRPr="00DA7323">
        <w:rPr>
          <w:rFonts w:cs="Times New Roman"/>
          <w:bCs/>
        </w:rPr>
        <w:t xml:space="preserve"> hem de </w:t>
      </w:r>
      <w:r w:rsidR="004D23FB" w:rsidRPr="004D23FB">
        <w:rPr>
          <w:rFonts w:cs="Times New Roman"/>
          <w:bCs/>
          <w:i/>
        </w:rPr>
        <w:t>in vitro</w:t>
      </w:r>
      <w:r w:rsidRPr="00DA7323">
        <w:rPr>
          <w:rFonts w:cs="Times New Roman"/>
          <w:bCs/>
        </w:rPr>
        <w:t xml:space="preserve"> çal</w:t>
      </w:r>
      <w:r w:rsidR="00D60C0A">
        <w:rPr>
          <w:rFonts w:cs="Times New Roman"/>
          <w:bCs/>
        </w:rPr>
        <w:t>ışmaların paralel yürütülmesi</w:t>
      </w:r>
      <w:r w:rsidRPr="00DA7323">
        <w:rPr>
          <w:rFonts w:cs="Times New Roman"/>
          <w:bCs/>
        </w:rPr>
        <w:t xml:space="preserve"> daha bütünsel sonuçlar </w:t>
      </w:r>
      <w:r w:rsidR="00D60C0A">
        <w:rPr>
          <w:rFonts w:cs="Times New Roman"/>
          <w:bCs/>
        </w:rPr>
        <w:t xml:space="preserve">elde edilmesini sağlayacaktır. </w:t>
      </w:r>
      <w:r w:rsidRPr="00DA7323">
        <w:rPr>
          <w:rFonts w:cs="Times New Roman"/>
          <w:bCs/>
        </w:rPr>
        <w:t xml:space="preserve">  </w:t>
      </w:r>
    </w:p>
    <w:p w:rsidR="00062056" w:rsidRDefault="00062056" w:rsidP="00DA7323">
      <w:pPr>
        <w:rPr>
          <w:rFonts w:cs="Times New Roman"/>
          <w:bCs/>
        </w:rPr>
      </w:pPr>
    </w:p>
    <w:p w:rsidR="00062056" w:rsidRDefault="00062056" w:rsidP="00DA7323">
      <w:pPr>
        <w:rPr>
          <w:rFonts w:cs="Times New Roman"/>
          <w:bCs/>
        </w:rPr>
      </w:pPr>
    </w:p>
    <w:p w:rsidR="00062056" w:rsidRDefault="00062056"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C20089" w:rsidRDefault="00C20089" w:rsidP="00DA7323">
      <w:pPr>
        <w:rPr>
          <w:rFonts w:cs="Times New Roman"/>
          <w:bCs/>
        </w:rPr>
      </w:pPr>
    </w:p>
    <w:p w:rsidR="00062056" w:rsidRDefault="00062056" w:rsidP="00DA7323">
      <w:pPr>
        <w:rPr>
          <w:rFonts w:cs="Times New Roman"/>
          <w:bCs/>
        </w:rPr>
      </w:pPr>
    </w:p>
    <w:p w:rsidR="00FE10CB" w:rsidRDefault="00FE10CB" w:rsidP="00DA7323">
      <w:pPr>
        <w:rPr>
          <w:rFonts w:cs="Times New Roman"/>
          <w:bCs/>
        </w:rPr>
      </w:pPr>
    </w:p>
    <w:p w:rsidR="00062056" w:rsidRDefault="00062056" w:rsidP="00062056">
      <w:pPr>
        <w:ind w:firstLine="0"/>
        <w:rPr>
          <w:rFonts w:cs="Times New Roman"/>
          <w:b/>
          <w:bCs/>
          <w:sz w:val="28"/>
        </w:rPr>
      </w:pPr>
      <w:r>
        <w:rPr>
          <w:rFonts w:cs="Times New Roman"/>
          <w:bCs/>
        </w:rPr>
        <w:lastRenderedPageBreak/>
        <w:t xml:space="preserve">                                                      </w:t>
      </w:r>
      <w:r w:rsidR="00B67029">
        <w:rPr>
          <w:rFonts w:cs="Times New Roman"/>
          <w:b/>
          <w:bCs/>
          <w:sz w:val="28"/>
        </w:rPr>
        <w:t>KAYNAKLAR</w:t>
      </w:r>
    </w:p>
    <w:p w:rsidR="00B67029" w:rsidRDefault="00B67029" w:rsidP="00062056">
      <w:pPr>
        <w:ind w:firstLine="0"/>
        <w:rPr>
          <w:rFonts w:cs="Times New Roman"/>
          <w:b/>
          <w:bCs/>
          <w:sz w:val="28"/>
        </w:rPr>
      </w:pPr>
    </w:p>
    <w:p w:rsidR="006F53C9" w:rsidRPr="006F53C9" w:rsidRDefault="006F53C9" w:rsidP="006F53C9">
      <w:pPr>
        <w:spacing w:after="200" w:line="276" w:lineRule="auto"/>
        <w:ind w:firstLine="0"/>
        <w:jc w:val="left"/>
        <w:rPr>
          <w:rFonts w:asciiTheme="minorHAnsi" w:hAnsiTheme="minorHAnsi"/>
          <w:sz w:val="22"/>
        </w:rPr>
      </w:pPr>
    </w:p>
    <w:p w:rsidR="006F53C9" w:rsidRPr="006F53C9" w:rsidRDefault="006F53C9" w:rsidP="006F53C9">
      <w:pPr>
        <w:keepNext/>
        <w:keepLines/>
        <w:spacing w:before="120" w:after="120"/>
        <w:ind w:firstLine="0"/>
        <w:outlineLvl w:val="0"/>
        <w:rPr>
          <w:rFonts w:eastAsia="Calibri" w:cs="Times New Roman"/>
          <w:szCs w:val="24"/>
        </w:rPr>
      </w:pPr>
      <w:r w:rsidRPr="006F53C9">
        <w:rPr>
          <w:rFonts w:eastAsia="Calibri" w:cs="Times New Roman"/>
          <w:b/>
          <w:szCs w:val="24"/>
        </w:rPr>
        <w:t>Abdel-Wahab AF, Mahmoud W, Al-Harizy RM.</w:t>
      </w:r>
      <w:r w:rsidRPr="006F53C9">
        <w:rPr>
          <w:rFonts w:eastAsia="Calibri" w:cs="Times New Roman"/>
          <w:szCs w:val="24"/>
        </w:rPr>
        <w:t xml:space="preserve"> Targeting glucose metabolism to suppress cancer progression: prospective of anti-glycolytic cancer therapy. </w:t>
      </w:r>
      <w:r w:rsidRPr="006F53C9">
        <w:rPr>
          <w:rFonts w:eastAsia="Calibri" w:cs="Times New Roman"/>
          <w:i/>
          <w:szCs w:val="24"/>
        </w:rPr>
        <w:t>Pharmacological Research</w:t>
      </w:r>
      <w:r w:rsidRPr="006F53C9">
        <w:rPr>
          <w:rFonts w:eastAsia="Calibri" w:cs="Times New Roman"/>
          <w:szCs w:val="24"/>
        </w:rPr>
        <w:t xml:space="preserve"> 2019, 150, 104511.</w:t>
      </w:r>
    </w:p>
    <w:p w:rsidR="006F53C9" w:rsidRPr="006F53C9" w:rsidRDefault="006F53C9" w:rsidP="006F53C9">
      <w:pPr>
        <w:spacing w:after="200"/>
        <w:ind w:firstLine="0"/>
        <w:rPr>
          <w:szCs w:val="24"/>
        </w:rPr>
      </w:pPr>
      <w:r w:rsidRPr="006F53C9">
        <w:rPr>
          <w:b/>
          <w:szCs w:val="24"/>
        </w:rPr>
        <w:t>Adamaki M, Georgountzou A, Moschovi M.</w:t>
      </w:r>
      <w:r w:rsidRPr="006F53C9">
        <w:rPr>
          <w:szCs w:val="24"/>
        </w:rPr>
        <w:t xml:space="preserve"> Cancer and the Cellular Response to Hypoxia. </w:t>
      </w:r>
      <w:r w:rsidRPr="006F53C9">
        <w:rPr>
          <w:i/>
          <w:szCs w:val="24"/>
        </w:rPr>
        <w:t>Pediatrics &amp; Therapeutics</w:t>
      </w:r>
      <w:r w:rsidRPr="006F53C9">
        <w:rPr>
          <w:szCs w:val="24"/>
        </w:rPr>
        <w:t xml:space="preserve"> 2012, S1:002. </w:t>
      </w:r>
    </w:p>
    <w:p w:rsidR="006F53C9" w:rsidRPr="006F53C9" w:rsidRDefault="006F53C9" w:rsidP="006F53C9">
      <w:pPr>
        <w:autoSpaceDE w:val="0"/>
        <w:autoSpaceDN w:val="0"/>
        <w:adjustRightInd w:val="0"/>
        <w:ind w:firstLine="0"/>
        <w:rPr>
          <w:szCs w:val="24"/>
        </w:rPr>
      </w:pPr>
      <w:r w:rsidRPr="006F53C9">
        <w:rPr>
          <w:b/>
          <w:szCs w:val="24"/>
        </w:rPr>
        <w:t>Adeva-Andany M, López-Ojén M, Funcasta-Calderón R, Ameneiros-Rodríguez E, Donapetry-García C, Vila-Altesor M, Rodríguez-Seijas J.</w:t>
      </w:r>
      <w:r w:rsidRPr="006F53C9">
        <w:rPr>
          <w:szCs w:val="24"/>
        </w:rPr>
        <w:t xml:space="preserve"> Comprehensive review on lactate metabolism in human health. </w:t>
      </w:r>
      <w:r w:rsidRPr="006F53C9">
        <w:rPr>
          <w:i/>
          <w:szCs w:val="24"/>
        </w:rPr>
        <w:t xml:space="preserve">Mitochondrion </w:t>
      </w:r>
      <w:r w:rsidRPr="006F53C9">
        <w:rPr>
          <w:szCs w:val="24"/>
        </w:rPr>
        <w:t>2014, 17C,76–100.</w:t>
      </w:r>
    </w:p>
    <w:p w:rsidR="006F53C9" w:rsidRDefault="006F53C9" w:rsidP="006F53C9">
      <w:pPr>
        <w:keepNext/>
        <w:keepLines/>
        <w:shd w:val="clear" w:color="auto" w:fill="FFFFFF"/>
        <w:spacing w:before="120" w:after="240"/>
        <w:ind w:firstLine="0"/>
        <w:outlineLvl w:val="0"/>
        <w:rPr>
          <w:rFonts w:eastAsia="Calibri" w:cs="Times New Roman"/>
          <w:szCs w:val="24"/>
        </w:rPr>
      </w:pPr>
      <w:r w:rsidRPr="00DB40FF">
        <w:rPr>
          <w:rFonts w:eastAsiaTheme="majorEastAsia" w:cs="Times New Roman"/>
          <w:b/>
          <w:bCs/>
          <w:szCs w:val="24"/>
        </w:rPr>
        <w:t>Ahn WS, Dong W, Zhang Z, Cantor JR, Sabatini DM, Iliopoulos O, Stephanopoulos G.</w:t>
      </w:r>
      <w:r w:rsidRPr="00DB40FF">
        <w:rPr>
          <w:rFonts w:eastAsia="Calibri" w:cs="Times New Roman"/>
          <w:szCs w:val="24"/>
        </w:rPr>
        <w:t xml:space="preserve"> Glyceraldehyde 3‐phosphate dehydrogenase modulates nonoxidative pentose phosphate pathway to provide anabolic precursors in hypoxic tumor cells. </w:t>
      </w:r>
      <w:r w:rsidRPr="00DB40FF">
        <w:rPr>
          <w:rFonts w:eastAsia="Calibri" w:cs="Times New Roman"/>
          <w:i/>
          <w:szCs w:val="24"/>
        </w:rPr>
        <w:t>AlChe Journal</w:t>
      </w:r>
      <w:r w:rsidRPr="00DB40FF">
        <w:rPr>
          <w:rFonts w:eastAsia="Calibri" w:cs="Times New Roman"/>
          <w:szCs w:val="24"/>
        </w:rPr>
        <w:t xml:space="preserve"> 2018, 64, 12. </w:t>
      </w:r>
    </w:p>
    <w:p w:rsidR="006F53C9" w:rsidRDefault="006F53C9" w:rsidP="006F53C9">
      <w:pPr>
        <w:keepNext/>
        <w:keepLines/>
        <w:shd w:val="clear" w:color="auto" w:fill="FFFFFF"/>
        <w:spacing w:before="120" w:after="240"/>
        <w:ind w:firstLine="0"/>
        <w:outlineLvl w:val="0"/>
        <w:rPr>
          <w:rFonts w:eastAsia="Calibri" w:cs="Times New Roman"/>
          <w:szCs w:val="24"/>
        </w:rPr>
      </w:pPr>
      <w:r w:rsidRPr="004B35F6">
        <w:rPr>
          <w:rFonts w:eastAsia="Calibri" w:cs="Times New Roman"/>
          <w:b/>
          <w:szCs w:val="24"/>
        </w:rPr>
        <w:t>Alam MM, Lal S, FitzGerald KE, Zhang L.</w:t>
      </w:r>
      <w:r w:rsidRPr="004B35F6">
        <w:rPr>
          <w:rFonts w:asciiTheme="majorHAnsi" w:eastAsiaTheme="majorEastAsia" w:hAnsiTheme="majorHAnsi" w:cstheme="majorBidi"/>
          <w:b/>
          <w:bCs/>
          <w:color w:val="365F91" w:themeColor="accent1" w:themeShade="BF"/>
          <w:sz w:val="28"/>
          <w:szCs w:val="28"/>
        </w:rPr>
        <w:t xml:space="preserve"> </w:t>
      </w:r>
      <w:r w:rsidRPr="004B35F6">
        <w:rPr>
          <w:rFonts w:eastAsia="Calibri" w:cs="Times New Roman"/>
          <w:szCs w:val="24"/>
        </w:rPr>
        <w:t xml:space="preserve">A holistic view of cancer bioenergetics: mitochondrial function and respiration play fundamental roles in the development and progression of diverse tumors. </w:t>
      </w:r>
      <w:r w:rsidRPr="004B35F6">
        <w:rPr>
          <w:rFonts w:eastAsia="Calibri" w:cs="Times New Roman"/>
          <w:i/>
          <w:szCs w:val="24"/>
        </w:rPr>
        <w:t>Clinical and translational medicine</w:t>
      </w:r>
      <w:r w:rsidRPr="004B35F6">
        <w:rPr>
          <w:rFonts w:eastAsia="Calibri" w:cs="Times New Roman"/>
          <w:szCs w:val="24"/>
        </w:rPr>
        <w:t xml:space="preserve"> 2016, 5 (3). </w:t>
      </w:r>
    </w:p>
    <w:p w:rsidR="006F53C9" w:rsidRPr="004B35F6" w:rsidRDefault="0037177D" w:rsidP="006F53C9">
      <w:pPr>
        <w:keepNext/>
        <w:keepLines/>
        <w:shd w:val="clear" w:color="auto" w:fill="FFFFFF"/>
        <w:spacing w:before="120" w:after="240"/>
        <w:ind w:firstLine="0"/>
        <w:outlineLvl w:val="0"/>
        <w:rPr>
          <w:rFonts w:eastAsia="Calibri" w:cs="Times New Roman"/>
          <w:szCs w:val="24"/>
        </w:rPr>
      </w:pPr>
      <w:hyperlink r:id="rId169" w:history="1">
        <w:r w:rsidR="006F53C9" w:rsidRPr="004B35F6">
          <w:rPr>
            <w:rFonts w:eastAsiaTheme="majorEastAsia" w:cs="Times New Roman"/>
            <w:b/>
            <w:szCs w:val="24"/>
          </w:rPr>
          <w:t>Anastasiou D</w:t>
        </w:r>
      </w:hyperlink>
      <w:r w:rsidR="006F53C9" w:rsidRPr="004B35F6">
        <w:rPr>
          <w:rFonts w:eastAsiaTheme="majorEastAsia" w:cs="Times New Roman"/>
          <w:b/>
          <w:szCs w:val="24"/>
        </w:rPr>
        <w:t>, </w:t>
      </w:r>
      <w:hyperlink r:id="rId170" w:history="1">
        <w:r w:rsidR="006F53C9" w:rsidRPr="004B35F6">
          <w:rPr>
            <w:rFonts w:eastAsiaTheme="majorEastAsia" w:cs="Times New Roman"/>
            <w:b/>
            <w:szCs w:val="24"/>
          </w:rPr>
          <w:t>Poulogiannis G</w:t>
        </w:r>
      </w:hyperlink>
      <w:r w:rsidR="006F53C9" w:rsidRPr="004B35F6">
        <w:rPr>
          <w:rFonts w:eastAsiaTheme="majorEastAsia" w:cs="Times New Roman"/>
          <w:b/>
          <w:szCs w:val="24"/>
        </w:rPr>
        <w:t>, </w:t>
      </w:r>
      <w:hyperlink r:id="rId171" w:history="1">
        <w:r w:rsidR="006F53C9" w:rsidRPr="004B35F6">
          <w:rPr>
            <w:rFonts w:eastAsiaTheme="majorEastAsia" w:cs="Times New Roman"/>
            <w:b/>
            <w:szCs w:val="24"/>
          </w:rPr>
          <w:t>Asara JM</w:t>
        </w:r>
      </w:hyperlink>
      <w:r w:rsidR="006F53C9" w:rsidRPr="004B35F6">
        <w:rPr>
          <w:rFonts w:eastAsiaTheme="majorEastAsia" w:cs="Times New Roman"/>
          <w:b/>
          <w:szCs w:val="24"/>
        </w:rPr>
        <w:t>, </w:t>
      </w:r>
      <w:hyperlink r:id="rId172" w:history="1">
        <w:r w:rsidR="006F53C9" w:rsidRPr="004B35F6">
          <w:rPr>
            <w:rFonts w:eastAsiaTheme="majorEastAsia" w:cs="Times New Roman"/>
            <w:b/>
            <w:szCs w:val="24"/>
          </w:rPr>
          <w:t>Boxer MB</w:t>
        </w:r>
      </w:hyperlink>
      <w:r w:rsidR="006F53C9" w:rsidRPr="004B35F6">
        <w:rPr>
          <w:rFonts w:eastAsiaTheme="majorEastAsia" w:cs="Times New Roman"/>
          <w:b/>
          <w:szCs w:val="24"/>
        </w:rPr>
        <w:t>, </w:t>
      </w:r>
      <w:hyperlink r:id="rId173" w:history="1">
        <w:r w:rsidR="006F53C9" w:rsidRPr="004B35F6">
          <w:rPr>
            <w:rFonts w:eastAsiaTheme="majorEastAsia" w:cs="Times New Roman"/>
            <w:b/>
            <w:szCs w:val="24"/>
          </w:rPr>
          <w:t>Jiang JK</w:t>
        </w:r>
      </w:hyperlink>
      <w:r w:rsidR="006F53C9" w:rsidRPr="004B35F6">
        <w:rPr>
          <w:rFonts w:eastAsiaTheme="majorEastAsia" w:cs="Times New Roman"/>
          <w:b/>
          <w:szCs w:val="24"/>
        </w:rPr>
        <w:t>, </w:t>
      </w:r>
      <w:hyperlink r:id="rId174" w:history="1">
        <w:r w:rsidR="006F53C9" w:rsidRPr="004B35F6">
          <w:rPr>
            <w:rFonts w:eastAsiaTheme="majorEastAsia" w:cs="Times New Roman"/>
            <w:b/>
            <w:szCs w:val="24"/>
          </w:rPr>
          <w:t>Shen M</w:t>
        </w:r>
      </w:hyperlink>
      <w:r w:rsidR="006F53C9" w:rsidRPr="004B35F6">
        <w:rPr>
          <w:rFonts w:eastAsiaTheme="majorEastAsia" w:cs="Times New Roman"/>
          <w:b/>
          <w:szCs w:val="24"/>
        </w:rPr>
        <w:t>, </w:t>
      </w:r>
      <w:hyperlink r:id="rId175" w:history="1">
        <w:r w:rsidR="006F53C9" w:rsidRPr="004B35F6">
          <w:rPr>
            <w:rFonts w:eastAsiaTheme="majorEastAsia" w:cs="Times New Roman"/>
            <w:b/>
            <w:szCs w:val="24"/>
          </w:rPr>
          <w:t>Bellinger G</w:t>
        </w:r>
      </w:hyperlink>
      <w:r w:rsidR="006F53C9" w:rsidRPr="004B35F6">
        <w:rPr>
          <w:rFonts w:eastAsiaTheme="majorEastAsia" w:cs="Times New Roman"/>
          <w:b/>
          <w:szCs w:val="24"/>
        </w:rPr>
        <w:t>, </w:t>
      </w:r>
      <w:hyperlink r:id="rId176" w:history="1">
        <w:r w:rsidR="006F53C9" w:rsidRPr="004B35F6">
          <w:rPr>
            <w:rFonts w:eastAsiaTheme="majorEastAsia" w:cs="Times New Roman"/>
            <w:b/>
            <w:szCs w:val="24"/>
          </w:rPr>
          <w:t>Sasaki AT</w:t>
        </w:r>
      </w:hyperlink>
      <w:r w:rsidR="006F53C9" w:rsidRPr="004B35F6">
        <w:rPr>
          <w:rFonts w:eastAsiaTheme="majorEastAsia" w:cs="Times New Roman"/>
          <w:b/>
          <w:szCs w:val="24"/>
        </w:rPr>
        <w:t>, </w:t>
      </w:r>
      <w:hyperlink r:id="rId177" w:history="1">
        <w:r w:rsidR="006F53C9" w:rsidRPr="004B35F6">
          <w:rPr>
            <w:rFonts w:eastAsiaTheme="majorEastAsia" w:cs="Times New Roman"/>
            <w:b/>
            <w:szCs w:val="24"/>
          </w:rPr>
          <w:t>Locasale JW</w:t>
        </w:r>
      </w:hyperlink>
      <w:r w:rsidR="006F53C9" w:rsidRPr="004B35F6">
        <w:rPr>
          <w:rFonts w:eastAsiaTheme="majorEastAsia" w:cs="Times New Roman"/>
          <w:b/>
          <w:szCs w:val="24"/>
        </w:rPr>
        <w:t>, </w:t>
      </w:r>
      <w:hyperlink r:id="rId178" w:history="1">
        <w:r w:rsidR="006F53C9" w:rsidRPr="004B35F6">
          <w:rPr>
            <w:rFonts w:eastAsiaTheme="majorEastAsia" w:cs="Times New Roman"/>
            <w:b/>
            <w:szCs w:val="24"/>
          </w:rPr>
          <w:t>Auld DS</w:t>
        </w:r>
      </w:hyperlink>
      <w:r w:rsidR="006F53C9" w:rsidRPr="004B35F6">
        <w:rPr>
          <w:rFonts w:eastAsiaTheme="majorEastAsia" w:cs="Times New Roman"/>
          <w:b/>
          <w:szCs w:val="24"/>
        </w:rPr>
        <w:t>, </w:t>
      </w:r>
      <w:hyperlink r:id="rId179" w:history="1">
        <w:r w:rsidR="006F53C9" w:rsidRPr="004B35F6">
          <w:rPr>
            <w:rFonts w:eastAsiaTheme="majorEastAsia" w:cs="Times New Roman"/>
            <w:b/>
            <w:szCs w:val="24"/>
          </w:rPr>
          <w:t>Thomas CJ</w:t>
        </w:r>
      </w:hyperlink>
      <w:r w:rsidR="006F53C9" w:rsidRPr="004B35F6">
        <w:rPr>
          <w:rFonts w:eastAsiaTheme="majorEastAsia" w:cs="Times New Roman"/>
          <w:b/>
          <w:szCs w:val="24"/>
        </w:rPr>
        <w:t>, </w:t>
      </w:r>
      <w:hyperlink r:id="rId180" w:history="1">
        <w:r w:rsidR="006F53C9" w:rsidRPr="004B35F6">
          <w:rPr>
            <w:rFonts w:eastAsiaTheme="majorEastAsia" w:cs="Times New Roman"/>
            <w:b/>
            <w:szCs w:val="24"/>
          </w:rPr>
          <w:t>Vander Heiden MG</w:t>
        </w:r>
      </w:hyperlink>
      <w:r w:rsidR="006F53C9" w:rsidRPr="004B35F6">
        <w:rPr>
          <w:rFonts w:eastAsiaTheme="majorEastAsia" w:cs="Times New Roman"/>
          <w:b/>
          <w:szCs w:val="24"/>
        </w:rPr>
        <w:t>, </w:t>
      </w:r>
      <w:hyperlink r:id="rId181" w:history="1">
        <w:r w:rsidR="006F53C9" w:rsidRPr="004B35F6">
          <w:rPr>
            <w:rFonts w:eastAsiaTheme="majorEastAsia" w:cs="Times New Roman"/>
            <w:b/>
            <w:szCs w:val="24"/>
          </w:rPr>
          <w:t>Cantley LC</w:t>
        </w:r>
      </w:hyperlink>
      <w:r w:rsidR="006F53C9" w:rsidRPr="004B35F6">
        <w:rPr>
          <w:rFonts w:eastAsiaTheme="majorEastAsia" w:cs="Times New Roman"/>
          <w:b/>
          <w:szCs w:val="24"/>
        </w:rPr>
        <w:t>.</w:t>
      </w:r>
      <w:r w:rsidR="006F53C9" w:rsidRPr="004B35F6">
        <w:rPr>
          <w:rFonts w:eastAsia="Calibri" w:cs="Times New Roman"/>
          <w:szCs w:val="24"/>
        </w:rPr>
        <w:t xml:space="preserve"> Inhibition of pyruvate kinase M2 by reactive oxygen species contributes to cellular antioxidant responses. </w:t>
      </w:r>
      <w:r w:rsidR="006F53C9" w:rsidRPr="004B35F6">
        <w:rPr>
          <w:rFonts w:eastAsia="Calibri" w:cs="Times New Roman"/>
          <w:i/>
          <w:szCs w:val="24"/>
        </w:rPr>
        <w:t>Science</w:t>
      </w:r>
      <w:r w:rsidR="006F53C9" w:rsidRPr="004B35F6">
        <w:rPr>
          <w:rFonts w:eastAsia="Calibri" w:cs="Times New Roman"/>
          <w:szCs w:val="24"/>
        </w:rPr>
        <w:t xml:space="preserve"> 2011, 334 (6060),1278-1283. </w:t>
      </w:r>
    </w:p>
    <w:p w:rsidR="006F53C9" w:rsidRPr="004B35F6" w:rsidRDefault="006F53C9" w:rsidP="006F53C9">
      <w:pPr>
        <w:autoSpaceDE w:val="0"/>
        <w:autoSpaceDN w:val="0"/>
        <w:adjustRightInd w:val="0"/>
        <w:spacing w:before="120" w:after="240"/>
        <w:ind w:firstLine="0"/>
        <w:rPr>
          <w:rFonts w:eastAsia="Calibri" w:cs="Times New Roman"/>
          <w:szCs w:val="24"/>
        </w:rPr>
      </w:pPr>
      <w:r w:rsidRPr="004B35F6">
        <w:rPr>
          <w:rFonts w:eastAsia="Calibri" w:cs="Times New Roman"/>
          <w:b/>
          <w:szCs w:val="24"/>
        </w:rPr>
        <w:t>Augoff K, Hryniewicz-Jankowska A, Tabola R.</w:t>
      </w:r>
      <w:r w:rsidRPr="004B35F6">
        <w:rPr>
          <w:rFonts w:eastAsia="Calibri" w:cs="Times New Roman"/>
          <w:szCs w:val="24"/>
        </w:rPr>
        <w:t xml:space="preserve"> Lactate dehydrogenase 5: An old friend and a new hope in the war on cancer. </w:t>
      </w:r>
      <w:r w:rsidRPr="004B35F6">
        <w:rPr>
          <w:rFonts w:eastAsia="Calibri" w:cs="Times New Roman"/>
          <w:i/>
          <w:szCs w:val="24"/>
        </w:rPr>
        <w:t>Cancer Letters</w:t>
      </w:r>
      <w:r w:rsidRPr="004B35F6">
        <w:rPr>
          <w:rFonts w:eastAsia="Calibri" w:cs="Times New Roman"/>
          <w:szCs w:val="24"/>
        </w:rPr>
        <w:t xml:space="preserve"> 2015, 358, 1-7. </w:t>
      </w:r>
    </w:p>
    <w:p w:rsidR="006F53C9" w:rsidRPr="004B35F6" w:rsidRDefault="006F53C9" w:rsidP="006F53C9">
      <w:pPr>
        <w:spacing w:before="120" w:after="240"/>
        <w:ind w:firstLine="0"/>
        <w:rPr>
          <w:rFonts w:eastAsia="Calibri" w:cs="Times New Roman"/>
          <w:szCs w:val="24"/>
        </w:rPr>
      </w:pPr>
      <w:r w:rsidRPr="004B35F6">
        <w:rPr>
          <w:rFonts w:eastAsiaTheme="majorEastAsia" w:cs="Times New Roman"/>
          <w:b/>
          <w:bCs/>
          <w:szCs w:val="24"/>
        </w:rPr>
        <w:t>Ausina P, Da Silva D, Majerowicz D, Zancan P, Sola-Penna P.</w:t>
      </w:r>
      <w:r w:rsidRPr="004B35F6">
        <w:rPr>
          <w:rFonts w:ascii="Calibri" w:eastAsia="Calibri" w:hAnsi="Calibri" w:cs="Times New Roman"/>
          <w:sz w:val="22"/>
        </w:rPr>
        <w:t xml:space="preserve"> </w:t>
      </w:r>
      <w:r w:rsidRPr="004B35F6">
        <w:rPr>
          <w:rFonts w:eastAsia="Calibri" w:cs="Times New Roman"/>
          <w:szCs w:val="24"/>
        </w:rPr>
        <w:t xml:space="preserve">Insulin speciﬁcally regulates expression of liver and muscle phosphofructokinase isoforms. </w:t>
      </w:r>
      <w:r w:rsidRPr="004B35F6">
        <w:rPr>
          <w:rFonts w:eastAsia="Calibri" w:cs="Times New Roman"/>
          <w:i/>
          <w:szCs w:val="24"/>
        </w:rPr>
        <w:t>Biomedicine &amp; Pharmacotherapy</w:t>
      </w:r>
      <w:r w:rsidRPr="004B35F6">
        <w:rPr>
          <w:rFonts w:eastAsia="Calibri" w:cs="Times New Roman"/>
          <w:szCs w:val="24"/>
        </w:rPr>
        <w:t xml:space="preserve"> 2018, 103, 228-233. </w:t>
      </w:r>
    </w:p>
    <w:p w:rsidR="00193A10" w:rsidRDefault="006F53C9" w:rsidP="006F53C9">
      <w:pPr>
        <w:spacing w:before="120" w:after="240"/>
        <w:ind w:firstLine="0"/>
        <w:rPr>
          <w:szCs w:val="24"/>
        </w:rPr>
      </w:pPr>
      <w:r w:rsidRPr="004B35F6">
        <w:rPr>
          <w:b/>
          <w:szCs w:val="24"/>
        </w:rPr>
        <w:t>Baenke F</w:t>
      </w:r>
      <w:r w:rsidRPr="004B35F6">
        <w:rPr>
          <w:szCs w:val="24"/>
        </w:rPr>
        <w:t>. Metabolic dependencies of breast cancer cells, Doktora Tezi, Londra Üniversitesi Kanser Araştırma Enstitüsü, Londra 2012, 325.</w:t>
      </w:r>
    </w:p>
    <w:p w:rsidR="006F53C9" w:rsidRPr="00193A10" w:rsidRDefault="006F53C9" w:rsidP="006F53C9">
      <w:pPr>
        <w:spacing w:before="120" w:after="240"/>
        <w:ind w:firstLine="0"/>
        <w:rPr>
          <w:szCs w:val="24"/>
        </w:rPr>
      </w:pPr>
      <w:r w:rsidRPr="004B35F6">
        <w:rPr>
          <w:b/>
          <w:szCs w:val="24"/>
        </w:rPr>
        <w:lastRenderedPageBreak/>
        <w:t>Bao Z, Chen K, Krepel S, Tang P, Gong W, Zhang M, Liang W, Tivett A, Zhou M, Wang JM.</w:t>
      </w:r>
      <w:r w:rsidRPr="004B35F6">
        <w:rPr>
          <w:rFonts w:eastAsia="Calibri" w:cs="Times New Roman"/>
          <w:b/>
          <w:bCs/>
          <w:color w:val="365F91" w:themeColor="accent1" w:themeShade="BF"/>
          <w:szCs w:val="24"/>
        </w:rPr>
        <w:t xml:space="preserve"> </w:t>
      </w:r>
      <w:r w:rsidRPr="004B35F6">
        <w:rPr>
          <w:rFonts w:eastAsia="Calibri" w:cs="Times New Roman"/>
          <w:szCs w:val="24"/>
        </w:rPr>
        <w:t xml:space="preserve">High Glucose Promotes Human Glioblastoma Cell Growth by Increasing the Expression and Function of Chemoattractant and Growth Factor Receptors. </w:t>
      </w:r>
      <w:r w:rsidRPr="004B35F6">
        <w:rPr>
          <w:rFonts w:eastAsia="Calibri" w:cs="Times New Roman"/>
          <w:i/>
          <w:szCs w:val="24"/>
        </w:rPr>
        <w:t>Translational Oncology</w:t>
      </w:r>
      <w:r w:rsidRPr="004B35F6">
        <w:rPr>
          <w:rFonts w:eastAsia="Calibri" w:cs="Times New Roman"/>
          <w:szCs w:val="24"/>
        </w:rPr>
        <w:t xml:space="preserve"> 2019, 12 (9), 1155-1163. </w:t>
      </w:r>
    </w:p>
    <w:p w:rsidR="006F53C9" w:rsidRPr="00446892" w:rsidRDefault="006F53C9" w:rsidP="006F53C9">
      <w:pPr>
        <w:autoSpaceDE w:val="0"/>
        <w:autoSpaceDN w:val="0"/>
        <w:adjustRightInd w:val="0"/>
        <w:spacing w:before="120" w:after="240"/>
        <w:ind w:firstLine="0"/>
        <w:rPr>
          <w:rFonts w:eastAsia="Calibri" w:cs="Times New Roman"/>
          <w:szCs w:val="24"/>
        </w:rPr>
      </w:pPr>
      <w:r w:rsidRPr="00446892">
        <w:rPr>
          <w:rFonts w:eastAsiaTheme="majorEastAsia" w:cs="Times New Roman"/>
          <w:b/>
          <w:bCs/>
          <w:szCs w:val="24"/>
        </w:rPr>
        <w:t>Barron CC, Bilan PJ, Tsakiridis T, Tsiani E.</w:t>
      </w:r>
      <w:r w:rsidRPr="00446892">
        <w:rPr>
          <w:rFonts w:eastAsia="Calibri" w:cs="Times New Roman"/>
          <w:szCs w:val="24"/>
        </w:rPr>
        <w:t xml:space="preserve"> Facilitative glucose transporters: Implications for cancer detection, prognosis and treatment. </w:t>
      </w:r>
      <w:r w:rsidRPr="00446892">
        <w:rPr>
          <w:rFonts w:eastAsia="Calibri" w:cs="Times New Roman"/>
          <w:i/>
          <w:szCs w:val="24"/>
        </w:rPr>
        <w:t>Metabolism: Clinical and Experimental</w:t>
      </w:r>
      <w:r w:rsidRPr="00446892">
        <w:rPr>
          <w:rFonts w:eastAsia="Calibri" w:cs="Times New Roman"/>
          <w:szCs w:val="24"/>
        </w:rPr>
        <w:t xml:space="preserve"> 2016, 65(2),124-139. </w:t>
      </w:r>
    </w:p>
    <w:p w:rsidR="006F53C9" w:rsidRPr="00446892" w:rsidRDefault="006F53C9" w:rsidP="006F53C9">
      <w:pPr>
        <w:spacing w:before="120" w:after="240"/>
        <w:ind w:firstLine="0"/>
        <w:rPr>
          <w:rFonts w:eastAsia="Calibri" w:cs="Times New Roman"/>
          <w:szCs w:val="24"/>
        </w:rPr>
      </w:pPr>
      <w:r w:rsidRPr="00446892">
        <w:rPr>
          <w:rFonts w:eastAsia="Calibri" w:cs="Times New Roman"/>
          <w:b/>
          <w:szCs w:val="24"/>
        </w:rPr>
        <w:t>Bartrons R, Caro J.</w:t>
      </w:r>
      <w:r w:rsidRPr="00446892">
        <w:rPr>
          <w:rFonts w:ascii="Calibri" w:eastAsia="Calibri" w:hAnsi="Calibri" w:cs="Times New Roman"/>
          <w:sz w:val="22"/>
        </w:rPr>
        <w:t xml:space="preserve"> </w:t>
      </w:r>
      <w:r w:rsidRPr="00446892">
        <w:rPr>
          <w:rFonts w:eastAsia="Calibri" w:cs="Times New Roman"/>
          <w:szCs w:val="24"/>
        </w:rPr>
        <w:t xml:space="preserve">Hypoxia, glucose metabolism and the Warburg’s effect. </w:t>
      </w:r>
      <w:r w:rsidRPr="00446892">
        <w:rPr>
          <w:rFonts w:eastAsia="Calibri" w:cs="Times New Roman"/>
          <w:i/>
          <w:szCs w:val="24"/>
        </w:rPr>
        <w:t>Journal of  Bioenergetics and Biomembranes</w:t>
      </w:r>
      <w:r w:rsidRPr="00446892">
        <w:rPr>
          <w:rFonts w:eastAsia="Calibri" w:cs="Times New Roman"/>
          <w:szCs w:val="24"/>
        </w:rPr>
        <w:t xml:space="preserve"> 2007, 39 (3), 223-229. </w:t>
      </w:r>
    </w:p>
    <w:p w:rsidR="006F53C9" w:rsidRPr="006F53C9" w:rsidRDefault="0037177D" w:rsidP="006F53C9">
      <w:pPr>
        <w:keepNext/>
        <w:keepLines/>
        <w:shd w:val="clear" w:color="auto" w:fill="FFFFFF"/>
        <w:spacing w:before="120" w:after="240"/>
        <w:ind w:firstLine="0"/>
        <w:outlineLvl w:val="0"/>
        <w:rPr>
          <w:rFonts w:eastAsia="Calibri" w:cs="Times New Roman"/>
          <w:bCs/>
          <w:szCs w:val="24"/>
        </w:rPr>
      </w:pPr>
      <w:hyperlink r:id="rId182" w:history="1">
        <w:r w:rsidR="006F53C9" w:rsidRPr="006F53C9">
          <w:rPr>
            <w:rFonts w:eastAsia="Calibri" w:cs="Times New Roman"/>
            <w:b/>
            <w:bCs/>
            <w:szCs w:val="24"/>
          </w:rPr>
          <w:t>Batetta B</w:t>
        </w:r>
      </w:hyperlink>
      <w:r w:rsidR="006F53C9" w:rsidRPr="006F53C9">
        <w:rPr>
          <w:rFonts w:eastAsia="Calibri" w:cs="Times New Roman"/>
          <w:b/>
          <w:bCs/>
          <w:szCs w:val="24"/>
        </w:rPr>
        <w:t>, </w:t>
      </w:r>
      <w:hyperlink r:id="rId183" w:history="1">
        <w:r w:rsidR="006F53C9" w:rsidRPr="006F53C9">
          <w:rPr>
            <w:rFonts w:eastAsia="Calibri" w:cs="Times New Roman"/>
            <w:b/>
            <w:bCs/>
            <w:szCs w:val="24"/>
          </w:rPr>
          <w:t>Pulisci D</w:t>
        </w:r>
      </w:hyperlink>
      <w:r w:rsidR="006F53C9" w:rsidRPr="006F53C9">
        <w:rPr>
          <w:rFonts w:eastAsia="Calibri" w:cs="Times New Roman"/>
          <w:b/>
          <w:bCs/>
          <w:szCs w:val="24"/>
        </w:rPr>
        <w:t>, </w:t>
      </w:r>
      <w:hyperlink r:id="rId184" w:history="1">
        <w:r w:rsidR="006F53C9" w:rsidRPr="006F53C9">
          <w:rPr>
            <w:rFonts w:eastAsia="Calibri" w:cs="Times New Roman"/>
            <w:b/>
            <w:bCs/>
            <w:szCs w:val="24"/>
          </w:rPr>
          <w:t>Bonatesta RR</w:t>
        </w:r>
      </w:hyperlink>
      <w:r w:rsidR="006F53C9" w:rsidRPr="006F53C9">
        <w:rPr>
          <w:rFonts w:eastAsia="Calibri" w:cs="Times New Roman"/>
          <w:b/>
          <w:bCs/>
          <w:szCs w:val="24"/>
        </w:rPr>
        <w:t>, </w:t>
      </w:r>
      <w:hyperlink r:id="rId185" w:history="1">
        <w:r w:rsidR="006F53C9" w:rsidRPr="006F53C9">
          <w:rPr>
            <w:rFonts w:eastAsia="Calibri" w:cs="Times New Roman"/>
            <w:b/>
            <w:bCs/>
            <w:szCs w:val="24"/>
          </w:rPr>
          <w:t>Sanna F</w:t>
        </w:r>
      </w:hyperlink>
      <w:r w:rsidR="006F53C9" w:rsidRPr="006F53C9">
        <w:rPr>
          <w:rFonts w:eastAsia="Calibri" w:cs="Times New Roman"/>
          <w:b/>
          <w:bCs/>
          <w:szCs w:val="24"/>
        </w:rPr>
        <w:t>, </w:t>
      </w:r>
      <w:hyperlink r:id="rId186" w:history="1">
        <w:r w:rsidR="006F53C9" w:rsidRPr="006F53C9">
          <w:rPr>
            <w:rFonts w:eastAsia="Calibri" w:cs="Times New Roman"/>
            <w:b/>
            <w:bCs/>
            <w:szCs w:val="24"/>
          </w:rPr>
          <w:t>Piras S</w:t>
        </w:r>
      </w:hyperlink>
      <w:r w:rsidR="006F53C9" w:rsidRPr="006F53C9">
        <w:rPr>
          <w:rFonts w:eastAsia="Calibri" w:cs="Times New Roman"/>
          <w:b/>
          <w:bCs/>
          <w:szCs w:val="24"/>
        </w:rPr>
        <w:t>, </w:t>
      </w:r>
      <w:hyperlink r:id="rId187" w:history="1">
        <w:r w:rsidR="006F53C9" w:rsidRPr="006F53C9">
          <w:rPr>
            <w:rFonts w:eastAsia="Calibri" w:cs="Times New Roman"/>
            <w:b/>
            <w:bCs/>
            <w:szCs w:val="24"/>
          </w:rPr>
          <w:t>Mulas MF</w:t>
        </w:r>
      </w:hyperlink>
      <w:r w:rsidR="006F53C9" w:rsidRPr="006F53C9">
        <w:rPr>
          <w:rFonts w:eastAsia="Calibri" w:cs="Times New Roman"/>
          <w:b/>
          <w:bCs/>
          <w:szCs w:val="24"/>
        </w:rPr>
        <w:t>, </w:t>
      </w:r>
      <w:hyperlink r:id="rId188" w:history="1">
        <w:r w:rsidR="006F53C9" w:rsidRPr="006F53C9">
          <w:rPr>
            <w:rFonts w:eastAsia="Calibri" w:cs="Times New Roman"/>
            <w:b/>
            <w:bCs/>
            <w:szCs w:val="24"/>
          </w:rPr>
          <w:t>Spano O</w:t>
        </w:r>
      </w:hyperlink>
      <w:r w:rsidR="006F53C9" w:rsidRPr="006F53C9">
        <w:rPr>
          <w:rFonts w:eastAsia="Calibri" w:cs="Times New Roman"/>
          <w:b/>
          <w:bCs/>
          <w:szCs w:val="24"/>
        </w:rPr>
        <w:t>, </w:t>
      </w:r>
      <w:hyperlink r:id="rId189" w:history="1">
        <w:r w:rsidR="006F53C9" w:rsidRPr="006F53C9">
          <w:rPr>
            <w:rFonts w:eastAsia="Calibri" w:cs="Times New Roman"/>
            <w:b/>
            <w:bCs/>
            <w:szCs w:val="24"/>
          </w:rPr>
          <w:t>Putzolu M</w:t>
        </w:r>
      </w:hyperlink>
      <w:r w:rsidR="006F53C9" w:rsidRPr="006F53C9">
        <w:rPr>
          <w:rFonts w:eastAsia="Calibri" w:cs="Times New Roman"/>
          <w:b/>
          <w:bCs/>
          <w:szCs w:val="24"/>
        </w:rPr>
        <w:t>, </w:t>
      </w:r>
      <w:hyperlink r:id="rId190" w:history="1">
        <w:r w:rsidR="006F53C9" w:rsidRPr="006F53C9">
          <w:rPr>
            <w:rFonts w:eastAsia="Calibri" w:cs="Times New Roman"/>
            <w:b/>
            <w:bCs/>
            <w:szCs w:val="24"/>
          </w:rPr>
          <w:t>Broccia G</w:t>
        </w:r>
      </w:hyperlink>
      <w:r w:rsidR="006F53C9" w:rsidRPr="006F53C9">
        <w:rPr>
          <w:rFonts w:eastAsia="Calibri" w:cs="Times New Roman"/>
          <w:b/>
          <w:bCs/>
          <w:szCs w:val="24"/>
        </w:rPr>
        <w:t>, </w:t>
      </w:r>
      <w:hyperlink r:id="rId191" w:history="1">
        <w:r w:rsidR="006F53C9" w:rsidRPr="006F53C9">
          <w:rPr>
            <w:rFonts w:eastAsia="Calibri" w:cs="Times New Roman"/>
            <w:b/>
            <w:bCs/>
            <w:szCs w:val="24"/>
          </w:rPr>
          <w:t>Dessì S</w:t>
        </w:r>
      </w:hyperlink>
      <w:r w:rsidR="006F53C9" w:rsidRPr="006F53C9">
        <w:rPr>
          <w:rFonts w:eastAsia="Calibri" w:cs="Times New Roman"/>
          <w:b/>
          <w:bCs/>
          <w:szCs w:val="24"/>
        </w:rPr>
        <w:t>.</w:t>
      </w:r>
      <w:r w:rsidR="006F53C9" w:rsidRPr="006F53C9">
        <w:rPr>
          <w:rFonts w:eastAsia="Calibri" w:cs="Times New Roman"/>
          <w:bCs/>
          <w:szCs w:val="24"/>
        </w:rPr>
        <w:t xml:space="preserve"> G6PD activity and gene expression in leukemic cells from G6PD-deficient subjects. </w:t>
      </w:r>
      <w:r w:rsidR="006F53C9" w:rsidRPr="006F53C9">
        <w:rPr>
          <w:rFonts w:eastAsia="Calibri" w:cs="Times New Roman"/>
          <w:bCs/>
          <w:i/>
          <w:szCs w:val="24"/>
        </w:rPr>
        <w:t>Cancer Letters</w:t>
      </w:r>
      <w:r w:rsidR="006F53C9" w:rsidRPr="006F53C9">
        <w:rPr>
          <w:rFonts w:eastAsia="Calibri" w:cs="Times New Roman"/>
          <w:bCs/>
          <w:szCs w:val="24"/>
        </w:rPr>
        <w:t xml:space="preserve"> 1999, 140 (1-2), 53-58.</w:t>
      </w:r>
    </w:p>
    <w:p w:rsidR="006F53C9" w:rsidRPr="00446892" w:rsidRDefault="0037177D" w:rsidP="006F53C9">
      <w:pPr>
        <w:spacing w:before="120" w:after="240"/>
        <w:ind w:firstLine="0"/>
        <w:rPr>
          <w:rFonts w:eastAsia="Calibri" w:cs="Times New Roman"/>
          <w:szCs w:val="24"/>
        </w:rPr>
      </w:pPr>
      <w:hyperlink r:id="rId192" w:history="1">
        <w:r w:rsidR="006F53C9" w:rsidRPr="00446892">
          <w:rPr>
            <w:rFonts w:eastAsia="Calibri" w:cs="Times New Roman"/>
            <w:b/>
            <w:szCs w:val="24"/>
          </w:rPr>
          <w:t>Baumann MU</w:t>
        </w:r>
      </w:hyperlink>
      <w:r w:rsidR="006F53C9" w:rsidRPr="00446892">
        <w:rPr>
          <w:rFonts w:eastAsia="Calibri" w:cs="Times New Roman"/>
          <w:b/>
          <w:szCs w:val="24"/>
        </w:rPr>
        <w:t>, </w:t>
      </w:r>
      <w:hyperlink r:id="rId193" w:history="1">
        <w:r w:rsidR="006F53C9" w:rsidRPr="00446892">
          <w:rPr>
            <w:rFonts w:eastAsia="Calibri" w:cs="Times New Roman"/>
            <w:b/>
            <w:szCs w:val="24"/>
          </w:rPr>
          <w:t>Zamudio S</w:t>
        </w:r>
      </w:hyperlink>
      <w:r w:rsidR="006F53C9" w:rsidRPr="00446892">
        <w:rPr>
          <w:rFonts w:eastAsia="Calibri" w:cs="Times New Roman"/>
          <w:b/>
          <w:szCs w:val="24"/>
        </w:rPr>
        <w:t>, </w:t>
      </w:r>
      <w:hyperlink r:id="rId194" w:history="1">
        <w:r w:rsidR="006F53C9" w:rsidRPr="00446892">
          <w:rPr>
            <w:rFonts w:eastAsia="Calibri" w:cs="Times New Roman"/>
            <w:b/>
            <w:szCs w:val="24"/>
          </w:rPr>
          <w:t>Illsley NP</w:t>
        </w:r>
      </w:hyperlink>
      <w:r w:rsidR="006F53C9" w:rsidRPr="00446892">
        <w:rPr>
          <w:rFonts w:eastAsia="Calibri" w:cs="Times New Roman"/>
          <w:b/>
          <w:szCs w:val="24"/>
        </w:rPr>
        <w:t>.</w:t>
      </w:r>
      <w:r w:rsidR="006F53C9" w:rsidRPr="00446892">
        <w:rPr>
          <w:rFonts w:eastAsia="Calibri" w:cs="Times New Roman"/>
          <w:szCs w:val="24"/>
        </w:rPr>
        <w:t xml:space="preserve"> Hypoxic upregulation of glucose trans-porters in BeWo choriocarcinoma cells is mediated by hypoxia-induciblefactor-1. </w:t>
      </w:r>
      <w:r w:rsidR="006F53C9" w:rsidRPr="00446892">
        <w:rPr>
          <w:rFonts w:eastAsia="Calibri" w:cs="Times New Roman"/>
          <w:i/>
          <w:szCs w:val="24"/>
        </w:rPr>
        <w:t>American Journal of Physiology Cell Physiology</w:t>
      </w:r>
      <w:r w:rsidR="006F53C9" w:rsidRPr="00446892">
        <w:rPr>
          <w:rFonts w:eastAsia="Calibri" w:cs="Times New Roman"/>
          <w:szCs w:val="24"/>
        </w:rPr>
        <w:t>, 2007, 293, C477–C485.</w:t>
      </w:r>
    </w:p>
    <w:p w:rsidR="006F53C9" w:rsidRPr="00446892" w:rsidRDefault="006F53C9" w:rsidP="006F53C9">
      <w:pPr>
        <w:spacing w:before="120" w:after="240"/>
        <w:ind w:firstLine="0"/>
        <w:rPr>
          <w:rFonts w:eastAsia="Calibri" w:cs="Times New Roman"/>
          <w:szCs w:val="24"/>
        </w:rPr>
      </w:pPr>
      <w:r w:rsidRPr="00446892">
        <w:rPr>
          <w:rFonts w:eastAsia="Calibri" w:cs="Times New Roman"/>
          <w:b/>
          <w:szCs w:val="24"/>
        </w:rPr>
        <w:t>Beck I, Ramirez S, Weinmann R, Caro J.</w:t>
      </w:r>
      <w:r w:rsidRPr="00446892">
        <w:rPr>
          <w:rFonts w:ascii="Calibri" w:eastAsia="Calibri" w:hAnsi="Calibri" w:cs="Times New Roman"/>
          <w:sz w:val="22"/>
        </w:rPr>
        <w:t xml:space="preserve"> </w:t>
      </w:r>
      <w:r w:rsidRPr="00446892">
        <w:rPr>
          <w:rFonts w:eastAsia="Calibri" w:cs="Times New Roman"/>
          <w:szCs w:val="24"/>
        </w:rPr>
        <w:t xml:space="preserve">Enhancer element at the 3'-flanking region controls transcriptional response to hypoxia in the human erythropoietin gene. </w:t>
      </w:r>
      <w:r w:rsidRPr="00446892">
        <w:rPr>
          <w:rFonts w:eastAsia="Calibri" w:cs="Times New Roman"/>
          <w:i/>
          <w:szCs w:val="24"/>
        </w:rPr>
        <w:t>Journal of Biological Chemistry</w:t>
      </w:r>
      <w:r w:rsidRPr="00446892">
        <w:rPr>
          <w:rFonts w:eastAsia="Calibri" w:cs="Times New Roman"/>
          <w:szCs w:val="24"/>
        </w:rPr>
        <w:t xml:space="preserve"> 1991, 266 (24), 15563-15566.</w:t>
      </w:r>
    </w:p>
    <w:p w:rsidR="006F53C9" w:rsidRPr="00446892" w:rsidRDefault="006F53C9" w:rsidP="006F53C9">
      <w:pPr>
        <w:spacing w:before="120" w:after="240"/>
        <w:ind w:firstLine="0"/>
        <w:rPr>
          <w:rFonts w:eastAsia="Calibri" w:cs="Times New Roman"/>
          <w:szCs w:val="24"/>
        </w:rPr>
      </w:pPr>
      <w:r w:rsidRPr="00446892">
        <w:rPr>
          <w:rFonts w:eastAsia="Calibri" w:cs="Times New Roman"/>
          <w:b/>
          <w:szCs w:val="24"/>
        </w:rPr>
        <w:t>Bensinger SJ, Christofk HR.</w:t>
      </w:r>
      <w:r w:rsidRPr="00446892">
        <w:rPr>
          <w:rFonts w:eastAsia="Calibri" w:cs="Times New Roman"/>
          <w:szCs w:val="24"/>
        </w:rPr>
        <w:t xml:space="preserve"> New aspects of the Warburg effect in cancer cell biology. </w:t>
      </w:r>
      <w:r w:rsidRPr="00446892">
        <w:rPr>
          <w:rFonts w:eastAsia="Calibri" w:cs="Times New Roman"/>
          <w:i/>
          <w:szCs w:val="24"/>
        </w:rPr>
        <w:t>Seminars in Cell&amp;Developmental Biology</w:t>
      </w:r>
      <w:r w:rsidRPr="00446892">
        <w:rPr>
          <w:rFonts w:eastAsia="Calibri" w:cs="Times New Roman"/>
          <w:szCs w:val="24"/>
        </w:rPr>
        <w:t xml:space="preserve"> 2012, 23, 352-361. </w:t>
      </w:r>
    </w:p>
    <w:p w:rsidR="006F53C9" w:rsidRDefault="006F53C9" w:rsidP="006F53C9">
      <w:pPr>
        <w:keepNext/>
        <w:keepLines/>
        <w:shd w:val="clear" w:color="auto" w:fill="FFFFFF"/>
        <w:spacing w:before="120" w:after="240"/>
        <w:ind w:firstLine="0"/>
        <w:outlineLvl w:val="0"/>
        <w:rPr>
          <w:rFonts w:eastAsia="Calibri" w:cs="Times New Roman"/>
          <w:szCs w:val="24"/>
        </w:rPr>
      </w:pPr>
      <w:r w:rsidRPr="00446892">
        <w:rPr>
          <w:rFonts w:eastAsia="Calibri" w:cs="Times New Roman"/>
          <w:b/>
          <w:szCs w:val="24"/>
        </w:rPr>
        <w:t>Bertout JA, Patel SA, Simon MC.</w:t>
      </w:r>
      <w:r w:rsidRPr="00446892">
        <w:rPr>
          <w:rFonts w:eastAsia="Calibri" w:cs="Times New Roman"/>
          <w:szCs w:val="24"/>
        </w:rPr>
        <w:t xml:space="preserve"> The impact of O</w:t>
      </w:r>
      <w:r w:rsidRPr="00446892">
        <w:rPr>
          <w:rFonts w:eastAsia="Calibri" w:cs="Times New Roman"/>
          <w:szCs w:val="24"/>
          <w:vertAlign w:val="subscript"/>
        </w:rPr>
        <w:t>2</w:t>
      </w:r>
      <w:r w:rsidRPr="00446892">
        <w:rPr>
          <w:rFonts w:eastAsia="Calibri" w:cs="Times New Roman"/>
          <w:szCs w:val="24"/>
        </w:rPr>
        <w:t xml:space="preserve"> availability on human cancer. </w:t>
      </w:r>
      <w:r w:rsidRPr="00446892">
        <w:rPr>
          <w:rFonts w:eastAsia="Calibri" w:cs="Times New Roman"/>
          <w:i/>
          <w:szCs w:val="24"/>
        </w:rPr>
        <w:t xml:space="preserve">Nature  Reviews. Cancer </w:t>
      </w:r>
      <w:r w:rsidRPr="00446892">
        <w:rPr>
          <w:rFonts w:eastAsia="Calibri" w:cs="Times New Roman"/>
          <w:szCs w:val="24"/>
        </w:rPr>
        <w:t>2008, 8 (12), 967-975.</w:t>
      </w:r>
    </w:p>
    <w:p w:rsidR="005A477F" w:rsidRDefault="006F53C9" w:rsidP="005A477F">
      <w:pPr>
        <w:spacing w:before="120" w:after="240"/>
        <w:ind w:firstLine="0"/>
        <w:rPr>
          <w:rFonts w:eastAsiaTheme="majorEastAsia" w:cs="Times New Roman"/>
          <w:b/>
          <w:szCs w:val="24"/>
        </w:rPr>
      </w:pPr>
      <w:r w:rsidRPr="00446892">
        <w:rPr>
          <w:rFonts w:eastAsia="Calibri" w:cs="Times New Roman"/>
          <w:b/>
          <w:szCs w:val="24"/>
        </w:rPr>
        <w:t>Blount  KG</w:t>
      </w:r>
      <w:r w:rsidRPr="00446892">
        <w:rPr>
          <w:rFonts w:eastAsia="Calibri" w:cs="Times New Roman"/>
          <w:szCs w:val="24"/>
        </w:rPr>
        <w:t>. Cancer Systems Biology: Is the devil in the glycolytic detail? Doktora Tezi, University of Manchester School of Chemical Engineering and Analytical Sciences, Manchester 2013.</w:t>
      </w:r>
    </w:p>
    <w:p w:rsidR="006F53C9" w:rsidRPr="005A477F" w:rsidRDefault="0037177D" w:rsidP="005A477F">
      <w:pPr>
        <w:spacing w:before="120" w:after="240"/>
        <w:ind w:firstLine="0"/>
        <w:rPr>
          <w:rFonts w:eastAsiaTheme="majorEastAsia" w:cs="Times New Roman"/>
          <w:b/>
          <w:szCs w:val="24"/>
        </w:rPr>
      </w:pPr>
      <w:hyperlink r:id="rId195" w:history="1">
        <w:r w:rsidR="006F53C9" w:rsidRPr="00446892">
          <w:rPr>
            <w:rFonts w:eastAsiaTheme="majorEastAsia" w:cs="Times New Roman"/>
            <w:b/>
            <w:bCs/>
            <w:szCs w:val="24"/>
          </w:rPr>
          <w:t>Bluemlein K</w:t>
        </w:r>
      </w:hyperlink>
      <w:r w:rsidR="006F53C9" w:rsidRPr="00446892">
        <w:rPr>
          <w:rFonts w:eastAsiaTheme="majorEastAsia" w:cs="Times New Roman"/>
          <w:b/>
          <w:bCs/>
          <w:szCs w:val="24"/>
        </w:rPr>
        <w:t>, </w:t>
      </w:r>
      <w:hyperlink r:id="rId196" w:history="1">
        <w:r w:rsidR="006F53C9" w:rsidRPr="00446892">
          <w:rPr>
            <w:rFonts w:eastAsiaTheme="majorEastAsia" w:cs="Times New Roman"/>
            <w:b/>
            <w:bCs/>
            <w:szCs w:val="24"/>
          </w:rPr>
          <w:t>Grüning NM</w:t>
        </w:r>
      </w:hyperlink>
      <w:r w:rsidR="006F53C9" w:rsidRPr="00446892">
        <w:rPr>
          <w:rFonts w:eastAsiaTheme="majorEastAsia" w:cs="Times New Roman"/>
          <w:b/>
          <w:bCs/>
          <w:szCs w:val="24"/>
        </w:rPr>
        <w:t>, </w:t>
      </w:r>
      <w:hyperlink r:id="rId197" w:history="1">
        <w:r w:rsidR="006F53C9" w:rsidRPr="00446892">
          <w:rPr>
            <w:rFonts w:eastAsiaTheme="majorEastAsia" w:cs="Times New Roman"/>
            <w:b/>
            <w:bCs/>
            <w:szCs w:val="24"/>
          </w:rPr>
          <w:t>Feichtinger RG</w:t>
        </w:r>
      </w:hyperlink>
      <w:r w:rsidR="006F53C9" w:rsidRPr="00446892">
        <w:rPr>
          <w:rFonts w:eastAsiaTheme="majorEastAsia" w:cs="Times New Roman"/>
          <w:b/>
          <w:bCs/>
          <w:szCs w:val="24"/>
        </w:rPr>
        <w:t>, </w:t>
      </w:r>
      <w:hyperlink r:id="rId198" w:history="1">
        <w:r w:rsidR="006F53C9" w:rsidRPr="00446892">
          <w:rPr>
            <w:rFonts w:eastAsiaTheme="majorEastAsia" w:cs="Times New Roman"/>
            <w:b/>
            <w:bCs/>
            <w:szCs w:val="24"/>
          </w:rPr>
          <w:t>Lehrach H</w:t>
        </w:r>
      </w:hyperlink>
      <w:r w:rsidR="006F53C9" w:rsidRPr="00446892">
        <w:rPr>
          <w:rFonts w:eastAsiaTheme="majorEastAsia" w:cs="Times New Roman"/>
          <w:b/>
          <w:bCs/>
          <w:szCs w:val="24"/>
        </w:rPr>
        <w:t>, </w:t>
      </w:r>
      <w:hyperlink r:id="rId199" w:history="1">
        <w:r w:rsidR="006F53C9" w:rsidRPr="00446892">
          <w:rPr>
            <w:rFonts w:eastAsiaTheme="majorEastAsia" w:cs="Times New Roman"/>
            <w:b/>
            <w:bCs/>
            <w:szCs w:val="24"/>
          </w:rPr>
          <w:t>Kofler B</w:t>
        </w:r>
      </w:hyperlink>
      <w:r w:rsidR="006F53C9" w:rsidRPr="00446892">
        <w:rPr>
          <w:rFonts w:eastAsiaTheme="majorEastAsia" w:cs="Times New Roman"/>
          <w:b/>
          <w:bCs/>
          <w:szCs w:val="24"/>
        </w:rPr>
        <w:t>, </w:t>
      </w:r>
      <w:hyperlink r:id="rId200" w:history="1">
        <w:r w:rsidR="006F53C9" w:rsidRPr="00446892">
          <w:rPr>
            <w:rFonts w:eastAsiaTheme="majorEastAsia" w:cs="Times New Roman"/>
            <w:b/>
            <w:bCs/>
            <w:szCs w:val="24"/>
          </w:rPr>
          <w:t>Ralser M</w:t>
        </w:r>
      </w:hyperlink>
      <w:r w:rsidR="006F53C9" w:rsidRPr="00446892">
        <w:rPr>
          <w:rFonts w:eastAsiaTheme="majorEastAsia" w:cs="Times New Roman"/>
          <w:b/>
          <w:bCs/>
          <w:szCs w:val="24"/>
        </w:rPr>
        <w:t xml:space="preserve">. </w:t>
      </w:r>
      <w:r w:rsidR="006F53C9" w:rsidRPr="00446892">
        <w:rPr>
          <w:rFonts w:eastAsia="Calibri" w:cs="Times New Roman"/>
          <w:szCs w:val="24"/>
        </w:rPr>
        <w:t xml:space="preserve">No evidence for a shift in pyruvate kinase PKM1 to PKM2 expression during tumorigenesis. </w:t>
      </w:r>
      <w:r w:rsidR="006F53C9" w:rsidRPr="00446892">
        <w:rPr>
          <w:rFonts w:eastAsia="Calibri" w:cs="Times New Roman"/>
          <w:i/>
          <w:szCs w:val="24"/>
        </w:rPr>
        <w:t>Oncotarget</w:t>
      </w:r>
      <w:r w:rsidR="006F53C9" w:rsidRPr="00446892">
        <w:rPr>
          <w:rFonts w:eastAsia="Calibri" w:cs="Times New Roman"/>
          <w:szCs w:val="24"/>
        </w:rPr>
        <w:t xml:space="preserve"> 2011, 2 (5), 393-400. </w:t>
      </w:r>
    </w:p>
    <w:p w:rsidR="006F53C9" w:rsidRPr="00446892" w:rsidRDefault="006F53C9" w:rsidP="006F53C9">
      <w:pPr>
        <w:spacing w:before="120" w:after="240"/>
        <w:ind w:firstLine="0"/>
        <w:rPr>
          <w:rFonts w:eastAsia="Calibri" w:cs="Times New Roman"/>
          <w:szCs w:val="24"/>
        </w:rPr>
      </w:pPr>
      <w:r w:rsidRPr="00446892">
        <w:rPr>
          <w:rFonts w:eastAsia="Calibri" w:cs="Times New Roman"/>
          <w:b/>
          <w:szCs w:val="24"/>
        </w:rPr>
        <w:lastRenderedPageBreak/>
        <w:t>Bonuccelli G, Tsirigos A, Whitaker‐Menezes D, Pavlides S, Pestell RG, Chiavarina B, Frank PG, Flomenberg N, Howell A, Martinez‐Outschoorn UE, Sotgia F, Lisanti MP. </w:t>
      </w:r>
      <w:r w:rsidRPr="00446892">
        <w:rPr>
          <w:rFonts w:eastAsia="Calibri" w:cs="Times New Roman"/>
          <w:szCs w:val="24"/>
        </w:rPr>
        <w:t xml:space="preserve"> Ketones and lactate ‘fuel’ tumor growth and metastasis: evidence that epithelial cancer cells use oxidative mitochondrial metabolism. </w:t>
      </w:r>
      <w:r w:rsidRPr="00446892">
        <w:rPr>
          <w:rFonts w:eastAsia="Calibri" w:cs="Times New Roman"/>
          <w:i/>
          <w:szCs w:val="24"/>
        </w:rPr>
        <w:t>Cell Cycle</w:t>
      </w:r>
      <w:r w:rsidRPr="00446892">
        <w:rPr>
          <w:rFonts w:eastAsia="Calibri" w:cs="Times New Roman"/>
          <w:szCs w:val="24"/>
        </w:rPr>
        <w:t> 2010, 9, 3506–3514.</w:t>
      </w:r>
    </w:p>
    <w:p w:rsidR="006F53C9" w:rsidRPr="00446892" w:rsidRDefault="006F53C9" w:rsidP="006F53C9">
      <w:pPr>
        <w:spacing w:before="120" w:after="240"/>
        <w:ind w:firstLine="0"/>
        <w:rPr>
          <w:rFonts w:eastAsia="Calibri" w:cs="Times New Roman"/>
          <w:szCs w:val="24"/>
        </w:rPr>
      </w:pPr>
      <w:r w:rsidRPr="00446892">
        <w:rPr>
          <w:rFonts w:eastAsia="Calibri" w:cs="Times New Roman"/>
          <w:b/>
          <w:szCs w:val="24"/>
        </w:rPr>
        <w:t>Brahimi-Horn MC,  Pouyssegur J.</w:t>
      </w:r>
      <w:r w:rsidRPr="00446892">
        <w:rPr>
          <w:rFonts w:ascii="Calibri" w:eastAsia="Calibri" w:hAnsi="Calibri" w:cs="Times New Roman"/>
          <w:sz w:val="22"/>
        </w:rPr>
        <w:t xml:space="preserve"> </w:t>
      </w:r>
      <w:r w:rsidRPr="00446892">
        <w:rPr>
          <w:rFonts w:eastAsia="Calibri" w:cs="Times New Roman"/>
          <w:szCs w:val="24"/>
        </w:rPr>
        <w:t xml:space="preserve">Oxygen, a source of life and stress. </w:t>
      </w:r>
      <w:r w:rsidRPr="00446892">
        <w:rPr>
          <w:rFonts w:eastAsia="Calibri" w:cs="Times New Roman"/>
          <w:i/>
          <w:szCs w:val="24"/>
        </w:rPr>
        <w:t>FEBS Letters</w:t>
      </w:r>
      <w:r w:rsidRPr="00446892">
        <w:rPr>
          <w:rFonts w:eastAsia="Calibri" w:cs="Times New Roman"/>
          <w:szCs w:val="24"/>
        </w:rPr>
        <w:t xml:space="preserve"> 2007, 581(19), 3582-3591.</w:t>
      </w:r>
    </w:p>
    <w:p w:rsidR="006F53C9" w:rsidRDefault="006F53C9" w:rsidP="006F53C9">
      <w:pPr>
        <w:spacing w:before="120" w:after="240"/>
        <w:ind w:firstLine="0"/>
        <w:rPr>
          <w:rFonts w:eastAsia="Calibri" w:cs="Times New Roman"/>
          <w:szCs w:val="24"/>
        </w:rPr>
      </w:pPr>
      <w:r w:rsidRPr="00446892">
        <w:rPr>
          <w:rFonts w:eastAsia="Calibri" w:cs="Times New Roman"/>
          <w:b/>
          <w:szCs w:val="24"/>
        </w:rPr>
        <w:t>Bristow RG, Hill RP.</w:t>
      </w:r>
      <w:r w:rsidRPr="00446892">
        <w:rPr>
          <w:rFonts w:eastAsia="Calibri" w:cs="Times New Roman"/>
          <w:szCs w:val="24"/>
        </w:rPr>
        <w:t xml:space="preserve"> Hipoxia, DNA repair and genetic instability. </w:t>
      </w:r>
      <w:r w:rsidRPr="00446892">
        <w:rPr>
          <w:rFonts w:eastAsia="Calibri" w:cs="Times New Roman"/>
          <w:i/>
          <w:szCs w:val="24"/>
        </w:rPr>
        <w:t>Nature Reviews Cancer</w:t>
      </w:r>
      <w:r w:rsidRPr="00446892">
        <w:rPr>
          <w:rFonts w:eastAsia="Calibri" w:cs="Times New Roman"/>
          <w:szCs w:val="24"/>
        </w:rPr>
        <w:t xml:space="preserve"> 2008, 8, 180–192.</w:t>
      </w:r>
    </w:p>
    <w:p w:rsidR="006F53C9" w:rsidRPr="00446892" w:rsidRDefault="006F53C9" w:rsidP="006F53C9">
      <w:pPr>
        <w:spacing w:before="120" w:after="240"/>
        <w:ind w:firstLine="0"/>
        <w:rPr>
          <w:rFonts w:eastAsia="Calibri" w:cs="Times New Roman"/>
          <w:szCs w:val="24"/>
        </w:rPr>
      </w:pPr>
      <w:r w:rsidRPr="00446892">
        <w:rPr>
          <w:rFonts w:eastAsia="Calibri" w:cs="Times New Roman"/>
          <w:b/>
          <w:szCs w:val="24"/>
        </w:rPr>
        <w:t>Brooks GA, Dubouchaud H, Brown M, Sicurello JP, Butz CE.</w:t>
      </w:r>
      <w:r w:rsidRPr="00446892">
        <w:rPr>
          <w:rFonts w:eastAsia="Calibri" w:cs="Times New Roman"/>
          <w:szCs w:val="24"/>
        </w:rPr>
        <w:t xml:space="preserve"> Role of mitochondrial lactate dehydrogenase and lactate oxidation in the intracellular lactate shuttle. </w:t>
      </w:r>
      <w:r w:rsidRPr="00446892">
        <w:rPr>
          <w:rFonts w:eastAsia="Calibri" w:cs="Times New Roman"/>
          <w:i/>
          <w:szCs w:val="24"/>
        </w:rPr>
        <w:t>Proceedings of The National Academy of Sciences of The United States of America</w:t>
      </w:r>
      <w:r w:rsidRPr="00446892">
        <w:rPr>
          <w:rFonts w:eastAsia="Calibri" w:cs="Times New Roman"/>
          <w:szCs w:val="24"/>
        </w:rPr>
        <w:t xml:space="preserve"> 1999, 96, 1129-1134.</w:t>
      </w:r>
    </w:p>
    <w:p w:rsidR="006F53C9" w:rsidRPr="00446892" w:rsidRDefault="006F53C9" w:rsidP="006F53C9">
      <w:pPr>
        <w:spacing w:before="120" w:after="240"/>
        <w:ind w:firstLine="0"/>
        <w:rPr>
          <w:rFonts w:eastAsia="Calibri" w:cs="Times New Roman"/>
          <w:szCs w:val="24"/>
        </w:rPr>
      </w:pPr>
      <w:r w:rsidRPr="00446892">
        <w:rPr>
          <w:rFonts w:eastAsia="Calibri" w:cs="Times New Roman"/>
          <w:b/>
          <w:szCs w:val="24"/>
        </w:rPr>
        <w:t>Brooks GA.</w:t>
      </w:r>
      <w:r w:rsidRPr="00446892">
        <w:rPr>
          <w:rFonts w:eastAsia="Calibri" w:cs="Times New Roman"/>
          <w:szCs w:val="24"/>
        </w:rPr>
        <w:t xml:space="preserve"> The Science and Translation of Lactate Shuttle Theory. </w:t>
      </w:r>
      <w:r w:rsidRPr="00446892">
        <w:rPr>
          <w:rFonts w:eastAsia="Calibri" w:cs="Times New Roman"/>
          <w:i/>
          <w:szCs w:val="24"/>
        </w:rPr>
        <w:t>Cell Metabolism</w:t>
      </w:r>
      <w:r w:rsidRPr="00446892">
        <w:rPr>
          <w:rFonts w:eastAsia="Calibri" w:cs="Times New Roman"/>
          <w:szCs w:val="24"/>
        </w:rPr>
        <w:t xml:space="preserve"> 2018, 27(4), 757-785.</w:t>
      </w:r>
    </w:p>
    <w:p w:rsidR="006F53C9" w:rsidRPr="000A425E" w:rsidRDefault="006F53C9" w:rsidP="006F53C9">
      <w:pPr>
        <w:keepNext/>
        <w:keepLines/>
        <w:shd w:val="clear" w:color="auto" w:fill="FFFFFF"/>
        <w:spacing w:before="120" w:after="240"/>
        <w:ind w:firstLine="0"/>
        <w:outlineLvl w:val="0"/>
        <w:rPr>
          <w:rFonts w:eastAsia="Calibri" w:cs="Times New Roman"/>
          <w:szCs w:val="24"/>
        </w:rPr>
      </w:pPr>
      <w:r w:rsidRPr="000A425E">
        <w:rPr>
          <w:rFonts w:eastAsia="Calibri" w:cs="Times New Roman"/>
          <w:b/>
          <w:szCs w:val="24"/>
        </w:rPr>
        <w:t>Brown JM, Giaccia AJ.</w:t>
      </w:r>
      <w:r w:rsidRPr="000A425E">
        <w:rPr>
          <w:rFonts w:eastAsiaTheme="majorEastAsia" w:cstheme="majorBidi"/>
          <w:b/>
          <w:bCs/>
          <w:color w:val="365F91" w:themeColor="accent1" w:themeShade="BF"/>
          <w:szCs w:val="24"/>
        </w:rPr>
        <w:t xml:space="preserve"> </w:t>
      </w:r>
      <w:r w:rsidRPr="000A425E">
        <w:rPr>
          <w:rFonts w:eastAsia="Calibri" w:cs="Times New Roman"/>
          <w:szCs w:val="24"/>
        </w:rPr>
        <w:t xml:space="preserve">The unique physiology of solid tumors: opportunities (and problems) for cancer therapy. </w:t>
      </w:r>
      <w:r w:rsidRPr="000A425E">
        <w:rPr>
          <w:rFonts w:eastAsia="Calibri" w:cs="Times New Roman"/>
          <w:i/>
          <w:szCs w:val="24"/>
        </w:rPr>
        <w:t>Cancer Research</w:t>
      </w:r>
      <w:r w:rsidRPr="000A425E">
        <w:rPr>
          <w:rFonts w:eastAsia="Calibri" w:cs="Times New Roman"/>
          <w:szCs w:val="24"/>
        </w:rPr>
        <w:t xml:space="preserve"> 1998, 58 (7), 1408-1416. </w:t>
      </w:r>
    </w:p>
    <w:p w:rsidR="006F53C9" w:rsidRPr="000A425E" w:rsidRDefault="0037177D" w:rsidP="006F53C9">
      <w:pPr>
        <w:keepNext/>
        <w:keepLines/>
        <w:shd w:val="clear" w:color="auto" w:fill="FFFFFF"/>
        <w:spacing w:before="120" w:after="240"/>
        <w:ind w:firstLine="0"/>
        <w:outlineLvl w:val="0"/>
        <w:rPr>
          <w:rFonts w:eastAsia="Calibri" w:cs="Times New Roman"/>
          <w:szCs w:val="24"/>
        </w:rPr>
      </w:pPr>
      <w:hyperlink r:id="rId201" w:history="1">
        <w:r w:rsidR="006F53C9" w:rsidRPr="000A425E">
          <w:rPr>
            <w:rFonts w:eastAsiaTheme="majorEastAsia" w:cs="Times New Roman"/>
            <w:b/>
            <w:bCs/>
            <w:szCs w:val="24"/>
          </w:rPr>
          <w:t>Brown RS</w:t>
        </w:r>
      </w:hyperlink>
      <w:r w:rsidR="006F53C9" w:rsidRPr="000A425E">
        <w:rPr>
          <w:rFonts w:eastAsiaTheme="majorEastAsia" w:cs="Times New Roman"/>
          <w:b/>
          <w:bCs/>
          <w:szCs w:val="24"/>
        </w:rPr>
        <w:t>, </w:t>
      </w:r>
      <w:hyperlink r:id="rId202" w:history="1">
        <w:r w:rsidR="006F53C9" w:rsidRPr="000A425E">
          <w:rPr>
            <w:rFonts w:eastAsiaTheme="majorEastAsia" w:cs="Times New Roman"/>
            <w:b/>
            <w:bCs/>
            <w:szCs w:val="24"/>
          </w:rPr>
          <w:t>Wahl RL</w:t>
        </w:r>
      </w:hyperlink>
      <w:r w:rsidR="006F53C9" w:rsidRPr="000A425E">
        <w:rPr>
          <w:rFonts w:eastAsiaTheme="majorEastAsia" w:cs="Times New Roman"/>
          <w:b/>
          <w:bCs/>
          <w:szCs w:val="24"/>
        </w:rPr>
        <w:t xml:space="preserve">. </w:t>
      </w:r>
      <w:r w:rsidR="006F53C9" w:rsidRPr="000A425E">
        <w:rPr>
          <w:rFonts w:eastAsia="Calibri" w:cs="Times New Roman"/>
          <w:szCs w:val="24"/>
        </w:rPr>
        <w:t xml:space="preserve">Overexpression of Glut-1 glucose transporter in human breast cancer. An immunohistochemical study. </w:t>
      </w:r>
      <w:r w:rsidR="006F53C9" w:rsidRPr="000A425E">
        <w:rPr>
          <w:rFonts w:eastAsia="Calibri" w:cs="Times New Roman"/>
          <w:i/>
          <w:szCs w:val="24"/>
        </w:rPr>
        <w:t xml:space="preserve">Cancer </w:t>
      </w:r>
      <w:r w:rsidR="006F53C9" w:rsidRPr="000A425E">
        <w:rPr>
          <w:rFonts w:eastAsia="Calibri" w:cs="Times New Roman"/>
          <w:szCs w:val="24"/>
        </w:rPr>
        <w:t>1993, 72 (10), 2979-2985.</w:t>
      </w:r>
    </w:p>
    <w:p w:rsidR="006F53C9" w:rsidRDefault="006F53C9" w:rsidP="006F53C9">
      <w:pPr>
        <w:spacing w:before="120" w:after="240"/>
        <w:ind w:firstLine="0"/>
        <w:rPr>
          <w:rFonts w:eastAsia="Calibri" w:cs="Times New Roman"/>
          <w:szCs w:val="24"/>
        </w:rPr>
      </w:pPr>
      <w:r w:rsidRPr="000A425E">
        <w:rPr>
          <w:rFonts w:eastAsia="Calibri" w:cs="Times New Roman"/>
          <w:b/>
          <w:szCs w:val="24"/>
        </w:rPr>
        <w:t>Cairns RA, Harris I, McCracken S, Mak TW.</w:t>
      </w:r>
      <w:r w:rsidRPr="000A425E">
        <w:rPr>
          <w:rFonts w:ascii="Calibri" w:eastAsia="Calibri" w:hAnsi="Calibri" w:cs="Times New Roman"/>
          <w:b/>
          <w:sz w:val="22"/>
        </w:rPr>
        <w:t xml:space="preserve"> </w:t>
      </w:r>
      <w:r w:rsidRPr="000A425E">
        <w:rPr>
          <w:rFonts w:eastAsia="Calibri" w:cs="Times New Roman"/>
          <w:szCs w:val="24"/>
        </w:rPr>
        <w:t>Cancer Cell Metabolism</w:t>
      </w:r>
      <w:r w:rsidRPr="000A425E">
        <w:rPr>
          <w:rFonts w:eastAsia="Calibri" w:cs="Times New Roman"/>
          <w:i/>
          <w:szCs w:val="24"/>
        </w:rPr>
        <w:t>. Cold Spring Harbor Symposia on Quantitative Biology</w:t>
      </w:r>
      <w:r w:rsidRPr="000A425E">
        <w:rPr>
          <w:rFonts w:eastAsia="Calibri" w:cs="Times New Roman"/>
          <w:szCs w:val="24"/>
        </w:rPr>
        <w:t xml:space="preserve"> 2011, 76, 299-311.</w:t>
      </w:r>
    </w:p>
    <w:p w:rsidR="006F53C9" w:rsidRDefault="0037177D" w:rsidP="006F53C9">
      <w:pPr>
        <w:spacing w:before="120" w:after="240"/>
        <w:ind w:firstLine="0"/>
        <w:rPr>
          <w:rFonts w:eastAsia="Calibri" w:cs="Times New Roman"/>
          <w:szCs w:val="24"/>
        </w:rPr>
      </w:pPr>
      <w:hyperlink r:id="rId203" w:history="1">
        <w:r w:rsidR="006F53C9" w:rsidRPr="000A425E">
          <w:rPr>
            <w:rFonts w:eastAsia="Calibri" w:cs="Times New Roman"/>
            <w:b/>
            <w:szCs w:val="24"/>
          </w:rPr>
          <w:t>Caltrider NC</w:t>
        </w:r>
      </w:hyperlink>
      <w:r w:rsidR="006F53C9" w:rsidRPr="000A425E">
        <w:rPr>
          <w:rFonts w:eastAsia="Calibri" w:cs="Times New Roman"/>
          <w:b/>
          <w:szCs w:val="24"/>
        </w:rPr>
        <w:t>, </w:t>
      </w:r>
      <w:hyperlink r:id="rId204" w:history="1">
        <w:r w:rsidR="006F53C9" w:rsidRPr="000A425E">
          <w:rPr>
            <w:rFonts w:eastAsia="Calibri" w:cs="Times New Roman"/>
            <w:b/>
            <w:szCs w:val="24"/>
          </w:rPr>
          <w:t>Lehman JM</w:t>
        </w:r>
      </w:hyperlink>
      <w:r w:rsidR="006F53C9" w:rsidRPr="000A425E">
        <w:rPr>
          <w:rFonts w:eastAsia="Calibri" w:cs="Times New Roman"/>
          <w:b/>
          <w:szCs w:val="24"/>
        </w:rPr>
        <w:t>.</w:t>
      </w:r>
      <w:r w:rsidR="006F53C9" w:rsidRPr="000A425E">
        <w:rPr>
          <w:rFonts w:eastAsiaTheme="majorEastAsia" w:cstheme="majorBidi"/>
          <w:bCs/>
          <w:color w:val="365F91" w:themeColor="accent1" w:themeShade="BF"/>
          <w:szCs w:val="24"/>
        </w:rPr>
        <w:t xml:space="preserve"> </w:t>
      </w:r>
      <w:r w:rsidR="006F53C9" w:rsidRPr="000A425E">
        <w:rPr>
          <w:rFonts w:eastAsia="Calibri" w:cs="Times New Roman"/>
          <w:szCs w:val="24"/>
        </w:rPr>
        <w:t xml:space="preserve">Changes in lactate dehydrogenase enzyme pattern in Chinese hamster cells infected and transformed with Simian virus 40. </w:t>
      </w:r>
      <w:r w:rsidR="006F53C9" w:rsidRPr="000A425E">
        <w:rPr>
          <w:rFonts w:eastAsia="Calibri" w:cs="Times New Roman"/>
          <w:i/>
          <w:szCs w:val="24"/>
        </w:rPr>
        <w:t>Cancer Research</w:t>
      </w:r>
      <w:r w:rsidR="006F53C9" w:rsidRPr="000A425E">
        <w:rPr>
          <w:rFonts w:eastAsia="Calibri" w:cs="Times New Roman"/>
          <w:szCs w:val="24"/>
        </w:rPr>
        <w:t xml:space="preserve"> 1975, 35(8), 1944-1949.</w:t>
      </w:r>
    </w:p>
    <w:p w:rsidR="006F53C9" w:rsidRDefault="0037177D" w:rsidP="006F53C9">
      <w:pPr>
        <w:spacing w:before="120" w:after="240"/>
        <w:ind w:firstLine="0"/>
        <w:rPr>
          <w:rFonts w:ascii="Arial" w:eastAsiaTheme="majorEastAsia" w:hAnsi="Arial" w:cs="Arial"/>
          <w:b/>
          <w:bCs/>
          <w:color w:val="000000"/>
          <w:sz w:val="17"/>
          <w:szCs w:val="17"/>
          <w:shd w:val="clear" w:color="auto" w:fill="FFFFFF"/>
        </w:rPr>
      </w:pPr>
      <w:hyperlink r:id="rId205" w:history="1">
        <w:r w:rsidR="006F53C9" w:rsidRPr="006F53C9">
          <w:rPr>
            <w:rFonts w:eastAsiaTheme="majorEastAsia" w:cs="Times New Roman"/>
            <w:b/>
            <w:bCs/>
            <w:szCs w:val="24"/>
          </w:rPr>
          <w:t>Cardim Pires TR</w:t>
        </w:r>
      </w:hyperlink>
      <w:r w:rsidR="006F53C9" w:rsidRPr="006F53C9">
        <w:rPr>
          <w:rFonts w:eastAsiaTheme="majorEastAsia" w:cs="Times New Roman"/>
          <w:b/>
          <w:bCs/>
          <w:szCs w:val="24"/>
        </w:rPr>
        <w:t>, </w:t>
      </w:r>
      <w:hyperlink r:id="rId206" w:history="1">
        <w:r w:rsidR="006F53C9" w:rsidRPr="006F53C9">
          <w:rPr>
            <w:rFonts w:eastAsiaTheme="majorEastAsia" w:cs="Times New Roman"/>
            <w:b/>
            <w:bCs/>
            <w:szCs w:val="24"/>
          </w:rPr>
          <w:t>Albanese JM</w:t>
        </w:r>
      </w:hyperlink>
      <w:r w:rsidR="006F53C9" w:rsidRPr="006F53C9">
        <w:rPr>
          <w:rFonts w:eastAsiaTheme="majorEastAsia" w:cs="Times New Roman"/>
          <w:b/>
          <w:bCs/>
          <w:szCs w:val="24"/>
        </w:rPr>
        <w:t>, </w:t>
      </w:r>
      <w:hyperlink r:id="rId207" w:history="1">
        <w:r w:rsidR="006F53C9" w:rsidRPr="006F53C9">
          <w:rPr>
            <w:rFonts w:eastAsiaTheme="majorEastAsia" w:cs="Times New Roman"/>
            <w:b/>
            <w:bCs/>
            <w:szCs w:val="24"/>
          </w:rPr>
          <w:t>Schwab M</w:t>
        </w:r>
      </w:hyperlink>
      <w:r w:rsidR="006F53C9" w:rsidRPr="006F53C9">
        <w:rPr>
          <w:rFonts w:eastAsiaTheme="majorEastAsia" w:cs="Times New Roman"/>
          <w:b/>
          <w:bCs/>
          <w:szCs w:val="24"/>
        </w:rPr>
        <w:t>, </w:t>
      </w:r>
      <w:hyperlink r:id="rId208" w:history="1">
        <w:r w:rsidR="006F53C9" w:rsidRPr="006F53C9">
          <w:rPr>
            <w:rFonts w:eastAsiaTheme="majorEastAsia" w:cs="Times New Roman"/>
            <w:b/>
            <w:bCs/>
            <w:szCs w:val="24"/>
          </w:rPr>
          <w:t>Marette A</w:t>
        </w:r>
      </w:hyperlink>
      <w:r w:rsidR="006F53C9" w:rsidRPr="006F53C9">
        <w:rPr>
          <w:rFonts w:eastAsiaTheme="majorEastAsia" w:cs="Times New Roman"/>
          <w:b/>
          <w:bCs/>
          <w:szCs w:val="24"/>
        </w:rPr>
        <w:t>, </w:t>
      </w:r>
      <w:hyperlink r:id="rId209" w:history="1">
        <w:r w:rsidR="006F53C9" w:rsidRPr="006F53C9">
          <w:rPr>
            <w:rFonts w:eastAsiaTheme="majorEastAsia" w:cs="Times New Roman"/>
            <w:b/>
            <w:bCs/>
            <w:szCs w:val="24"/>
          </w:rPr>
          <w:t>Carvalho RS</w:t>
        </w:r>
      </w:hyperlink>
      <w:r w:rsidR="006F53C9" w:rsidRPr="006F53C9">
        <w:rPr>
          <w:rFonts w:eastAsiaTheme="majorEastAsia" w:cs="Times New Roman"/>
          <w:b/>
          <w:bCs/>
          <w:szCs w:val="24"/>
        </w:rPr>
        <w:t>, </w:t>
      </w:r>
      <w:hyperlink r:id="rId210" w:history="1">
        <w:r w:rsidR="006F53C9" w:rsidRPr="006F53C9">
          <w:rPr>
            <w:rFonts w:eastAsiaTheme="majorEastAsia" w:cs="Times New Roman"/>
            <w:b/>
            <w:bCs/>
            <w:szCs w:val="24"/>
          </w:rPr>
          <w:t>Sola-Penna M</w:t>
        </w:r>
      </w:hyperlink>
      <w:r w:rsidR="006F53C9" w:rsidRPr="006F53C9">
        <w:rPr>
          <w:rFonts w:eastAsiaTheme="majorEastAsia" w:cs="Times New Roman"/>
          <w:b/>
          <w:bCs/>
          <w:szCs w:val="24"/>
        </w:rPr>
        <w:t>, </w:t>
      </w:r>
      <w:hyperlink r:id="rId211" w:history="1">
        <w:r w:rsidR="006F53C9" w:rsidRPr="006F53C9">
          <w:rPr>
            <w:rFonts w:eastAsiaTheme="majorEastAsia" w:cs="Times New Roman"/>
            <w:b/>
            <w:bCs/>
            <w:szCs w:val="24"/>
          </w:rPr>
          <w:t>Zancan P</w:t>
        </w:r>
      </w:hyperlink>
      <w:r w:rsidR="006F53C9" w:rsidRPr="006F53C9">
        <w:rPr>
          <w:rFonts w:eastAsiaTheme="majorEastAsia" w:cs="Times New Roman"/>
          <w:b/>
          <w:bCs/>
          <w:szCs w:val="24"/>
        </w:rPr>
        <w:t>.</w:t>
      </w:r>
      <w:r w:rsidR="006F53C9" w:rsidRPr="006F53C9">
        <w:rPr>
          <w:rFonts w:eastAsia="Calibri" w:cs="Times New Roman"/>
          <w:szCs w:val="24"/>
        </w:rPr>
        <w:t xml:space="preserve"> Phosphofructokinase-P Modulates P44/42 MAPK Levels in HeLa Cells. </w:t>
      </w:r>
      <w:r w:rsidR="006F53C9" w:rsidRPr="006F53C9">
        <w:rPr>
          <w:rFonts w:eastAsia="Calibri" w:cs="Times New Roman"/>
          <w:i/>
          <w:szCs w:val="24"/>
        </w:rPr>
        <w:t>Journal of Cellular Biochemistry</w:t>
      </w:r>
      <w:r w:rsidR="006F53C9" w:rsidRPr="006F53C9">
        <w:rPr>
          <w:rFonts w:eastAsia="Calibri" w:cs="Times New Roman"/>
          <w:szCs w:val="24"/>
        </w:rPr>
        <w:t xml:space="preserve"> 2017, 118(5), 1216-1226.</w:t>
      </w:r>
      <w:r w:rsidR="006F53C9" w:rsidRPr="006F53C9">
        <w:rPr>
          <w:rFonts w:ascii="Arial" w:eastAsiaTheme="majorEastAsia" w:hAnsi="Arial" w:cs="Arial"/>
          <w:b/>
          <w:bCs/>
          <w:color w:val="000000"/>
          <w:sz w:val="17"/>
          <w:szCs w:val="17"/>
          <w:shd w:val="clear" w:color="auto" w:fill="FFFFFF"/>
        </w:rPr>
        <w:t xml:space="preserve"> </w:t>
      </w:r>
    </w:p>
    <w:p w:rsidR="006F53C9" w:rsidRDefault="006F53C9" w:rsidP="006F53C9">
      <w:pPr>
        <w:spacing w:before="120" w:after="240"/>
        <w:ind w:firstLine="0"/>
        <w:rPr>
          <w:rFonts w:eastAsia="Calibri" w:cs="Times New Roman"/>
          <w:szCs w:val="24"/>
        </w:rPr>
      </w:pPr>
      <w:r w:rsidRPr="000A425E">
        <w:rPr>
          <w:rFonts w:eastAsiaTheme="majorEastAsia" w:cs="Times New Roman"/>
          <w:b/>
          <w:bCs/>
          <w:szCs w:val="24"/>
        </w:rPr>
        <w:t>Cerella C, Dicato M, Diederich M.</w:t>
      </w:r>
      <w:r w:rsidRPr="000A425E">
        <w:rPr>
          <w:rFonts w:eastAsia="Calibri" w:cs="Times New Roman"/>
          <w:szCs w:val="24"/>
        </w:rPr>
        <w:t xml:space="preserve"> Modulatory roles of glycolytic enzymes in cell death. </w:t>
      </w:r>
      <w:r w:rsidRPr="000A425E">
        <w:rPr>
          <w:rFonts w:eastAsia="Calibri" w:cs="Times New Roman"/>
          <w:i/>
          <w:szCs w:val="24"/>
        </w:rPr>
        <w:t>Biochemical Pharmacology</w:t>
      </w:r>
      <w:r w:rsidRPr="000A425E">
        <w:rPr>
          <w:rFonts w:eastAsia="Calibri" w:cs="Times New Roman"/>
          <w:szCs w:val="24"/>
        </w:rPr>
        <w:t xml:space="preserve"> 2014, 92 (1), 22-30. </w:t>
      </w:r>
    </w:p>
    <w:p w:rsidR="006F53C9" w:rsidRPr="000A425E" w:rsidRDefault="006F53C9" w:rsidP="006F53C9">
      <w:pPr>
        <w:spacing w:before="120" w:after="240"/>
        <w:ind w:firstLine="0"/>
        <w:rPr>
          <w:rFonts w:eastAsia="Calibri" w:cs="Times New Roman"/>
          <w:szCs w:val="24"/>
        </w:rPr>
      </w:pPr>
      <w:r w:rsidRPr="000A425E">
        <w:rPr>
          <w:rFonts w:eastAsia="Calibri" w:cs="Times New Roman"/>
          <w:b/>
          <w:szCs w:val="24"/>
        </w:rPr>
        <w:lastRenderedPageBreak/>
        <w:t>Chaneton B, Hillmann P, Zheng L, Martin A.C.L, Maddocks O.D.K, Chokkathykalam A, Coyle JE, Jankevics A, Holding FP, Vousden KH, Frezza C, O’Reilly Marc, Gottlieb E.</w:t>
      </w:r>
      <w:r w:rsidRPr="000A425E">
        <w:rPr>
          <w:rFonts w:asciiTheme="majorHAnsi" w:eastAsiaTheme="majorEastAsia" w:hAnsiTheme="majorHAnsi" w:cstheme="majorBidi"/>
          <w:b/>
          <w:bCs/>
          <w:color w:val="365F91" w:themeColor="accent1" w:themeShade="BF"/>
          <w:sz w:val="28"/>
          <w:szCs w:val="28"/>
        </w:rPr>
        <w:t xml:space="preserve"> </w:t>
      </w:r>
      <w:r w:rsidRPr="000A425E">
        <w:rPr>
          <w:rFonts w:eastAsia="Calibri" w:cs="Times New Roman"/>
          <w:szCs w:val="24"/>
        </w:rPr>
        <w:t xml:space="preserve">Serine is a natural ligand and allosteric activator of pyruvate kinase M2. </w:t>
      </w:r>
      <w:r w:rsidRPr="000A425E">
        <w:rPr>
          <w:rFonts w:eastAsia="Calibri" w:cs="Times New Roman"/>
          <w:i/>
          <w:szCs w:val="24"/>
        </w:rPr>
        <w:t>Nature</w:t>
      </w:r>
      <w:r w:rsidRPr="000A425E">
        <w:rPr>
          <w:rFonts w:eastAsia="Calibri" w:cs="Times New Roman"/>
          <w:szCs w:val="24"/>
        </w:rPr>
        <w:t xml:space="preserve"> 2012, 491,458-462. </w:t>
      </w:r>
    </w:p>
    <w:p w:rsidR="006F53C9" w:rsidRPr="000A425E" w:rsidRDefault="0037177D" w:rsidP="006F53C9">
      <w:pPr>
        <w:keepNext/>
        <w:keepLines/>
        <w:shd w:val="clear" w:color="auto" w:fill="FFFFFF"/>
        <w:spacing w:before="120" w:after="240"/>
        <w:ind w:firstLine="0"/>
        <w:outlineLvl w:val="0"/>
        <w:rPr>
          <w:rFonts w:eastAsia="Calibri" w:cs="Times New Roman"/>
          <w:szCs w:val="24"/>
        </w:rPr>
      </w:pPr>
      <w:hyperlink r:id="rId212" w:history="1">
        <w:r w:rsidR="006F53C9" w:rsidRPr="000A425E">
          <w:rPr>
            <w:rFonts w:eastAsiaTheme="majorEastAsia" w:cs="Times New Roman"/>
            <w:b/>
            <w:szCs w:val="24"/>
          </w:rPr>
          <w:t>Chaneton B</w:t>
        </w:r>
      </w:hyperlink>
      <w:r w:rsidR="006F53C9" w:rsidRPr="000A425E">
        <w:rPr>
          <w:rFonts w:eastAsiaTheme="majorEastAsia" w:cs="Times New Roman"/>
          <w:b/>
          <w:szCs w:val="24"/>
        </w:rPr>
        <w:t>, </w:t>
      </w:r>
      <w:hyperlink r:id="rId213" w:history="1">
        <w:r w:rsidR="006F53C9" w:rsidRPr="000A425E">
          <w:rPr>
            <w:rFonts w:eastAsiaTheme="majorEastAsia" w:cs="Times New Roman"/>
            <w:b/>
            <w:szCs w:val="24"/>
          </w:rPr>
          <w:t>Gottlieb E</w:t>
        </w:r>
      </w:hyperlink>
      <w:r w:rsidR="006F53C9" w:rsidRPr="000A425E">
        <w:rPr>
          <w:rFonts w:eastAsiaTheme="majorEastAsia" w:cs="Times New Roman"/>
          <w:b/>
          <w:szCs w:val="24"/>
        </w:rPr>
        <w:t>.</w:t>
      </w:r>
      <w:r w:rsidR="006F53C9" w:rsidRPr="000A425E">
        <w:rPr>
          <w:rFonts w:eastAsia="Calibri" w:cs="Times New Roman"/>
          <w:szCs w:val="24"/>
        </w:rPr>
        <w:t xml:space="preserve"> Rocking cell metabolism: revised functions of the key glycolytic regulator PKM2 in cancer. </w:t>
      </w:r>
      <w:r w:rsidR="006F53C9" w:rsidRPr="000A425E">
        <w:rPr>
          <w:rFonts w:eastAsia="Calibri" w:cs="Times New Roman"/>
          <w:i/>
          <w:szCs w:val="24"/>
        </w:rPr>
        <w:t>Trends in Biochemical Sciencies</w:t>
      </w:r>
      <w:r w:rsidR="006F53C9" w:rsidRPr="000A425E">
        <w:rPr>
          <w:rFonts w:eastAsia="Calibri" w:cs="Times New Roman"/>
          <w:szCs w:val="24"/>
        </w:rPr>
        <w:t xml:space="preserve"> 2012, 37(8), 309-316.</w:t>
      </w:r>
    </w:p>
    <w:p w:rsidR="006F53C9" w:rsidRPr="000A425E" w:rsidRDefault="006F53C9" w:rsidP="006F53C9">
      <w:pPr>
        <w:keepNext/>
        <w:keepLines/>
        <w:spacing w:before="120" w:after="240"/>
        <w:ind w:firstLine="0"/>
        <w:outlineLvl w:val="0"/>
        <w:rPr>
          <w:rFonts w:eastAsia="Calibri" w:cs="Times New Roman"/>
          <w:szCs w:val="24"/>
        </w:rPr>
      </w:pPr>
      <w:r w:rsidRPr="000A425E">
        <w:rPr>
          <w:rFonts w:eastAsia="Calibri" w:cs="Times New Roman"/>
          <w:b/>
          <w:szCs w:val="24"/>
        </w:rPr>
        <w:t>Chen JQ, Russo J.</w:t>
      </w:r>
      <w:r w:rsidRPr="000A425E">
        <w:rPr>
          <w:rFonts w:eastAsiaTheme="majorEastAsia" w:cstheme="majorBidi"/>
          <w:b/>
          <w:bCs/>
          <w:color w:val="365F91" w:themeColor="accent1" w:themeShade="BF"/>
          <w:szCs w:val="24"/>
        </w:rPr>
        <w:t xml:space="preserve"> </w:t>
      </w:r>
      <w:r w:rsidRPr="000A425E">
        <w:rPr>
          <w:rFonts w:eastAsia="Calibri" w:cs="Times New Roman"/>
          <w:szCs w:val="24"/>
        </w:rPr>
        <w:t xml:space="preserve">Dysregulation of glucose transport, glycolysis, TCA cycle and glutaminolysis by oncogenes and tumor suppressors in cancer cells. </w:t>
      </w:r>
      <w:r w:rsidRPr="000A425E">
        <w:rPr>
          <w:rFonts w:eastAsia="Calibri" w:cs="Times New Roman"/>
          <w:i/>
          <w:szCs w:val="24"/>
        </w:rPr>
        <w:t>Biochimica et Biophysica Acta</w:t>
      </w:r>
      <w:r w:rsidRPr="000A425E">
        <w:rPr>
          <w:rFonts w:eastAsia="Calibri" w:cs="Times New Roman"/>
          <w:szCs w:val="24"/>
        </w:rPr>
        <w:t xml:space="preserve"> 2012, 1826, 370-384. </w:t>
      </w:r>
    </w:p>
    <w:p w:rsidR="006F53C9" w:rsidRPr="006F53C9" w:rsidRDefault="0037177D" w:rsidP="006F53C9">
      <w:pPr>
        <w:autoSpaceDE w:val="0"/>
        <w:autoSpaceDN w:val="0"/>
        <w:adjustRightInd w:val="0"/>
        <w:spacing w:before="120" w:after="240"/>
        <w:ind w:firstLine="0"/>
        <w:rPr>
          <w:szCs w:val="24"/>
        </w:rPr>
      </w:pPr>
      <w:hyperlink r:id="rId214" w:history="1">
        <w:r w:rsidR="006F53C9" w:rsidRPr="006F53C9">
          <w:rPr>
            <w:rFonts w:eastAsiaTheme="majorEastAsia"/>
            <w:b/>
            <w:bCs/>
            <w:szCs w:val="24"/>
          </w:rPr>
          <w:t>Cheng L</w:t>
        </w:r>
      </w:hyperlink>
      <w:r w:rsidR="006F53C9" w:rsidRPr="006F53C9">
        <w:rPr>
          <w:rFonts w:eastAsiaTheme="majorEastAsia"/>
          <w:b/>
          <w:bCs/>
          <w:szCs w:val="24"/>
        </w:rPr>
        <w:t>, </w:t>
      </w:r>
      <w:hyperlink r:id="rId215" w:history="1">
        <w:r w:rsidR="006F53C9" w:rsidRPr="006F53C9">
          <w:rPr>
            <w:rFonts w:eastAsiaTheme="majorEastAsia"/>
            <w:b/>
            <w:bCs/>
            <w:szCs w:val="24"/>
          </w:rPr>
          <w:t>Qin T</w:t>
        </w:r>
      </w:hyperlink>
      <w:r w:rsidR="006F53C9" w:rsidRPr="006F53C9">
        <w:rPr>
          <w:rFonts w:eastAsiaTheme="majorEastAsia"/>
          <w:b/>
          <w:bCs/>
          <w:szCs w:val="24"/>
        </w:rPr>
        <w:t>, </w:t>
      </w:r>
      <w:hyperlink r:id="rId216" w:history="1">
        <w:r w:rsidR="006F53C9" w:rsidRPr="006F53C9">
          <w:rPr>
            <w:rFonts w:eastAsiaTheme="majorEastAsia"/>
            <w:b/>
            <w:bCs/>
            <w:szCs w:val="24"/>
          </w:rPr>
          <w:t>Ma J</w:t>
        </w:r>
      </w:hyperlink>
      <w:r w:rsidR="006F53C9" w:rsidRPr="006F53C9">
        <w:rPr>
          <w:rFonts w:eastAsiaTheme="majorEastAsia"/>
          <w:b/>
          <w:bCs/>
          <w:szCs w:val="24"/>
        </w:rPr>
        <w:t>, </w:t>
      </w:r>
      <w:hyperlink r:id="rId217" w:history="1">
        <w:r w:rsidR="006F53C9" w:rsidRPr="006F53C9">
          <w:rPr>
            <w:rFonts w:eastAsiaTheme="majorEastAsia"/>
            <w:b/>
            <w:bCs/>
            <w:szCs w:val="24"/>
          </w:rPr>
          <w:t>Duan W</w:t>
        </w:r>
      </w:hyperlink>
      <w:r w:rsidR="006F53C9" w:rsidRPr="006F53C9">
        <w:rPr>
          <w:rFonts w:eastAsiaTheme="majorEastAsia"/>
          <w:b/>
          <w:bCs/>
          <w:szCs w:val="24"/>
        </w:rPr>
        <w:t>, </w:t>
      </w:r>
      <w:hyperlink r:id="rId218" w:history="1">
        <w:r w:rsidR="006F53C9" w:rsidRPr="006F53C9">
          <w:rPr>
            <w:rFonts w:eastAsiaTheme="majorEastAsia"/>
            <w:b/>
            <w:bCs/>
            <w:szCs w:val="24"/>
          </w:rPr>
          <w:t>Xu Q</w:t>
        </w:r>
      </w:hyperlink>
      <w:r w:rsidR="006F53C9" w:rsidRPr="006F53C9">
        <w:rPr>
          <w:rFonts w:eastAsiaTheme="majorEastAsia"/>
          <w:b/>
          <w:bCs/>
          <w:szCs w:val="24"/>
        </w:rPr>
        <w:t>, </w:t>
      </w:r>
      <w:hyperlink r:id="rId219" w:history="1">
        <w:r w:rsidR="006F53C9" w:rsidRPr="006F53C9">
          <w:rPr>
            <w:rFonts w:eastAsiaTheme="majorEastAsia"/>
            <w:b/>
            <w:bCs/>
            <w:szCs w:val="24"/>
          </w:rPr>
          <w:t>Li X</w:t>
        </w:r>
      </w:hyperlink>
      <w:r w:rsidR="006F53C9" w:rsidRPr="006F53C9">
        <w:rPr>
          <w:rFonts w:eastAsiaTheme="majorEastAsia"/>
          <w:b/>
          <w:bCs/>
          <w:szCs w:val="24"/>
        </w:rPr>
        <w:t>, </w:t>
      </w:r>
      <w:hyperlink r:id="rId220" w:history="1">
        <w:r w:rsidR="006F53C9" w:rsidRPr="006F53C9">
          <w:rPr>
            <w:rFonts w:eastAsiaTheme="majorEastAsia"/>
            <w:b/>
            <w:bCs/>
            <w:szCs w:val="24"/>
          </w:rPr>
          <w:t>Han L</w:t>
        </w:r>
      </w:hyperlink>
      <w:r w:rsidR="006F53C9" w:rsidRPr="006F53C9">
        <w:rPr>
          <w:rFonts w:eastAsiaTheme="majorEastAsia"/>
          <w:b/>
          <w:bCs/>
          <w:szCs w:val="24"/>
        </w:rPr>
        <w:t>, </w:t>
      </w:r>
      <w:hyperlink r:id="rId221" w:history="1">
        <w:r w:rsidR="006F53C9" w:rsidRPr="006F53C9">
          <w:rPr>
            <w:rFonts w:eastAsiaTheme="majorEastAsia"/>
            <w:b/>
            <w:bCs/>
            <w:szCs w:val="24"/>
          </w:rPr>
          <w:t>Li W</w:t>
        </w:r>
      </w:hyperlink>
      <w:r w:rsidR="006F53C9" w:rsidRPr="006F53C9">
        <w:rPr>
          <w:rFonts w:eastAsiaTheme="majorEastAsia"/>
          <w:b/>
          <w:bCs/>
          <w:szCs w:val="24"/>
        </w:rPr>
        <w:t>, </w:t>
      </w:r>
      <w:hyperlink r:id="rId222" w:history="1">
        <w:r w:rsidR="006F53C9" w:rsidRPr="006F53C9">
          <w:rPr>
            <w:rFonts w:eastAsiaTheme="majorEastAsia"/>
            <w:b/>
            <w:bCs/>
            <w:szCs w:val="24"/>
          </w:rPr>
          <w:t>Wang Z</w:t>
        </w:r>
      </w:hyperlink>
      <w:r w:rsidR="006F53C9" w:rsidRPr="006F53C9">
        <w:rPr>
          <w:rFonts w:eastAsiaTheme="majorEastAsia"/>
          <w:b/>
          <w:bCs/>
          <w:szCs w:val="24"/>
        </w:rPr>
        <w:t>, </w:t>
      </w:r>
      <w:hyperlink r:id="rId223" w:history="1">
        <w:r w:rsidR="006F53C9" w:rsidRPr="006F53C9">
          <w:rPr>
            <w:rFonts w:eastAsiaTheme="majorEastAsia"/>
            <w:b/>
            <w:bCs/>
            <w:szCs w:val="24"/>
          </w:rPr>
          <w:t>Zhang D</w:t>
        </w:r>
      </w:hyperlink>
      <w:r w:rsidR="006F53C9" w:rsidRPr="006F53C9">
        <w:rPr>
          <w:rFonts w:eastAsiaTheme="majorEastAsia"/>
          <w:b/>
          <w:bCs/>
          <w:szCs w:val="24"/>
        </w:rPr>
        <w:t>, </w:t>
      </w:r>
      <w:hyperlink r:id="rId224" w:history="1">
        <w:r w:rsidR="006F53C9" w:rsidRPr="006F53C9">
          <w:rPr>
            <w:rFonts w:eastAsiaTheme="majorEastAsia"/>
            <w:b/>
            <w:bCs/>
            <w:szCs w:val="24"/>
          </w:rPr>
          <w:t>Ma Q</w:t>
        </w:r>
      </w:hyperlink>
      <w:r w:rsidR="006F53C9" w:rsidRPr="006F53C9">
        <w:rPr>
          <w:rFonts w:eastAsiaTheme="majorEastAsia"/>
          <w:b/>
          <w:bCs/>
          <w:szCs w:val="24"/>
        </w:rPr>
        <w:t>, </w:t>
      </w:r>
      <w:hyperlink r:id="rId225" w:history="1">
        <w:r w:rsidR="006F53C9" w:rsidRPr="006F53C9">
          <w:rPr>
            <w:rFonts w:eastAsiaTheme="majorEastAsia"/>
            <w:b/>
            <w:bCs/>
            <w:szCs w:val="24"/>
          </w:rPr>
          <w:t>Lei J</w:t>
        </w:r>
      </w:hyperlink>
      <w:r w:rsidR="006F53C9" w:rsidRPr="006F53C9">
        <w:rPr>
          <w:rFonts w:eastAsiaTheme="majorEastAsia"/>
          <w:b/>
          <w:bCs/>
          <w:szCs w:val="24"/>
        </w:rPr>
        <w:t xml:space="preserve">. </w:t>
      </w:r>
      <w:r w:rsidR="006F53C9" w:rsidRPr="006F53C9">
        <w:rPr>
          <w:szCs w:val="24"/>
        </w:rPr>
        <w:t xml:space="preserve">Hypoxia-inducible Factor-1α Mediates Hyperglycemia-induced Pancreatic Cancer Glycolysis. </w:t>
      </w:r>
      <w:r w:rsidR="006F53C9" w:rsidRPr="006F53C9">
        <w:rPr>
          <w:i/>
          <w:szCs w:val="24"/>
        </w:rPr>
        <w:t>Anti-cancer Agents in Medicinal Chemistry</w:t>
      </w:r>
      <w:r w:rsidR="006F53C9" w:rsidRPr="006F53C9">
        <w:rPr>
          <w:szCs w:val="24"/>
        </w:rPr>
        <w:t xml:space="preserve"> 2019, 19(12), 1503-1512.</w:t>
      </w:r>
    </w:p>
    <w:p w:rsidR="006F53C9" w:rsidRPr="006F53C9" w:rsidRDefault="006F53C9" w:rsidP="006F53C9">
      <w:pPr>
        <w:autoSpaceDE w:val="0"/>
        <w:autoSpaceDN w:val="0"/>
        <w:adjustRightInd w:val="0"/>
        <w:spacing w:before="120" w:after="240"/>
        <w:ind w:firstLine="0"/>
        <w:rPr>
          <w:rFonts w:eastAsia="Calibri" w:cs="Times New Roman"/>
          <w:szCs w:val="24"/>
        </w:rPr>
      </w:pPr>
      <w:r w:rsidRPr="006F53C9">
        <w:rPr>
          <w:rFonts w:eastAsia="Calibri" w:cs="Times New Roman"/>
          <w:b/>
          <w:szCs w:val="24"/>
        </w:rPr>
        <w:t>Christensen DR, Calder PC, Houghton FD.</w:t>
      </w:r>
      <w:r w:rsidRPr="006F53C9">
        <w:rPr>
          <w:rFonts w:eastAsia="Calibri" w:cs="Times New Roman"/>
          <w:szCs w:val="24"/>
        </w:rPr>
        <w:t xml:space="preserve"> GLUT3 and PKM2 regulate OCT4 expression and support the hypoxic culture of human embryonic stem cells. </w:t>
      </w:r>
      <w:r w:rsidRPr="006F53C9">
        <w:rPr>
          <w:rFonts w:eastAsia="Calibri" w:cs="Times New Roman"/>
          <w:i/>
          <w:szCs w:val="24"/>
        </w:rPr>
        <w:t>Scientific Reports</w:t>
      </w:r>
      <w:r w:rsidRPr="006F53C9">
        <w:rPr>
          <w:rFonts w:eastAsia="Calibri" w:cs="Times New Roman"/>
          <w:szCs w:val="24"/>
        </w:rPr>
        <w:t xml:space="preserve"> 2015, 5, 17500. </w:t>
      </w:r>
    </w:p>
    <w:p w:rsidR="006F53C9" w:rsidRPr="00446892" w:rsidRDefault="006F53C9" w:rsidP="006F53C9">
      <w:pPr>
        <w:spacing w:before="120" w:after="240"/>
        <w:ind w:firstLine="0"/>
        <w:rPr>
          <w:rFonts w:eastAsia="Calibri" w:cs="Times New Roman"/>
          <w:szCs w:val="24"/>
        </w:rPr>
      </w:pPr>
      <w:r w:rsidRPr="000A425E">
        <w:rPr>
          <w:rFonts w:eastAsia="Calibri" w:cs="Times New Roman"/>
          <w:b/>
          <w:bCs/>
          <w:szCs w:val="24"/>
        </w:rPr>
        <w:t>Christofk HR, Vander Heiden MG, Wu N, Asara JM, Centley LC</w:t>
      </w:r>
      <w:r w:rsidRPr="000A425E">
        <w:rPr>
          <w:rFonts w:eastAsia="Calibri" w:cs="Times New Roman"/>
          <w:bCs/>
          <w:szCs w:val="24"/>
        </w:rPr>
        <w:t>.</w:t>
      </w:r>
      <w:r w:rsidRPr="000A425E">
        <w:rPr>
          <w:rFonts w:eastAsia="Calibri" w:cs="Times New Roman"/>
          <w:b/>
          <w:szCs w:val="24"/>
        </w:rPr>
        <w:t xml:space="preserve"> </w:t>
      </w:r>
      <w:r w:rsidRPr="000A425E">
        <w:rPr>
          <w:rFonts w:eastAsia="Calibri" w:cs="Times New Roman"/>
          <w:bCs/>
          <w:szCs w:val="24"/>
        </w:rPr>
        <w:t xml:space="preserve">Pyruvate kinase M2 is a phosphotyrosine-binding protein. </w:t>
      </w:r>
      <w:r w:rsidRPr="000A425E">
        <w:rPr>
          <w:rFonts w:eastAsia="Calibri" w:cs="Times New Roman"/>
          <w:bCs/>
          <w:i/>
          <w:szCs w:val="24"/>
        </w:rPr>
        <w:t>Nature</w:t>
      </w:r>
      <w:r w:rsidRPr="000A425E">
        <w:rPr>
          <w:rFonts w:eastAsia="Calibri" w:cs="Times New Roman"/>
          <w:bCs/>
          <w:szCs w:val="24"/>
        </w:rPr>
        <w:t xml:space="preserve"> 2008, 452, 181-186.</w:t>
      </w:r>
    </w:p>
    <w:p w:rsidR="006F53C9" w:rsidRPr="000A425E" w:rsidRDefault="006F53C9" w:rsidP="006F53C9">
      <w:pPr>
        <w:spacing w:before="120" w:after="240"/>
        <w:ind w:firstLine="0"/>
        <w:rPr>
          <w:rFonts w:eastAsia="Calibri" w:cs="Times New Roman"/>
          <w:szCs w:val="24"/>
        </w:rPr>
      </w:pPr>
      <w:r w:rsidRPr="000A425E">
        <w:rPr>
          <w:rFonts w:eastAsiaTheme="majorEastAsia" w:cs="Times New Roman"/>
          <w:b/>
          <w:bCs/>
          <w:szCs w:val="24"/>
        </w:rPr>
        <w:t>Clem B, Telang S, Clem A, Yalcin A, Meier J, Simmons A, Rasku MA, Arumugam S, Dean WL, Eaton J, Lane A, Trent JO, Chesney J.</w:t>
      </w:r>
      <w:r w:rsidRPr="000A425E">
        <w:rPr>
          <w:rFonts w:eastAsia="Calibri" w:cs="Times New Roman"/>
          <w:szCs w:val="24"/>
        </w:rPr>
        <w:t xml:space="preserve"> Small-molecule inhibition of 6-phosp-hofructo-2-kinase activity suppresses glycolytic fluxand tumor growth. </w:t>
      </w:r>
      <w:r w:rsidRPr="000A425E">
        <w:rPr>
          <w:rFonts w:eastAsia="Calibri" w:cs="Times New Roman"/>
          <w:i/>
          <w:szCs w:val="24"/>
        </w:rPr>
        <w:t>Molecular Cancer Therapeutics</w:t>
      </w:r>
      <w:r w:rsidRPr="000A425E">
        <w:rPr>
          <w:rFonts w:eastAsia="Calibri" w:cs="Times New Roman"/>
          <w:szCs w:val="24"/>
        </w:rPr>
        <w:t xml:space="preserve"> 2008, 7 (1), 110–120.</w:t>
      </w:r>
    </w:p>
    <w:p w:rsidR="006F53C9" w:rsidRPr="000A425E" w:rsidRDefault="0037177D" w:rsidP="006F53C9">
      <w:pPr>
        <w:spacing w:before="120" w:after="240"/>
        <w:ind w:firstLine="0"/>
        <w:rPr>
          <w:rFonts w:eastAsia="Calibri" w:cs="Times New Roman"/>
          <w:szCs w:val="24"/>
        </w:rPr>
      </w:pPr>
      <w:hyperlink r:id="rId226" w:history="1">
        <w:r w:rsidR="006F53C9" w:rsidRPr="000A425E">
          <w:rPr>
            <w:rFonts w:eastAsiaTheme="majorEastAsia" w:cs="Times New Roman"/>
            <w:b/>
            <w:bCs/>
            <w:szCs w:val="24"/>
          </w:rPr>
          <w:t>Coelho WS</w:t>
        </w:r>
      </w:hyperlink>
      <w:r w:rsidR="006F53C9" w:rsidRPr="000A425E">
        <w:rPr>
          <w:rFonts w:eastAsiaTheme="majorEastAsia" w:cs="Times New Roman"/>
          <w:b/>
          <w:bCs/>
          <w:szCs w:val="24"/>
        </w:rPr>
        <w:t>, </w:t>
      </w:r>
      <w:hyperlink r:id="rId227" w:history="1">
        <w:r w:rsidR="006F53C9" w:rsidRPr="000A425E">
          <w:rPr>
            <w:rFonts w:eastAsiaTheme="majorEastAsia" w:cs="Times New Roman"/>
            <w:b/>
            <w:bCs/>
            <w:szCs w:val="24"/>
          </w:rPr>
          <w:t>Costa KC</w:t>
        </w:r>
      </w:hyperlink>
      <w:r w:rsidR="006F53C9" w:rsidRPr="000A425E">
        <w:rPr>
          <w:rFonts w:eastAsiaTheme="majorEastAsia" w:cs="Times New Roman"/>
          <w:b/>
          <w:bCs/>
          <w:szCs w:val="24"/>
        </w:rPr>
        <w:t>, </w:t>
      </w:r>
      <w:hyperlink r:id="rId228" w:history="1">
        <w:r w:rsidR="006F53C9" w:rsidRPr="000A425E">
          <w:rPr>
            <w:rFonts w:eastAsiaTheme="majorEastAsia" w:cs="Times New Roman"/>
            <w:b/>
            <w:bCs/>
            <w:szCs w:val="24"/>
          </w:rPr>
          <w:t>Sola-Penna M</w:t>
        </w:r>
      </w:hyperlink>
      <w:r w:rsidR="006F53C9" w:rsidRPr="000A425E">
        <w:rPr>
          <w:rFonts w:eastAsiaTheme="majorEastAsia" w:cs="Times New Roman"/>
          <w:b/>
          <w:bCs/>
          <w:szCs w:val="24"/>
        </w:rPr>
        <w:t>.</w:t>
      </w:r>
      <w:r w:rsidR="006F53C9" w:rsidRPr="000A425E">
        <w:rPr>
          <w:rFonts w:eastAsia="Calibri" w:cs="Times New Roman"/>
          <w:szCs w:val="24"/>
        </w:rPr>
        <w:t xml:space="preserve"> </w:t>
      </w:r>
      <w:r w:rsidR="006F53C9" w:rsidRPr="000A425E">
        <w:rPr>
          <w:rFonts w:eastAsia="Calibri" w:cs="Times New Roman"/>
          <w:bCs/>
          <w:szCs w:val="24"/>
        </w:rPr>
        <w:t xml:space="preserve">Serotonin stimulates mouse skeletal muscle 6-phosphofructo-1-kinase through tyrosine-phosphorylation of the enzyme altering its intracellular localization. </w:t>
      </w:r>
      <w:r w:rsidR="006F53C9" w:rsidRPr="000A425E">
        <w:rPr>
          <w:rFonts w:eastAsia="Calibri" w:cs="Times New Roman"/>
          <w:bCs/>
          <w:i/>
          <w:szCs w:val="24"/>
        </w:rPr>
        <w:t>Molecular genetics and metabolism</w:t>
      </w:r>
      <w:r w:rsidR="006F53C9" w:rsidRPr="000A425E">
        <w:rPr>
          <w:rFonts w:eastAsia="Calibri" w:cs="Times New Roman"/>
          <w:bCs/>
          <w:szCs w:val="24"/>
        </w:rPr>
        <w:t xml:space="preserve"> 2007, 92(4), 364-370.</w:t>
      </w:r>
    </w:p>
    <w:p w:rsidR="006F53C9" w:rsidRPr="000A425E" w:rsidRDefault="0037177D" w:rsidP="006F53C9">
      <w:pPr>
        <w:keepNext/>
        <w:keepLines/>
        <w:shd w:val="clear" w:color="auto" w:fill="FFFFFF"/>
        <w:spacing w:before="120" w:after="240"/>
        <w:ind w:firstLine="0"/>
        <w:outlineLvl w:val="0"/>
        <w:rPr>
          <w:rFonts w:eastAsia="Calibri" w:cs="Times New Roman"/>
          <w:szCs w:val="24"/>
        </w:rPr>
      </w:pPr>
      <w:hyperlink r:id="rId229" w:history="1">
        <w:r w:rsidR="006F53C9" w:rsidRPr="000A425E">
          <w:rPr>
            <w:rFonts w:eastAsiaTheme="majorEastAsia" w:cs="Times New Roman"/>
            <w:b/>
            <w:bCs/>
            <w:szCs w:val="24"/>
          </w:rPr>
          <w:t>Colell A</w:t>
        </w:r>
      </w:hyperlink>
      <w:r w:rsidR="006F53C9" w:rsidRPr="000A425E">
        <w:rPr>
          <w:rFonts w:eastAsiaTheme="majorEastAsia" w:cs="Times New Roman"/>
          <w:b/>
          <w:bCs/>
          <w:szCs w:val="24"/>
        </w:rPr>
        <w:t>, </w:t>
      </w:r>
      <w:hyperlink r:id="rId230" w:history="1">
        <w:r w:rsidR="006F53C9" w:rsidRPr="000A425E">
          <w:rPr>
            <w:rFonts w:eastAsiaTheme="majorEastAsia" w:cs="Times New Roman"/>
            <w:b/>
            <w:bCs/>
            <w:szCs w:val="24"/>
          </w:rPr>
          <w:t>Green DR</w:t>
        </w:r>
      </w:hyperlink>
      <w:r w:rsidR="006F53C9" w:rsidRPr="000A425E">
        <w:rPr>
          <w:rFonts w:eastAsiaTheme="majorEastAsia" w:cs="Times New Roman"/>
          <w:b/>
          <w:bCs/>
          <w:szCs w:val="24"/>
        </w:rPr>
        <w:t>, </w:t>
      </w:r>
      <w:hyperlink r:id="rId231" w:history="1">
        <w:r w:rsidR="006F53C9" w:rsidRPr="000A425E">
          <w:rPr>
            <w:rFonts w:eastAsiaTheme="majorEastAsia" w:cs="Times New Roman"/>
            <w:b/>
            <w:bCs/>
            <w:szCs w:val="24"/>
          </w:rPr>
          <w:t>Ricci JE</w:t>
        </w:r>
      </w:hyperlink>
      <w:r w:rsidR="006F53C9" w:rsidRPr="000A425E">
        <w:rPr>
          <w:rFonts w:eastAsiaTheme="majorEastAsia" w:cs="Times New Roman"/>
          <w:b/>
          <w:bCs/>
          <w:szCs w:val="24"/>
        </w:rPr>
        <w:t>.</w:t>
      </w:r>
      <w:r w:rsidR="006F53C9" w:rsidRPr="000A425E">
        <w:rPr>
          <w:rFonts w:eastAsiaTheme="majorEastAsia" w:cstheme="majorBidi"/>
          <w:color w:val="365F91" w:themeColor="accent1" w:themeShade="BF"/>
          <w:szCs w:val="24"/>
        </w:rPr>
        <w:t xml:space="preserve"> </w:t>
      </w:r>
      <w:r w:rsidR="006F53C9" w:rsidRPr="000A425E">
        <w:rPr>
          <w:rFonts w:eastAsia="Calibri" w:cs="Times New Roman"/>
          <w:szCs w:val="24"/>
        </w:rPr>
        <w:t xml:space="preserve">Novel roles for GAPDH in cell death and carcinogenesis. </w:t>
      </w:r>
      <w:r w:rsidR="006F53C9" w:rsidRPr="000A425E">
        <w:rPr>
          <w:rFonts w:eastAsia="Calibri" w:cs="Times New Roman"/>
          <w:i/>
          <w:szCs w:val="24"/>
        </w:rPr>
        <w:t>Cell death and differantiation</w:t>
      </w:r>
      <w:r w:rsidR="006F53C9" w:rsidRPr="000A425E">
        <w:rPr>
          <w:rFonts w:eastAsia="Calibri" w:cs="Times New Roman"/>
          <w:szCs w:val="24"/>
        </w:rPr>
        <w:t xml:space="preserve"> 2009, 16 (12), 1573-1581.</w:t>
      </w:r>
    </w:p>
    <w:p w:rsidR="006F53C9" w:rsidRDefault="006F53C9" w:rsidP="006F53C9">
      <w:pPr>
        <w:spacing w:before="120" w:after="240"/>
        <w:ind w:firstLine="0"/>
        <w:rPr>
          <w:rFonts w:eastAsia="Calibri" w:cs="Times New Roman"/>
          <w:szCs w:val="24"/>
        </w:rPr>
      </w:pPr>
      <w:r w:rsidRPr="000A425E">
        <w:rPr>
          <w:rFonts w:eastAsia="Calibri" w:cs="Times New Roman"/>
          <w:b/>
          <w:szCs w:val="24"/>
        </w:rPr>
        <w:t xml:space="preserve">Comşa Ş, Cimpean AM, Raica M. </w:t>
      </w:r>
      <w:r w:rsidRPr="000A425E">
        <w:rPr>
          <w:rFonts w:eastAsia="Calibri" w:cs="Times New Roman"/>
          <w:szCs w:val="24"/>
        </w:rPr>
        <w:t xml:space="preserve">The Story of MCF-7 Breast Cancer Cell Line: 40 years of Experience in Research. </w:t>
      </w:r>
      <w:r w:rsidRPr="000A425E">
        <w:rPr>
          <w:rFonts w:eastAsia="Calibri" w:cs="Times New Roman"/>
          <w:i/>
          <w:szCs w:val="24"/>
        </w:rPr>
        <w:t>Anticancer Research</w:t>
      </w:r>
      <w:r w:rsidRPr="000A425E">
        <w:rPr>
          <w:rFonts w:eastAsia="Calibri" w:cs="Times New Roman"/>
          <w:szCs w:val="24"/>
        </w:rPr>
        <w:t xml:space="preserve"> 2015, 35, 3147-3154.</w:t>
      </w:r>
    </w:p>
    <w:p w:rsidR="006F53C9" w:rsidRPr="00C93004" w:rsidRDefault="0037177D" w:rsidP="006F53C9">
      <w:pPr>
        <w:spacing w:before="120" w:after="240"/>
        <w:ind w:firstLine="0"/>
        <w:rPr>
          <w:rFonts w:eastAsia="Calibri" w:cs="Times New Roman"/>
          <w:szCs w:val="24"/>
        </w:rPr>
      </w:pPr>
      <w:hyperlink r:id="rId232" w:history="1">
        <w:r w:rsidR="006F53C9" w:rsidRPr="00C93004">
          <w:rPr>
            <w:rFonts w:eastAsia="Calibri" w:cs="Times New Roman"/>
            <w:b/>
            <w:szCs w:val="24"/>
          </w:rPr>
          <w:t>Connor H</w:t>
        </w:r>
      </w:hyperlink>
      <w:r w:rsidR="006F53C9" w:rsidRPr="00C93004">
        <w:rPr>
          <w:rFonts w:eastAsia="Calibri" w:cs="Times New Roman"/>
          <w:b/>
          <w:szCs w:val="24"/>
        </w:rPr>
        <w:t>, </w:t>
      </w:r>
      <w:hyperlink r:id="rId233" w:history="1">
        <w:r w:rsidR="006F53C9" w:rsidRPr="00C93004">
          <w:rPr>
            <w:rFonts w:eastAsia="Calibri" w:cs="Times New Roman"/>
            <w:b/>
            <w:szCs w:val="24"/>
          </w:rPr>
          <w:t>Woods HF</w:t>
        </w:r>
      </w:hyperlink>
      <w:r w:rsidR="006F53C9" w:rsidRPr="00C93004">
        <w:rPr>
          <w:rFonts w:eastAsia="Calibri" w:cs="Times New Roman"/>
          <w:b/>
          <w:szCs w:val="24"/>
        </w:rPr>
        <w:t>, </w:t>
      </w:r>
      <w:hyperlink r:id="rId234" w:history="1">
        <w:r w:rsidR="006F53C9" w:rsidRPr="00C93004">
          <w:rPr>
            <w:rFonts w:eastAsia="Calibri" w:cs="Times New Roman"/>
            <w:b/>
            <w:szCs w:val="24"/>
          </w:rPr>
          <w:t>Ledingham JG</w:t>
        </w:r>
      </w:hyperlink>
      <w:r w:rsidR="006F53C9" w:rsidRPr="00C93004">
        <w:rPr>
          <w:rFonts w:eastAsia="Calibri" w:cs="Times New Roman"/>
          <w:b/>
          <w:szCs w:val="24"/>
        </w:rPr>
        <w:t>.</w:t>
      </w:r>
      <w:r w:rsidR="006F53C9" w:rsidRPr="00C93004">
        <w:rPr>
          <w:rFonts w:eastAsia="Calibri" w:cs="Times New Roman"/>
          <w:szCs w:val="24"/>
        </w:rPr>
        <w:t xml:space="preserve"> Comparison of the kinetics and utilisation of D(-)-and L(+)-sodium lactate in normal man. </w:t>
      </w:r>
      <w:r w:rsidR="006F53C9" w:rsidRPr="00C93004">
        <w:rPr>
          <w:rFonts w:eastAsia="Calibri" w:cs="Times New Roman"/>
          <w:i/>
          <w:szCs w:val="24"/>
        </w:rPr>
        <w:t>Annals of Nutrition &amp;Metabolism</w:t>
      </w:r>
      <w:r w:rsidR="006F53C9" w:rsidRPr="00C93004">
        <w:rPr>
          <w:rFonts w:eastAsia="Calibri" w:cs="Times New Roman"/>
          <w:szCs w:val="24"/>
        </w:rPr>
        <w:t xml:space="preserve"> 1983, 27(6),481-487.</w:t>
      </w:r>
    </w:p>
    <w:p w:rsidR="006F53C9" w:rsidRPr="00C93004" w:rsidRDefault="0037177D" w:rsidP="006F53C9">
      <w:pPr>
        <w:keepNext/>
        <w:keepLines/>
        <w:shd w:val="clear" w:color="auto" w:fill="FFFFFF"/>
        <w:spacing w:before="120" w:after="240"/>
        <w:ind w:firstLine="0"/>
        <w:outlineLvl w:val="0"/>
        <w:rPr>
          <w:rFonts w:eastAsia="Calibri" w:cs="Times New Roman"/>
          <w:szCs w:val="24"/>
        </w:rPr>
      </w:pPr>
      <w:hyperlink r:id="rId235" w:history="1">
        <w:r w:rsidR="006F53C9" w:rsidRPr="00C93004">
          <w:rPr>
            <w:rFonts w:eastAsiaTheme="majorEastAsia" w:cs="Times New Roman"/>
            <w:b/>
            <w:bCs/>
            <w:szCs w:val="24"/>
          </w:rPr>
          <w:t>Costa Leite T</w:t>
        </w:r>
      </w:hyperlink>
      <w:r w:rsidR="006F53C9" w:rsidRPr="00C93004">
        <w:rPr>
          <w:rFonts w:eastAsiaTheme="majorEastAsia" w:cs="Times New Roman"/>
          <w:b/>
          <w:bCs/>
          <w:szCs w:val="24"/>
        </w:rPr>
        <w:t>, </w:t>
      </w:r>
      <w:hyperlink r:id="rId236" w:history="1">
        <w:r w:rsidR="006F53C9" w:rsidRPr="00C93004">
          <w:rPr>
            <w:rFonts w:eastAsiaTheme="majorEastAsia" w:cs="Times New Roman"/>
            <w:b/>
            <w:bCs/>
            <w:szCs w:val="24"/>
          </w:rPr>
          <w:t>Da Silva D</w:t>
        </w:r>
      </w:hyperlink>
      <w:r w:rsidR="006F53C9" w:rsidRPr="00C93004">
        <w:rPr>
          <w:rFonts w:eastAsiaTheme="majorEastAsia" w:cs="Times New Roman"/>
          <w:b/>
          <w:bCs/>
          <w:szCs w:val="24"/>
        </w:rPr>
        <w:t>, </w:t>
      </w:r>
      <w:hyperlink r:id="rId237" w:history="1">
        <w:r w:rsidR="006F53C9" w:rsidRPr="00C93004">
          <w:rPr>
            <w:rFonts w:eastAsiaTheme="majorEastAsia" w:cs="Times New Roman"/>
            <w:b/>
            <w:bCs/>
            <w:szCs w:val="24"/>
          </w:rPr>
          <w:t>Guimarães Coelho R</w:t>
        </w:r>
      </w:hyperlink>
      <w:r w:rsidR="006F53C9" w:rsidRPr="00C93004">
        <w:rPr>
          <w:rFonts w:eastAsiaTheme="majorEastAsia" w:cs="Times New Roman"/>
          <w:b/>
          <w:bCs/>
          <w:szCs w:val="24"/>
        </w:rPr>
        <w:t>, </w:t>
      </w:r>
      <w:hyperlink r:id="rId238" w:history="1">
        <w:r w:rsidR="006F53C9" w:rsidRPr="00C93004">
          <w:rPr>
            <w:rFonts w:eastAsiaTheme="majorEastAsia" w:cs="Times New Roman"/>
            <w:b/>
            <w:bCs/>
            <w:szCs w:val="24"/>
          </w:rPr>
          <w:t>Zancan P</w:t>
        </w:r>
      </w:hyperlink>
      <w:r w:rsidR="006F53C9" w:rsidRPr="00C93004">
        <w:rPr>
          <w:rFonts w:eastAsiaTheme="majorEastAsia" w:cs="Times New Roman"/>
          <w:b/>
          <w:bCs/>
          <w:szCs w:val="24"/>
        </w:rPr>
        <w:t>, </w:t>
      </w:r>
      <w:hyperlink r:id="rId239" w:history="1">
        <w:r w:rsidR="006F53C9" w:rsidRPr="00C93004">
          <w:rPr>
            <w:rFonts w:eastAsiaTheme="majorEastAsia" w:cs="Times New Roman"/>
            <w:b/>
            <w:bCs/>
            <w:szCs w:val="24"/>
          </w:rPr>
          <w:t>Sola-Penna M</w:t>
        </w:r>
      </w:hyperlink>
      <w:r w:rsidR="006F53C9" w:rsidRPr="00C93004">
        <w:rPr>
          <w:rFonts w:eastAsia="Calibri" w:cs="Times New Roman"/>
          <w:szCs w:val="24"/>
        </w:rPr>
        <w:t xml:space="preserve">. Lactate favours the dissociation of skeletal muscle 6-phosphofructo-1-kinase tetramers down-regulating the enzyme and muscle glycolysis. </w:t>
      </w:r>
      <w:r w:rsidR="006F53C9" w:rsidRPr="00C93004">
        <w:rPr>
          <w:rFonts w:eastAsia="Calibri" w:cs="Times New Roman"/>
          <w:i/>
          <w:szCs w:val="24"/>
        </w:rPr>
        <w:t>The Biochemical Journal</w:t>
      </w:r>
      <w:r w:rsidR="006F53C9" w:rsidRPr="00C93004">
        <w:rPr>
          <w:rFonts w:eastAsia="Calibri" w:cs="Times New Roman"/>
          <w:szCs w:val="24"/>
        </w:rPr>
        <w:t xml:space="preserve"> 2007, 408 (1),123-130.</w:t>
      </w:r>
    </w:p>
    <w:p w:rsidR="006F53C9" w:rsidRPr="00C93004" w:rsidRDefault="006F53C9" w:rsidP="006F53C9">
      <w:pPr>
        <w:spacing w:before="120" w:after="240"/>
        <w:ind w:firstLine="0"/>
        <w:rPr>
          <w:rFonts w:eastAsia="Calibri" w:cs="Times New Roman"/>
          <w:szCs w:val="24"/>
        </w:rPr>
      </w:pPr>
      <w:r w:rsidRPr="00C93004">
        <w:rPr>
          <w:rFonts w:eastAsia="Calibri" w:cs="Times New Roman"/>
          <w:b/>
          <w:szCs w:val="24"/>
        </w:rPr>
        <w:t>Crabtree HG.</w:t>
      </w:r>
      <w:r w:rsidRPr="00C93004">
        <w:rPr>
          <w:rFonts w:eastAsia="Calibri" w:cs="Times New Roman"/>
          <w:szCs w:val="24"/>
        </w:rPr>
        <w:t xml:space="preserve"> Observations on the carbohydrate metabolism of tumours. </w:t>
      </w:r>
      <w:r w:rsidRPr="00C93004">
        <w:rPr>
          <w:rFonts w:eastAsia="Calibri" w:cs="Times New Roman"/>
          <w:i/>
          <w:szCs w:val="24"/>
        </w:rPr>
        <w:t>Biochemical Journal</w:t>
      </w:r>
      <w:r w:rsidRPr="00C93004">
        <w:rPr>
          <w:rFonts w:eastAsia="Calibri" w:cs="Times New Roman"/>
          <w:szCs w:val="24"/>
        </w:rPr>
        <w:t xml:space="preserve"> 1929, 23, 536–545.</w:t>
      </w:r>
    </w:p>
    <w:p w:rsidR="006F53C9" w:rsidRPr="006F53C9" w:rsidRDefault="0037177D" w:rsidP="006F53C9">
      <w:pPr>
        <w:keepNext/>
        <w:keepLines/>
        <w:shd w:val="clear" w:color="auto" w:fill="FFFFFF"/>
        <w:spacing w:before="120" w:after="240"/>
        <w:ind w:firstLine="0"/>
        <w:outlineLvl w:val="0"/>
        <w:rPr>
          <w:rFonts w:eastAsia="Calibri" w:cs="Times New Roman"/>
          <w:szCs w:val="24"/>
        </w:rPr>
      </w:pPr>
      <w:hyperlink r:id="rId240" w:history="1">
        <w:r w:rsidR="006F53C9" w:rsidRPr="006F53C9">
          <w:rPr>
            <w:rFonts w:eastAsia="Calibri" w:cs="Times New Roman"/>
            <w:b/>
            <w:szCs w:val="24"/>
          </w:rPr>
          <w:t>Cui XG</w:t>
        </w:r>
      </w:hyperlink>
      <w:r w:rsidR="006F53C9" w:rsidRPr="006F53C9">
        <w:rPr>
          <w:rFonts w:eastAsia="Calibri" w:cs="Times New Roman"/>
          <w:b/>
          <w:szCs w:val="24"/>
        </w:rPr>
        <w:t>, </w:t>
      </w:r>
      <w:hyperlink r:id="rId241" w:history="1">
        <w:r w:rsidR="006F53C9" w:rsidRPr="006F53C9">
          <w:rPr>
            <w:rFonts w:eastAsia="Calibri" w:cs="Times New Roman"/>
            <w:b/>
            <w:szCs w:val="24"/>
          </w:rPr>
          <w:t>Han ZT</w:t>
        </w:r>
      </w:hyperlink>
      <w:r w:rsidR="006F53C9" w:rsidRPr="006F53C9">
        <w:rPr>
          <w:rFonts w:eastAsia="Calibri" w:cs="Times New Roman"/>
          <w:b/>
          <w:szCs w:val="24"/>
        </w:rPr>
        <w:t>, </w:t>
      </w:r>
      <w:hyperlink r:id="rId242" w:history="1">
        <w:r w:rsidR="006F53C9" w:rsidRPr="006F53C9">
          <w:rPr>
            <w:rFonts w:eastAsia="Calibri" w:cs="Times New Roman"/>
            <w:b/>
            <w:szCs w:val="24"/>
          </w:rPr>
          <w:t>He SH</w:t>
        </w:r>
      </w:hyperlink>
      <w:r w:rsidR="006F53C9" w:rsidRPr="006F53C9">
        <w:rPr>
          <w:rFonts w:eastAsia="Calibri" w:cs="Times New Roman"/>
          <w:b/>
          <w:szCs w:val="24"/>
        </w:rPr>
        <w:t>, </w:t>
      </w:r>
      <w:hyperlink r:id="rId243" w:history="1">
        <w:r w:rsidR="006F53C9" w:rsidRPr="006F53C9">
          <w:rPr>
            <w:rFonts w:eastAsia="Calibri" w:cs="Times New Roman"/>
            <w:b/>
            <w:szCs w:val="24"/>
          </w:rPr>
          <w:t>Wu XD</w:t>
        </w:r>
      </w:hyperlink>
      <w:r w:rsidR="006F53C9" w:rsidRPr="006F53C9">
        <w:rPr>
          <w:rFonts w:eastAsia="Calibri" w:cs="Times New Roman"/>
          <w:b/>
          <w:szCs w:val="24"/>
        </w:rPr>
        <w:t>, </w:t>
      </w:r>
      <w:hyperlink r:id="rId244" w:history="1">
        <w:r w:rsidR="006F53C9" w:rsidRPr="006F53C9">
          <w:rPr>
            <w:rFonts w:eastAsia="Calibri" w:cs="Times New Roman"/>
            <w:b/>
            <w:szCs w:val="24"/>
          </w:rPr>
          <w:t>Chen TR</w:t>
        </w:r>
      </w:hyperlink>
      <w:r w:rsidR="006F53C9" w:rsidRPr="006F53C9">
        <w:rPr>
          <w:rFonts w:eastAsia="Calibri" w:cs="Times New Roman"/>
          <w:b/>
          <w:szCs w:val="24"/>
        </w:rPr>
        <w:t>, </w:t>
      </w:r>
      <w:hyperlink r:id="rId245" w:history="1">
        <w:r w:rsidR="006F53C9" w:rsidRPr="006F53C9">
          <w:rPr>
            <w:rFonts w:eastAsia="Calibri" w:cs="Times New Roman"/>
            <w:b/>
            <w:szCs w:val="24"/>
          </w:rPr>
          <w:t>Shao CH</w:t>
        </w:r>
      </w:hyperlink>
      <w:r w:rsidR="006F53C9" w:rsidRPr="006F53C9">
        <w:rPr>
          <w:rFonts w:eastAsia="Calibri" w:cs="Times New Roman"/>
          <w:b/>
          <w:szCs w:val="24"/>
        </w:rPr>
        <w:t>, </w:t>
      </w:r>
      <w:hyperlink r:id="rId246" w:history="1">
        <w:r w:rsidR="006F53C9" w:rsidRPr="006F53C9">
          <w:rPr>
            <w:rFonts w:eastAsia="Calibri" w:cs="Times New Roman"/>
            <w:b/>
            <w:szCs w:val="24"/>
          </w:rPr>
          <w:t>Chen DL</w:t>
        </w:r>
      </w:hyperlink>
      <w:r w:rsidR="006F53C9" w:rsidRPr="006F53C9">
        <w:rPr>
          <w:rFonts w:eastAsia="Calibri" w:cs="Times New Roman"/>
          <w:b/>
          <w:szCs w:val="24"/>
        </w:rPr>
        <w:t>, </w:t>
      </w:r>
      <w:hyperlink r:id="rId247" w:history="1">
        <w:r w:rsidR="006F53C9" w:rsidRPr="006F53C9">
          <w:rPr>
            <w:rFonts w:eastAsia="Calibri" w:cs="Times New Roman"/>
            <w:b/>
            <w:szCs w:val="24"/>
          </w:rPr>
          <w:t>Su N</w:t>
        </w:r>
      </w:hyperlink>
      <w:r w:rsidR="006F53C9" w:rsidRPr="006F53C9">
        <w:rPr>
          <w:rFonts w:eastAsia="Calibri" w:cs="Times New Roman"/>
          <w:b/>
          <w:szCs w:val="24"/>
        </w:rPr>
        <w:t>, </w:t>
      </w:r>
      <w:hyperlink r:id="rId248" w:history="1">
        <w:r w:rsidR="006F53C9" w:rsidRPr="006F53C9">
          <w:rPr>
            <w:rFonts w:eastAsia="Calibri" w:cs="Times New Roman"/>
            <w:b/>
            <w:szCs w:val="24"/>
          </w:rPr>
          <w:t>Chen YM</w:t>
        </w:r>
      </w:hyperlink>
      <w:r w:rsidR="006F53C9" w:rsidRPr="006F53C9">
        <w:rPr>
          <w:rFonts w:eastAsia="Calibri" w:cs="Times New Roman"/>
          <w:b/>
          <w:szCs w:val="24"/>
        </w:rPr>
        <w:t>, </w:t>
      </w:r>
      <w:hyperlink r:id="rId249" w:history="1">
        <w:r w:rsidR="006F53C9" w:rsidRPr="006F53C9">
          <w:rPr>
            <w:rFonts w:eastAsia="Calibri" w:cs="Times New Roman"/>
            <w:b/>
            <w:szCs w:val="24"/>
          </w:rPr>
          <w:t>Wang T</w:t>
        </w:r>
      </w:hyperlink>
      <w:r w:rsidR="006F53C9" w:rsidRPr="006F53C9">
        <w:rPr>
          <w:rFonts w:eastAsia="Calibri" w:cs="Times New Roman"/>
          <w:b/>
          <w:szCs w:val="24"/>
        </w:rPr>
        <w:t>, </w:t>
      </w:r>
      <w:hyperlink r:id="rId250" w:history="1">
        <w:r w:rsidR="006F53C9" w:rsidRPr="006F53C9">
          <w:rPr>
            <w:rFonts w:eastAsia="Calibri" w:cs="Times New Roman"/>
            <w:b/>
            <w:szCs w:val="24"/>
          </w:rPr>
          <w:t>Wang J</w:t>
        </w:r>
      </w:hyperlink>
      <w:r w:rsidR="006F53C9" w:rsidRPr="006F53C9">
        <w:rPr>
          <w:rFonts w:eastAsia="Calibri" w:cs="Times New Roman"/>
          <w:b/>
          <w:szCs w:val="24"/>
        </w:rPr>
        <w:t>, </w:t>
      </w:r>
      <w:hyperlink r:id="rId251" w:history="1">
        <w:r w:rsidR="006F53C9" w:rsidRPr="006F53C9">
          <w:rPr>
            <w:rFonts w:eastAsia="Calibri" w:cs="Times New Roman"/>
            <w:b/>
            <w:szCs w:val="24"/>
          </w:rPr>
          <w:t>Song DW</w:t>
        </w:r>
      </w:hyperlink>
      <w:r w:rsidR="006F53C9" w:rsidRPr="006F53C9">
        <w:rPr>
          <w:rFonts w:eastAsia="Calibri" w:cs="Times New Roman"/>
          <w:b/>
          <w:szCs w:val="24"/>
        </w:rPr>
        <w:t>, </w:t>
      </w:r>
      <w:hyperlink r:id="rId252" w:history="1">
        <w:r w:rsidR="006F53C9" w:rsidRPr="006F53C9">
          <w:rPr>
            <w:rFonts w:eastAsia="Calibri" w:cs="Times New Roman"/>
            <w:b/>
            <w:szCs w:val="24"/>
          </w:rPr>
          <w:t>Yan WJ</w:t>
        </w:r>
      </w:hyperlink>
      <w:r w:rsidR="006F53C9" w:rsidRPr="006F53C9">
        <w:rPr>
          <w:rFonts w:eastAsia="Calibri" w:cs="Times New Roman"/>
          <w:b/>
          <w:szCs w:val="24"/>
        </w:rPr>
        <w:t>, </w:t>
      </w:r>
      <w:hyperlink r:id="rId253" w:history="1">
        <w:r w:rsidR="006F53C9" w:rsidRPr="006F53C9">
          <w:rPr>
            <w:rFonts w:eastAsia="Calibri" w:cs="Times New Roman"/>
            <w:b/>
            <w:szCs w:val="24"/>
          </w:rPr>
          <w:t>Yang XH</w:t>
        </w:r>
      </w:hyperlink>
      <w:r w:rsidR="006F53C9" w:rsidRPr="006F53C9">
        <w:rPr>
          <w:rFonts w:eastAsia="Calibri" w:cs="Times New Roman"/>
          <w:b/>
          <w:szCs w:val="24"/>
        </w:rPr>
        <w:t>, </w:t>
      </w:r>
      <w:hyperlink r:id="rId254" w:history="1">
        <w:r w:rsidR="006F53C9" w:rsidRPr="006F53C9">
          <w:rPr>
            <w:rFonts w:eastAsia="Calibri" w:cs="Times New Roman"/>
            <w:b/>
            <w:szCs w:val="24"/>
          </w:rPr>
          <w:t>Liu T</w:t>
        </w:r>
      </w:hyperlink>
      <w:r w:rsidR="006F53C9" w:rsidRPr="006F53C9">
        <w:rPr>
          <w:rFonts w:eastAsia="Calibri" w:cs="Times New Roman"/>
          <w:b/>
          <w:szCs w:val="24"/>
        </w:rPr>
        <w:t>, </w:t>
      </w:r>
      <w:hyperlink r:id="rId255" w:history="1">
        <w:r w:rsidR="006F53C9" w:rsidRPr="006F53C9">
          <w:rPr>
            <w:rFonts w:eastAsia="Calibri" w:cs="Times New Roman"/>
            <w:b/>
            <w:szCs w:val="24"/>
          </w:rPr>
          <w:t>Wei HF</w:t>
        </w:r>
      </w:hyperlink>
      <w:r w:rsidR="006F53C9" w:rsidRPr="006F53C9">
        <w:rPr>
          <w:rFonts w:eastAsia="Calibri" w:cs="Times New Roman"/>
          <w:b/>
          <w:szCs w:val="24"/>
        </w:rPr>
        <w:t>, </w:t>
      </w:r>
      <w:hyperlink r:id="rId256" w:history="1">
        <w:r w:rsidR="006F53C9" w:rsidRPr="006F53C9">
          <w:rPr>
            <w:rFonts w:eastAsia="Calibri" w:cs="Times New Roman"/>
            <w:b/>
            <w:szCs w:val="24"/>
          </w:rPr>
          <w:t>Xiao J</w:t>
        </w:r>
      </w:hyperlink>
      <w:r w:rsidR="006F53C9" w:rsidRPr="006F53C9">
        <w:rPr>
          <w:rFonts w:eastAsia="Calibri" w:cs="Times New Roman"/>
          <w:b/>
          <w:szCs w:val="24"/>
        </w:rPr>
        <w:t xml:space="preserve">. </w:t>
      </w:r>
      <w:r w:rsidR="006F53C9" w:rsidRPr="006F53C9">
        <w:rPr>
          <w:rFonts w:eastAsia="Calibri" w:cs="Times New Roman"/>
          <w:szCs w:val="24"/>
        </w:rPr>
        <w:t xml:space="preserve">HIF1/2α mediates hypoxia-induced LDHA expression in human pancreatic cancer cells. </w:t>
      </w:r>
      <w:r w:rsidR="006F53C9" w:rsidRPr="006F53C9">
        <w:rPr>
          <w:rFonts w:eastAsia="Calibri" w:cs="Times New Roman"/>
          <w:i/>
          <w:szCs w:val="24"/>
        </w:rPr>
        <w:t xml:space="preserve">Oncotarget </w:t>
      </w:r>
      <w:r w:rsidR="006F53C9" w:rsidRPr="006F53C9">
        <w:rPr>
          <w:rFonts w:eastAsia="Calibri" w:cs="Times New Roman"/>
          <w:szCs w:val="24"/>
        </w:rPr>
        <w:t>2017, 8(15), 24840-24852.</w:t>
      </w:r>
    </w:p>
    <w:p w:rsidR="006F53C9" w:rsidRDefault="006F53C9" w:rsidP="006F53C9">
      <w:pPr>
        <w:spacing w:before="120" w:after="240"/>
        <w:ind w:firstLine="0"/>
        <w:rPr>
          <w:rFonts w:eastAsia="Calibri" w:cs="Times New Roman"/>
          <w:szCs w:val="24"/>
        </w:rPr>
      </w:pPr>
      <w:r w:rsidRPr="00C93004">
        <w:rPr>
          <w:rFonts w:eastAsia="Calibri" w:cs="Times New Roman"/>
          <w:b/>
          <w:szCs w:val="24"/>
        </w:rPr>
        <w:t>Dakubo GD</w:t>
      </w:r>
      <w:r w:rsidRPr="00C93004">
        <w:rPr>
          <w:rFonts w:eastAsia="Calibri" w:cs="Times New Roman"/>
          <w:szCs w:val="24"/>
        </w:rPr>
        <w:t>. The Warburg phenomenon and other metabolic alterations of cancer cells. In: Mitochondrial genetics and cancer. Springer-Verlag, Heidelberg, 2010, 39–66.</w:t>
      </w:r>
    </w:p>
    <w:p w:rsidR="006F53C9" w:rsidRDefault="006F53C9" w:rsidP="006F53C9">
      <w:pPr>
        <w:spacing w:before="120" w:after="240"/>
        <w:ind w:firstLine="0"/>
        <w:rPr>
          <w:rFonts w:eastAsia="Calibri" w:cs="Times New Roman"/>
          <w:szCs w:val="24"/>
        </w:rPr>
      </w:pPr>
      <w:r w:rsidRPr="00C93004">
        <w:rPr>
          <w:rFonts w:eastAsia="Calibri" w:cs="Times New Roman"/>
          <w:b/>
          <w:szCs w:val="24"/>
        </w:rPr>
        <w:t>Dang CV, Semenza GL</w:t>
      </w:r>
      <w:r w:rsidRPr="00C93004">
        <w:rPr>
          <w:rFonts w:eastAsia="Calibri" w:cs="Times New Roman"/>
          <w:szCs w:val="24"/>
        </w:rPr>
        <w:t xml:space="preserve">. Oncogenic alterations of metabolism. </w:t>
      </w:r>
      <w:r w:rsidRPr="00C93004">
        <w:rPr>
          <w:rFonts w:eastAsia="Calibri" w:cs="Times New Roman"/>
          <w:i/>
          <w:szCs w:val="24"/>
        </w:rPr>
        <w:t>Trends in Biochemical Sciences</w:t>
      </w:r>
      <w:r w:rsidRPr="00C93004">
        <w:rPr>
          <w:rFonts w:eastAsia="Calibri" w:cs="Times New Roman"/>
          <w:szCs w:val="24"/>
        </w:rPr>
        <w:t xml:space="preserve"> 1999, 24, 68–72.</w:t>
      </w:r>
    </w:p>
    <w:p w:rsidR="006F53C9" w:rsidRPr="00C93004" w:rsidRDefault="006F53C9" w:rsidP="006F53C9">
      <w:pPr>
        <w:spacing w:before="120" w:after="240"/>
        <w:ind w:firstLine="0"/>
        <w:rPr>
          <w:rFonts w:eastAsia="Calibri" w:cs="Times New Roman"/>
          <w:szCs w:val="24"/>
        </w:rPr>
      </w:pPr>
      <w:r w:rsidRPr="00C93004">
        <w:rPr>
          <w:rFonts w:eastAsia="Calibri" w:cs="Times New Roman"/>
          <w:b/>
          <w:szCs w:val="24"/>
        </w:rPr>
        <w:t xml:space="preserve">Danhier P, Bariski P, Payen VL, Grasso D, Ippolito L, Sonveaux P, Porporato PE. </w:t>
      </w:r>
      <w:r w:rsidRPr="00C93004">
        <w:rPr>
          <w:rFonts w:eastAsia="Calibri" w:cs="Times New Roman"/>
          <w:szCs w:val="24"/>
        </w:rPr>
        <w:t xml:space="preserve">Cancer metabolism in space and time: Beyond the Warburg effect. </w:t>
      </w:r>
      <w:r w:rsidRPr="00C93004">
        <w:rPr>
          <w:rFonts w:eastAsia="Calibri" w:cs="Times New Roman"/>
          <w:i/>
          <w:szCs w:val="24"/>
        </w:rPr>
        <w:t>Biochimica et biophysica acta Bioenergetics</w:t>
      </w:r>
      <w:r w:rsidRPr="00C93004">
        <w:rPr>
          <w:rFonts w:eastAsia="Calibri" w:cs="Times New Roman"/>
          <w:szCs w:val="24"/>
        </w:rPr>
        <w:t xml:space="preserve"> 2017, 1858 (8), 556-572. </w:t>
      </w:r>
    </w:p>
    <w:p w:rsidR="006F53C9" w:rsidRPr="00C93004" w:rsidRDefault="006F53C9" w:rsidP="006F53C9">
      <w:pPr>
        <w:spacing w:before="120" w:after="240"/>
        <w:ind w:firstLine="0"/>
        <w:rPr>
          <w:rFonts w:eastAsia="Calibri" w:cs="Times New Roman"/>
          <w:szCs w:val="24"/>
        </w:rPr>
      </w:pPr>
      <w:r w:rsidRPr="00C93004">
        <w:rPr>
          <w:rFonts w:eastAsia="Calibri" w:cs="Times New Roman"/>
          <w:b/>
          <w:szCs w:val="24"/>
        </w:rPr>
        <w:t>DeBerardinis RJ, Chandel NS.</w:t>
      </w:r>
      <w:r w:rsidRPr="00C93004">
        <w:rPr>
          <w:rFonts w:eastAsia="Calibri" w:cs="Times New Roman"/>
          <w:szCs w:val="24"/>
        </w:rPr>
        <w:t xml:space="preserve"> Fundamentals of cancer metabolism. </w:t>
      </w:r>
      <w:r w:rsidRPr="00C93004">
        <w:rPr>
          <w:rFonts w:eastAsia="Calibri" w:cs="Times New Roman"/>
          <w:i/>
          <w:szCs w:val="24"/>
        </w:rPr>
        <w:t>Science Advances</w:t>
      </w:r>
      <w:r w:rsidRPr="00C93004">
        <w:rPr>
          <w:rFonts w:eastAsia="Calibri" w:cs="Times New Roman"/>
          <w:szCs w:val="24"/>
        </w:rPr>
        <w:t xml:space="preserve"> 2016, 2, e1600200. </w:t>
      </w:r>
    </w:p>
    <w:p w:rsidR="006F53C9" w:rsidRDefault="006F53C9" w:rsidP="006F53C9">
      <w:pPr>
        <w:spacing w:before="120" w:after="240"/>
        <w:ind w:firstLine="0"/>
        <w:rPr>
          <w:rFonts w:eastAsia="Calibri" w:cs="Times New Roman"/>
          <w:szCs w:val="24"/>
        </w:rPr>
      </w:pPr>
      <w:r w:rsidRPr="00C93004">
        <w:rPr>
          <w:rFonts w:eastAsia="Calibri" w:cs="Times New Roman"/>
          <w:b/>
          <w:szCs w:val="24"/>
        </w:rPr>
        <w:t>DeBerardinis RJ, Lum JJ, Hatzivassiliou G and Thompson CB.</w:t>
      </w:r>
      <w:r w:rsidRPr="00C93004">
        <w:rPr>
          <w:rFonts w:ascii="Calibri" w:eastAsia="Calibri" w:hAnsi="Calibri" w:cs="Times New Roman"/>
          <w:sz w:val="22"/>
        </w:rPr>
        <w:t xml:space="preserve"> </w:t>
      </w:r>
      <w:r w:rsidRPr="00C93004">
        <w:rPr>
          <w:rFonts w:eastAsia="Calibri" w:cs="Times New Roman"/>
          <w:szCs w:val="24"/>
        </w:rPr>
        <w:t xml:space="preserve">The Biology of Cancer: Metabolic Reprogramming Fuels Cell Growth and Proliferation. </w:t>
      </w:r>
      <w:r w:rsidRPr="00C93004">
        <w:rPr>
          <w:rFonts w:eastAsia="Calibri" w:cs="Times New Roman"/>
          <w:i/>
          <w:szCs w:val="24"/>
        </w:rPr>
        <w:t>Cell Metabolism</w:t>
      </w:r>
      <w:r w:rsidRPr="00C93004">
        <w:rPr>
          <w:rFonts w:eastAsia="Calibri" w:cs="Times New Roman"/>
          <w:szCs w:val="24"/>
        </w:rPr>
        <w:t xml:space="preserve"> 2008, 7(1),11-20.</w:t>
      </w:r>
    </w:p>
    <w:p w:rsidR="00193A10" w:rsidRDefault="006F53C9" w:rsidP="006F53C9">
      <w:pPr>
        <w:spacing w:before="120" w:after="240"/>
        <w:ind w:firstLine="0"/>
        <w:rPr>
          <w:rFonts w:eastAsia="Calibri" w:cs="Times New Roman"/>
          <w:szCs w:val="24"/>
        </w:rPr>
      </w:pPr>
      <w:r w:rsidRPr="005D0C54">
        <w:rPr>
          <w:rFonts w:eastAsia="Calibri" w:cs="Times New Roman"/>
          <w:b/>
          <w:szCs w:val="24"/>
        </w:rPr>
        <w:t>Deberardinis RJ, Sayed N, Ditsworth D, Thompson CB.</w:t>
      </w:r>
      <w:r w:rsidRPr="005D0C54">
        <w:rPr>
          <w:rFonts w:asciiTheme="majorHAnsi" w:eastAsiaTheme="majorEastAsia" w:hAnsiTheme="majorHAnsi" w:cstheme="majorBidi"/>
          <w:b/>
          <w:bCs/>
          <w:color w:val="365F91" w:themeColor="accent1" w:themeShade="BF"/>
          <w:sz w:val="28"/>
          <w:szCs w:val="28"/>
        </w:rPr>
        <w:t xml:space="preserve"> </w:t>
      </w:r>
      <w:r w:rsidRPr="005D0C54">
        <w:rPr>
          <w:rFonts w:eastAsia="Calibri" w:cs="Times New Roman"/>
          <w:szCs w:val="24"/>
        </w:rPr>
        <w:t xml:space="preserve">Brick by brick: metabolism and tumor cell growth. </w:t>
      </w:r>
      <w:r w:rsidRPr="005D0C54">
        <w:rPr>
          <w:rFonts w:eastAsia="Calibri" w:cs="Times New Roman"/>
          <w:i/>
          <w:szCs w:val="24"/>
        </w:rPr>
        <w:t>Current opinion in genetics &amp; development</w:t>
      </w:r>
      <w:r w:rsidRPr="005D0C54">
        <w:rPr>
          <w:rFonts w:eastAsia="Calibri" w:cs="Times New Roman"/>
          <w:szCs w:val="24"/>
        </w:rPr>
        <w:t xml:space="preserve"> 2008, 18, 54-61.</w:t>
      </w:r>
    </w:p>
    <w:p w:rsidR="006F53C9" w:rsidRPr="00193A10" w:rsidRDefault="006F53C9" w:rsidP="006F53C9">
      <w:pPr>
        <w:spacing w:before="120" w:after="240"/>
        <w:ind w:firstLine="0"/>
        <w:rPr>
          <w:rFonts w:eastAsia="Calibri" w:cs="Times New Roman"/>
          <w:szCs w:val="24"/>
        </w:rPr>
      </w:pPr>
      <w:r w:rsidRPr="005D0C54">
        <w:rPr>
          <w:b/>
          <w:bCs/>
          <w:szCs w:val="24"/>
        </w:rPr>
        <w:lastRenderedPageBreak/>
        <w:t>Dehne N, Hintereder G, Brüne B.</w:t>
      </w:r>
      <w:r w:rsidRPr="00F71E77">
        <w:rPr>
          <w:rFonts w:eastAsia="Calibri" w:cs="Times New Roman"/>
          <w:b/>
          <w:bCs/>
          <w:szCs w:val="24"/>
        </w:rPr>
        <w:t xml:space="preserve"> </w:t>
      </w:r>
      <w:r w:rsidRPr="005D0C54">
        <w:rPr>
          <w:rFonts w:eastAsia="Calibri" w:cs="Times New Roman"/>
          <w:bCs/>
          <w:szCs w:val="24"/>
        </w:rPr>
        <w:t xml:space="preserve">High glucose concentrations attenuate hypoxia-inducible factor-1α expression and signaling in non-tumor cells. </w:t>
      </w:r>
      <w:r w:rsidRPr="005D0C54">
        <w:rPr>
          <w:rFonts w:eastAsia="Calibri" w:cs="Times New Roman"/>
          <w:bCs/>
          <w:i/>
          <w:szCs w:val="24"/>
        </w:rPr>
        <w:t>Experimental Cell Research</w:t>
      </w:r>
      <w:r w:rsidRPr="005D0C54">
        <w:rPr>
          <w:rFonts w:eastAsia="Calibri" w:cs="Times New Roman"/>
          <w:bCs/>
          <w:szCs w:val="24"/>
        </w:rPr>
        <w:t xml:space="preserve"> 2010, 316 (7), 1179-1189</w:t>
      </w:r>
      <w:r>
        <w:rPr>
          <w:rFonts w:eastAsia="Calibri" w:cs="Times New Roman"/>
          <w:bCs/>
          <w:szCs w:val="24"/>
        </w:rPr>
        <w:t>.</w:t>
      </w:r>
    </w:p>
    <w:p w:rsidR="006F53C9" w:rsidRPr="005D0C54" w:rsidRDefault="006F53C9" w:rsidP="006F53C9">
      <w:pPr>
        <w:spacing w:before="120" w:after="240"/>
        <w:ind w:firstLine="0"/>
        <w:rPr>
          <w:rFonts w:eastAsia="Calibri" w:cs="Times New Roman"/>
          <w:bCs/>
          <w:szCs w:val="24"/>
        </w:rPr>
      </w:pPr>
      <w:r w:rsidRPr="005D0C54">
        <w:rPr>
          <w:rFonts w:eastAsia="Calibri" w:cs="Times New Roman"/>
          <w:b/>
          <w:bCs/>
          <w:szCs w:val="24"/>
        </w:rPr>
        <w:t>DeSantis CE, Fedewa SA, Goding Sauer A, Kramer JL, Smith RA, Jemal A.</w:t>
      </w:r>
      <w:r w:rsidRPr="005D0C54">
        <w:rPr>
          <w:rFonts w:eastAsia="Calibri" w:cs="Times New Roman"/>
          <w:bCs/>
          <w:szCs w:val="24"/>
        </w:rPr>
        <w:t xml:space="preserve"> Breast cancer statistics, 2015: Convergence of incidence rates between black and white women. CA: A Cancer Journal for Clinicians 2016, 66, 31-42.</w:t>
      </w:r>
    </w:p>
    <w:p w:rsidR="006F53C9" w:rsidRDefault="006F53C9" w:rsidP="006F53C9">
      <w:pPr>
        <w:keepNext/>
        <w:keepLines/>
        <w:shd w:val="clear" w:color="auto" w:fill="FFFFFF"/>
        <w:spacing w:before="120" w:after="240"/>
        <w:ind w:firstLine="0"/>
        <w:outlineLvl w:val="0"/>
        <w:rPr>
          <w:rFonts w:eastAsia="Calibri" w:cs="Times New Roman"/>
          <w:bCs/>
          <w:szCs w:val="24"/>
        </w:rPr>
      </w:pPr>
      <w:r w:rsidRPr="005D0C54">
        <w:rPr>
          <w:rFonts w:eastAsia="Calibri" w:cs="Times New Roman"/>
          <w:b/>
          <w:bCs/>
          <w:szCs w:val="24"/>
        </w:rPr>
        <w:t>Dhup S, Dadhich RK, Porporato PE, Sonveaux P.</w:t>
      </w:r>
      <w:r w:rsidRPr="005D0C54">
        <w:rPr>
          <w:rFonts w:eastAsia="Calibri" w:cs="Times New Roman"/>
          <w:bCs/>
          <w:szCs w:val="24"/>
        </w:rPr>
        <w:t xml:space="preserve"> Multiple biological activities of lactic acid in cancer: influences on tumor growth, angiogenesis and metastasis. Current Pharmaceutical Design 2012,10, 1319-1330.</w:t>
      </w:r>
    </w:p>
    <w:p w:rsidR="006F53C9" w:rsidRPr="005D0C54" w:rsidRDefault="006F53C9" w:rsidP="006F53C9">
      <w:pPr>
        <w:keepNext/>
        <w:keepLines/>
        <w:shd w:val="clear" w:color="auto" w:fill="FFFFFF"/>
        <w:spacing w:before="120" w:after="240"/>
        <w:ind w:firstLine="0"/>
        <w:outlineLvl w:val="0"/>
        <w:rPr>
          <w:rFonts w:eastAsia="Calibri" w:cs="Times New Roman"/>
          <w:szCs w:val="24"/>
        </w:rPr>
      </w:pPr>
      <w:r w:rsidRPr="005D0C54">
        <w:rPr>
          <w:rFonts w:eastAsia="Calibri" w:cs="Times New Roman"/>
          <w:b/>
          <w:szCs w:val="24"/>
        </w:rPr>
        <w:t>Doherty JR, Cleveland JL.</w:t>
      </w:r>
      <w:r w:rsidRPr="005D0C54">
        <w:rPr>
          <w:rFonts w:eastAsia="Calibri" w:cs="Times New Roman"/>
          <w:szCs w:val="24"/>
        </w:rPr>
        <w:t xml:space="preserve"> Targeting lactate metabolism for cancer therapeutics. </w:t>
      </w:r>
      <w:r w:rsidRPr="005D0C54">
        <w:rPr>
          <w:rFonts w:eastAsia="Calibri" w:cs="Times New Roman"/>
          <w:i/>
          <w:szCs w:val="24"/>
        </w:rPr>
        <w:t>The Journal of Clinical Investigation</w:t>
      </w:r>
      <w:r w:rsidRPr="005D0C54">
        <w:rPr>
          <w:rFonts w:eastAsia="Calibri" w:cs="Times New Roman"/>
          <w:szCs w:val="24"/>
        </w:rPr>
        <w:t xml:space="preserve"> 2013, 123(9),3685-3692.</w:t>
      </w:r>
    </w:p>
    <w:p w:rsidR="006F53C9" w:rsidRPr="005D0C54" w:rsidRDefault="006F53C9" w:rsidP="006F53C9">
      <w:pPr>
        <w:spacing w:before="120" w:after="240"/>
        <w:ind w:firstLine="0"/>
        <w:rPr>
          <w:rFonts w:eastAsia="Calibri" w:cs="Times New Roman"/>
          <w:szCs w:val="24"/>
        </w:rPr>
      </w:pPr>
      <w:r w:rsidRPr="005D0C54">
        <w:rPr>
          <w:rFonts w:eastAsiaTheme="majorEastAsia" w:cs="Times New Roman"/>
          <w:b/>
          <w:bCs/>
          <w:szCs w:val="24"/>
        </w:rPr>
        <w:t>Dong W, Keibler MA, Stephanopoulos G.</w:t>
      </w:r>
      <w:r w:rsidRPr="005D0C54">
        <w:rPr>
          <w:rFonts w:eastAsia="Calibri" w:cs="Times New Roman"/>
          <w:szCs w:val="24"/>
        </w:rPr>
        <w:t xml:space="preserve"> Review of metabolic pathways activated in cancer cells as determinedthrough isotopic labeling and network analysis. </w:t>
      </w:r>
      <w:r w:rsidRPr="005D0C54">
        <w:rPr>
          <w:rFonts w:eastAsia="Calibri" w:cs="Times New Roman"/>
          <w:i/>
          <w:szCs w:val="24"/>
        </w:rPr>
        <w:t>Metabolic Engineering</w:t>
      </w:r>
      <w:r w:rsidRPr="005D0C54">
        <w:rPr>
          <w:rFonts w:eastAsia="Calibri" w:cs="Times New Roman"/>
          <w:szCs w:val="24"/>
        </w:rPr>
        <w:t xml:space="preserve"> 2017, 43, 113-124. </w:t>
      </w:r>
    </w:p>
    <w:p w:rsidR="006F53C9" w:rsidRPr="006F53C9" w:rsidRDefault="0037177D" w:rsidP="006F53C9">
      <w:pPr>
        <w:spacing w:before="120" w:after="240"/>
        <w:ind w:firstLine="0"/>
        <w:rPr>
          <w:rFonts w:eastAsia="Calibri" w:cs="Times New Roman"/>
          <w:szCs w:val="24"/>
        </w:rPr>
      </w:pPr>
      <w:hyperlink r:id="rId257" w:history="1">
        <w:r w:rsidR="006F53C9" w:rsidRPr="006F53C9">
          <w:rPr>
            <w:rFonts w:eastAsia="Calibri" w:cs="Times New Roman"/>
            <w:b/>
            <w:szCs w:val="24"/>
          </w:rPr>
          <w:t>Draoui N</w:t>
        </w:r>
      </w:hyperlink>
      <w:r w:rsidR="006F53C9" w:rsidRPr="006F53C9">
        <w:rPr>
          <w:rFonts w:eastAsia="Calibri" w:cs="Times New Roman"/>
          <w:b/>
          <w:szCs w:val="24"/>
        </w:rPr>
        <w:t>, </w:t>
      </w:r>
      <w:hyperlink r:id="rId258" w:history="1">
        <w:r w:rsidR="006F53C9" w:rsidRPr="006F53C9">
          <w:rPr>
            <w:rFonts w:eastAsia="Calibri" w:cs="Times New Roman"/>
            <w:b/>
            <w:szCs w:val="24"/>
          </w:rPr>
          <w:t>Feron O</w:t>
        </w:r>
      </w:hyperlink>
      <w:r w:rsidR="006F53C9" w:rsidRPr="006F53C9">
        <w:rPr>
          <w:rFonts w:eastAsia="Calibri" w:cs="Times New Roman"/>
          <w:b/>
          <w:szCs w:val="24"/>
        </w:rPr>
        <w:t xml:space="preserve">. </w:t>
      </w:r>
      <w:r w:rsidR="006F53C9" w:rsidRPr="006F53C9">
        <w:rPr>
          <w:rFonts w:eastAsia="Calibri" w:cs="Times New Roman"/>
          <w:szCs w:val="24"/>
        </w:rPr>
        <w:t xml:space="preserve">Lactate shuttles at a glance: from physiological paradigms toanti-cancer treatments. </w:t>
      </w:r>
      <w:r w:rsidR="006F53C9" w:rsidRPr="006F53C9">
        <w:rPr>
          <w:rFonts w:eastAsia="Calibri" w:cs="Times New Roman"/>
          <w:i/>
          <w:szCs w:val="24"/>
        </w:rPr>
        <w:t>Disease Models&amp; Mechanism</w:t>
      </w:r>
      <w:r w:rsidR="006F53C9" w:rsidRPr="006F53C9">
        <w:rPr>
          <w:rFonts w:eastAsia="Calibri" w:cs="Times New Roman"/>
          <w:szCs w:val="24"/>
        </w:rPr>
        <w:t xml:space="preserve"> 2011, 4 (6), 727–732.</w:t>
      </w:r>
    </w:p>
    <w:p w:rsidR="006F53C9" w:rsidRPr="005D0C54" w:rsidRDefault="006F53C9" w:rsidP="006F53C9">
      <w:pPr>
        <w:spacing w:before="120" w:after="240"/>
        <w:ind w:firstLine="0"/>
        <w:rPr>
          <w:rFonts w:eastAsia="Calibri" w:cs="Times New Roman"/>
          <w:szCs w:val="24"/>
        </w:rPr>
      </w:pPr>
      <w:r w:rsidRPr="005D0C54">
        <w:rPr>
          <w:rFonts w:eastAsia="Calibri" w:cs="Times New Roman"/>
          <w:b/>
          <w:szCs w:val="24"/>
        </w:rPr>
        <w:t>Eales KL, Hollinshead KER, Tennant DA.</w:t>
      </w:r>
      <w:r w:rsidRPr="005D0C54">
        <w:rPr>
          <w:rFonts w:eastAsia="Calibri" w:cs="Times New Roman"/>
          <w:szCs w:val="24"/>
        </w:rPr>
        <w:t xml:space="preserve"> Hypoxia and metabolic adaptation of cancer cells. </w:t>
      </w:r>
      <w:r w:rsidRPr="005D0C54">
        <w:rPr>
          <w:rFonts w:eastAsia="Calibri" w:cs="Times New Roman"/>
          <w:i/>
          <w:szCs w:val="24"/>
        </w:rPr>
        <w:t>Oncogenesis</w:t>
      </w:r>
      <w:r w:rsidRPr="005D0C54">
        <w:rPr>
          <w:rFonts w:eastAsia="Calibri" w:cs="Times New Roman"/>
          <w:szCs w:val="24"/>
        </w:rPr>
        <w:t xml:space="preserve"> 2016,  5, e190.</w:t>
      </w:r>
    </w:p>
    <w:p w:rsidR="006F53C9" w:rsidRPr="005D0C54" w:rsidRDefault="006F53C9" w:rsidP="006F53C9">
      <w:pPr>
        <w:spacing w:before="120" w:after="240"/>
        <w:ind w:firstLine="0"/>
        <w:rPr>
          <w:rFonts w:eastAsia="Calibri" w:cs="Times New Roman"/>
          <w:szCs w:val="24"/>
        </w:rPr>
      </w:pPr>
      <w:r w:rsidRPr="005D0C54">
        <w:rPr>
          <w:rFonts w:eastAsiaTheme="majorEastAsia" w:cs="Times New Roman"/>
          <w:b/>
          <w:bCs/>
          <w:szCs w:val="24"/>
        </w:rPr>
        <w:t>El-Bacha T, de Freitas MS, Sola-Penna M.</w:t>
      </w:r>
      <w:r w:rsidRPr="005D0C54">
        <w:rPr>
          <w:rFonts w:ascii="Calibri" w:eastAsia="Calibri" w:hAnsi="Calibri" w:cs="Times New Roman"/>
          <w:sz w:val="22"/>
        </w:rPr>
        <w:t xml:space="preserve"> </w:t>
      </w:r>
      <w:r w:rsidRPr="005D0C54">
        <w:rPr>
          <w:rFonts w:eastAsia="Calibri" w:cs="Times New Roman"/>
          <w:szCs w:val="24"/>
        </w:rPr>
        <w:t xml:space="preserve">Cellular distribution of phosphofructokinase activity and implications to metabolic regulation in human breast cancer. </w:t>
      </w:r>
      <w:r w:rsidRPr="005D0C54">
        <w:rPr>
          <w:rFonts w:eastAsia="Calibri" w:cs="Times New Roman"/>
          <w:i/>
          <w:szCs w:val="24"/>
        </w:rPr>
        <w:t>Molecular genetics and metabolism</w:t>
      </w:r>
      <w:r w:rsidRPr="005D0C54">
        <w:rPr>
          <w:rFonts w:eastAsia="Calibri" w:cs="Times New Roman"/>
          <w:szCs w:val="24"/>
        </w:rPr>
        <w:t xml:space="preserve"> 2003, 79, 294-299. </w:t>
      </w:r>
    </w:p>
    <w:p w:rsidR="005A477F" w:rsidRDefault="006F53C9" w:rsidP="005A477F">
      <w:pPr>
        <w:spacing w:before="120" w:after="240"/>
        <w:ind w:firstLine="0"/>
        <w:rPr>
          <w:rFonts w:eastAsia="Calibri" w:cs="Times New Roman"/>
          <w:b/>
          <w:bCs/>
          <w:szCs w:val="24"/>
        </w:rPr>
      </w:pPr>
      <w:r w:rsidRPr="005D0C54">
        <w:rPr>
          <w:rFonts w:eastAsia="Calibri" w:cs="Times New Roman"/>
          <w:b/>
          <w:bCs/>
          <w:szCs w:val="24"/>
        </w:rPr>
        <w:t>Elstrom RL, Bauder DE, Buzzai M, Karnauskas R, Harris MH, Plas DR, Zhuang H, Cinalli RM, Alavi A, Rudin CM, Thompson CB.</w:t>
      </w:r>
      <w:r w:rsidRPr="005D0C54">
        <w:rPr>
          <w:rFonts w:eastAsia="Calibri" w:cs="Times New Roman"/>
          <w:szCs w:val="24"/>
        </w:rPr>
        <w:t xml:space="preserve">  </w:t>
      </w:r>
      <w:r w:rsidRPr="005D0C54">
        <w:rPr>
          <w:rFonts w:eastAsia="Calibri" w:cs="Times New Roman"/>
          <w:bCs/>
          <w:szCs w:val="24"/>
        </w:rPr>
        <w:t xml:space="preserve">Akt stimulates aerobic glycolysis in cancer cells. </w:t>
      </w:r>
      <w:r w:rsidRPr="005D0C54">
        <w:rPr>
          <w:rFonts w:eastAsia="Calibri" w:cs="Times New Roman"/>
          <w:bCs/>
          <w:i/>
          <w:szCs w:val="24"/>
        </w:rPr>
        <w:t>Cancer research</w:t>
      </w:r>
      <w:r w:rsidRPr="005D0C54">
        <w:rPr>
          <w:rFonts w:eastAsia="Calibri" w:cs="Times New Roman"/>
          <w:bCs/>
          <w:szCs w:val="24"/>
        </w:rPr>
        <w:t xml:space="preserve"> 2004, 64 (11), 3892-3899.</w:t>
      </w:r>
      <w:r w:rsidRPr="005D0C54">
        <w:rPr>
          <w:rFonts w:eastAsia="Calibri" w:cs="Times New Roman"/>
          <w:b/>
          <w:bCs/>
          <w:szCs w:val="24"/>
        </w:rPr>
        <w:t xml:space="preserve"> </w:t>
      </w:r>
    </w:p>
    <w:p w:rsidR="006F53C9" w:rsidRPr="005A477F" w:rsidRDefault="0037177D" w:rsidP="005A477F">
      <w:pPr>
        <w:spacing w:before="120" w:after="240"/>
        <w:ind w:firstLine="0"/>
        <w:rPr>
          <w:rFonts w:eastAsia="Calibri" w:cs="Times New Roman"/>
          <w:b/>
          <w:bCs/>
          <w:szCs w:val="24"/>
        </w:rPr>
      </w:pPr>
      <w:hyperlink r:id="rId259" w:history="1">
        <w:r w:rsidR="006F53C9" w:rsidRPr="00893637">
          <w:rPr>
            <w:b/>
            <w:szCs w:val="24"/>
          </w:rPr>
          <w:t>Estrella V</w:t>
        </w:r>
      </w:hyperlink>
      <w:r w:rsidR="006F53C9" w:rsidRPr="00893637">
        <w:rPr>
          <w:b/>
          <w:szCs w:val="24"/>
        </w:rPr>
        <w:t>, </w:t>
      </w:r>
      <w:hyperlink r:id="rId260" w:history="1">
        <w:r w:rsidR="006F53C9" w:rsidRPr="00893637">
          <w:rPr>
            <w:b/>
            <w:szCs w:val="24"/>
          </w:rPr>
          <w:t>Chen T</w:t>
        </w:r>
      </w:hyperlink>
      <w:r w:rsidR="006F53C9" w:rsidRPr="00893637">
        <w:rPr>
          <w:b/>
          <w:szCs w:val="24"/>
        </w:rPr>
        <w:t>, </w:t>
      </w:r>
      <w:hyperlink r:id="rId261" w:history="1">
        <w:r w:rsidR="006F53C9" w:rsidRPr="00893637">
          <w:rPr>
            <w:b/>
            <w:szCs w:val="24"/>
          </w:rPr>
          <w:t>Lloyd M</w:t>
        </w:r>
      </w:hyperlink>
      <w:r w:rsidR="006F53C9" w:rsidRPr="00893637">
        <w:rPr>
          <w:b/>
          <w:szCs w:val="24"/>
        </w:rPr>
        <w:t>, </w:t>
      </w:r>
      <w:hyperlink r:id="rId262" w:history="1">
        <w:r w:rsidR="006F53C9" w:rsidRPr="00893637">
          <w:rPr>
            <w:b/>
            <w:szCs w:val="24"/>
          </w:rPr>
          <w:t>Wojtkowiak J</w:t>
        </w:r>
      </w:hyperlink>
      <w:r w:rsidR="006F53C9" w:rsidRPr="00893637">
        <w:rPr>
          <w:b/>
          <w:szCs w:val="24"/>
        </w:rPr>
        <w:t>, </w:t>
      </w:r>
      <w:hyperlink r:id="rId263" w:history="1">
        <w:r w:rsidR="006F53C9" w:rsidRPr="00893637">
          <w:rPr>
            <w:b/>
            <w:szCs w:val="24"/>
          </w:rPr>
          <w:t>Cornnell HH</w:t>
        </w:r>
      </w:hyperlink>
      <w:r w:rsidR="006F53C9" w:rsidRPr="00893637">
        <w:rPr>
          <w:b/>
          <w:szCs w:val="24"/>
        </w:rPr>
        <w:t>, </w:t>
      </w:r>
      <w:hyperlink r:id="rId264" w:history="1">
        <w:r w:rsidR="006F53C9" w:rsidRPr="00893637">
          <w:rPr>
            <w:b/>
            <w:szCs w:val="24"/>
          </w:rPr>
          <w:t>Ibrahim-Hashim A</w:t>
        </w:r>
      </w:hyperlink>
      <w:r w:rsidR="006F53C9" w:rsidRPr="00893637">
        <w:rPr>
          <w:b/>
          <w:szCs w:val="24"/>
        </w:rPr>
        <w:t>, </w:t>
      </w:r>
      <w:hyperlink r:id="rId265" w:history="1">
        <w:r w:rsidR="006F53C9" w:rsidRPr="00893637">
          <w:rPr>
            <w:b/>
            <w:szCs w:val="24"/>
          </w:rPr>
          <w:t>Bailey K</w:t>
        </w:r>
      </w:hyperlink>
      <w:r w:rsidR="006F53C9" w:rsidRPr="00893637">
        <w:rPr>
          <w:b/>
          <w:szCs w:val="24"/>
        </w:rPr>
        <w:t>, </w:t>
      </w:r>
      <w:hyperlink r:id="rId266" w:history="1">
        <w:r w:rsidR="006F53C9" w:rsidRPr="00893637">
          <w:rPr>
            <w:b/>
            <w:szCs w:val="24"/>
          </w:rPr>
          <w:t>Balagurunathan Y</w:t>
        </w:r>
      </w:hyperlink>
      <w:r w:rsidR="006F53C9" w:rsidRPr="00893637">
        <w:rPr>
          <w:b/>
          <w:szCs w:val="24"/>
        </w:rPr>
        <w:t>, </w:t>
      </w:r>
      <w:hyperlink r:id="rId267" w:history="1">
        <w:r w:rsidR="006F53C9" w:rsidRPr="00893637">
          <w:rPr>
            <w:b/>
            <w:szCs w:val="24"/>
          </w:rPr>
          <w:t>Rothberg JM</w:t>
        </w:r>
      </w:hyperlink>
      <w:r w:rsidR="006F53C9" w:rsidRPr="00893637">
        <w:rPr>
          <w:b/>
          <w:szCs w:val="24"/>
        </w:rPr>
        <w:t>, </w:t>
      </w:r>
      <w:hyperlink r:id="rId268" w:history="1">
        <w:r w:rsidR="006F53C9" w:rsidRPr="00893637">
          <w:rPr>
            <w:b/>
            <w:szCs w:val="24"/>
          </w:rPr>
          <w:t>Sloane BF</w:t>
        </w:r>
      </w:hyperlink>
      <w:r w:rsidR="006F53C9" w:rsidRPr="00893637">
        <w:rPr>
          <w:b/>
          <w:szCs w:val="24"/>
        </w:rPr>
        <w:t>, </w:t>
      </w:r>
      <w:hyperlink r:id="rId269" w:history="1">
        <w:r w:rsidR="006F53C9" w:rsidRPr="00893637">
          <w:rPr>
            <w:b/>
            <w:szCs w:val="24"/>
          </w:rPr>
          <w:t>Johnson J</w:t>
        </w:r>
      </w:hyperlink>
      <w:r w:rsidR="006F53C9" w:rsidRPr="00893637">
        <w:rPr>
          <w:b/>
          <w:szCs w:val="24"/>
        </w:rPr>
        <w:t>, </w:t>
      </w:r>
      <w:hyperlink r:id="rId270" w:history="1">
        <w:r w:rsidR="006F53C9" w:rsidRPr="00893637">
          <w:rPr>
            <w:b/>
            <w:szCs w:val="24"/>
          </w:rPr>
          <w:t>Gatenby RA</w:t>
        </w:r>
      </w:hyperlink>
      <w:r w:rsidR="006F53C9" w:rsidRPr="00893637">
        <w:rPr>
          <w:b/>
          <w:szCs w:val="24"/>
        </w:rPr>
        <w:t>, </w:t>
      </w:r>
      <w:hyperlink r:id="rId271" w:history="1">
        <w:r w:rsidR="006F53C9" w:rsidRPr="00893637">
          <w:rPr>
            <w:b/>
            <w:szCs w:val="24"/>
          </w:rPr>
          <w:t>Gillies RJ</w:t>
        </w:r>
      </w:hyperlink>
      <w:r w:rsidR="006F53C9" w:rsidRPr="00893637">
        <w:rPr>
          <w:b/>
          <w:szCs w:val="24"/>
        </w:rPr>
        <w:t>.</w:t>
      </w:r>
      <w:r w:rsidR="006F53C9" w:rsidRPr="00FB4E12">
        <w:rPr>
          <w:szCs w:val="24"/>
        </w:rPr>
        <w:t xml:space="preserve"> </w:t>
      </w:r>
      <w:r w:rsidR="006F53C9" w:rsidRPr="00893637">
        <w:rPr>
          <w:bCs/>
          <w:szCs w:val="24"/>
        </w:rPr>
        <w:t xml:space="preserve">Acidity generated by the tumor microenvironment drives local invasion. </w:t>
      </w:r>
      <w:r w:rsidR="006F53C9" w:rsidRPr="00893637">
        <w:rPr>
          <w:bCs/>
          <w:i/>
          <w:szCs w:val="24"/>
        </w:rPr>
        <w:t>Cancer Research</w:t>
      </w:r>
      <w:r w:rsidR="006F53C9" w:rsidRPr="00893637">
        <w:rPr>
          <w:bCs/>
          <w:szCs w:val="24"/>
        </w:rPr>
        <w:t xml:space="preserve"> 2013, 73(5),1524-1535</w:t>
      </w:r>
      <w:r w:rsidR="006F53C9">
        <w:rPr>
          <w:bCs/>
          <w:szCs w:val="24"/>
        </w:rPr>
        <w:t>.</w:t>
      </w:r>
    </w:p>
    <w:p w:rsidR="006F53C9" w:rsidRPr="005D0C54" w:rsidRDefault="006F53C9" w:rsidP="006F53C9">
      <w:pPr>
        <w:spacing w:before="120" w:after="240"/>
        <w:ind w:firstLine="0"/>
        <w:rPr>
          <w:rFonts w:eastAsia="Calibri" w:cs="Times New Roman"/>
          <w:bCs/>
          <w:szCs w:val="24"/>
        </w:rPr>
      </w:pPr>
      <w:r w:rsidRPr="005D0C54">
        <w:rPr>
          <w:rFonts w:eastAsia="Calibri" w:cs="Times New Roman"/>
          <w:b/>
          <w:bCs/>
          <w:szCs w:val="24"/>
        </w:rPr>
        <w:lastRenderedPageBreak/>
        <w:t xml:space="preserve">Fadaka A, Ajiboye B, Ojo O, Adewale O, Olayide I, Emuowhochere R. </w:t>
      </w:r>
      <w:r w:rsidRPr="005D0C54">
        <w:rPr>
          <w:rFonts w:eastAsia="Calibri" w:cs="Times New Roman"/>
          <w:bCs/>
          <w:szCs w:val="24"/>
        </w:rPr>
        <w:t xml:space="preserve">Biology of glucose metabolization in cancer cells. </w:t>
      </w:r>
      <w:r w:rsidRPr="005D0C54">
        <w:rPr>
          <w:rFonts w:eastAsia="Calibri" w:cs="Times New Roman"/>
          <w:bCs/>
          <w:i/>
          <w:szCs w:val="24"/>
        </w:rPr>
        <w:t>Journal of glucose metabolism</w:t>
      </w:r>
      <w:r w:rsidRPr="005D0C54">
        <w:rPr>
          <w:rFonts w:eastAsia="Calibri" w:cs="Times New Roman"/>
          <w:bCs/>
          <w:szCs w:val="24"/>
        </w:rPr>
        <w:t xml:space="preserve"> 2017, 3(2), 45–51. </w:t>
      </w:r>
    </w:p>
    <w:p w:rsidR="006F53C9" w:rsidRPr="006F53C9" w:rsidRDefault="0037177D" w:rsidP="006F53C9">
      <w:pPr>
        <w:keepNext/>
        <w:keepLines/>
        <w:shd w:val="clear" w:color="auto" w:fill="FFFFFF"/>
        <w:spacing w:before="120" w:after="240"/>
        <w:ind w:firstLine="0"/>
        <w:outlineLvl w:val="0"/>
        <w:rPr>
          <w:rFonts w:eastAsia="Calibri" w:cs="Times New Roman"/>
          <w:szCs w:val="24"/>
        </w:rPr>
      </w:pPr>
      <w:hyperlink r:id="rId272" w:history="1">
        <w:r w:rsidR="006F53C9" w:rsidRPr="006F53C9">
          <w:rPr>
            <w:rFonts w:eastAsia="Calibri" w:cs="Times New Roman"/>
            <w:b/>
            <w:szCs w:val="24"/>
          </w:rPr>
          <w:t>Faloppi L</w:t>
        </w:r>
      </w:hyperlink>
      <w:r w:rsidR="006F53C9" w:rsidRPr="006F53C9">
        <w:rPr>
          <w:rFonts w:eastAsia="Calibri" w:cs="Times New Roman"/>
          <w:b/>
          <w:szCs w:val="24"/>
        </w:rPr>
        <w:t>, </w:t>
      </w:r>
      <w:hyperlink r:id="rId273" w:history="1">
        <w:r w:rsidR="006F53C9" w:rsidRPr="006F53C9">
          <w:rPr>
            <w:rFonts w:eastAsia="Calibri" w:cs="Times New Roman"/>
            <w:b/>
            <w:szCs w:val="24"/>
          </w:rPr>
          <w:t>Bianconi M</w:t>
        </w:r>
      </w:hyperlink>
      <w:r w:rsidR="006F53C9" w:rsidRPr="006F53C9">
        <w:rPr>
          <w:rFonts w:eastAsia="Calibri" w:cs="Times New Roman"/>
          <w:b/>
          <w:szCs w:val="24"/>
        </w:rPr>
        <w:t>, </w:t>
      </w:r>
      <w:hyperlink r:id="rId274" w:history="1">
        <w:r w:rsidR="006F53C9" w:rsidRPr="006F53C9">
          <w:rPr>
            <w:rFonts w:eastAsia="Calibri" w:cs="Times New Roman"/>
            <w:b/>
            <w:szCs w:val="24"/>
          </w:rPr>
          <w:t>Memeo R</w:t>
        </w:r>
      </w:hyperlink>
      <w:r w:rsidR="006F53C9" w:rsidRPr="006F53C9">
        <w:rPr>
          <w:rFonts w:eastAsia="Calibri" w:cs="Times New Roman"/>
          <w:b/>
          <w:szCs w:val="24"/>
        </w:rPr>
        <w:t>, </w:t>
      </w:r>
      <w:hyperlink r:id="rId275" w:history="1">
        <w:r w:rsidR="006F53C9" w:rsidRPr="006F53C9">
          <w:rPr>
            <w:rFonts w:eastAsia="Calibri" w:cs="Times New Roman"/>
            <w:b/>
            <w:szCs w:val="24"/>
          </w:rPr>
          <w:t>Casadei Gardini A</w:t>
        </w:r>
      </w:hyperlink>
      <w:r w:rsidR="006F53C9" w:rsidRPr="006F53C9">
        <w:rPr>
          <w:rFonts w:eastAsia="Calibri" w:cs="Times New Roman"/>
          <w:b/>
          <w:szCs w:val="24"/>
        </w:rPr>
        <w:t>, </w:t>
      </w:r>
      <w:hyperlink r:id="rId276" w:history="1">
        <w:r w:rsidR="006F53C9" w:rsidRPr="006F53C9">
          <w:rPr>
            <w:rFonts w:eastAsia="Calibri" w:cs="Times New Roman"/>
            <w:b/>
            <w:szCs w:val="24"/>
          </w:rPr>
          <w:t>Giampieri R</w:t>
        </w:r>
      </w:hyperlink>
      <w:r w:rsidR="006F53C9" w:rsidRPr="006F53C9">
        <w:rPr>
          <w:rFonts w:eastAsia="Calibri" w:cs="Times New Roman"/>
          <w:b/>
          <w:szCs w:val="24"/>
        </w:rPr>
        <w:t>, </w:t>
      </w:r>
      <w:hyperlink r:id="rId277" w:history="1">
        <w:r w:rsidR="006F53C9" w:rsidRPr="006F53C9">
          <w:rPr>
            <w:rFonts w:eastAsia="Calibri" w:cs="Times New Roman"/>
            <w:b/>
            <w:szCs w:val="24"/>
          </w:rPr>
          <w:t>Bittoni A</w:t>
        </w:r>
      </w:hyperlink>
      <w:r w:rsidR="006F53C9" w:rsidRPr="006F53C9">
        <w:rPr>
          <w:rFonts w:eastAsia="Calibri" w:cs="Times New Roman"/>
          <w:b/>
          <w:szCs w:val="24"/>
        </w:rPr>
        <w:t>, </w:t>
      </w:r>
      <w:hyperlink r:id="rId278" w:history="1">
        <w:r w:rsidR="006F53C9" w:rsidRPr="006F53C9">
          <w:rPr>
            <w:rFonts w:eastAsia="Calibri" w:cs="Times New Roman"/>
            <w:b/>
            <w:szCs w:val="24"/>
          </w:rPr>
          <w:t>Andrikou K</w:t>
        </w:r>
      </w:hyperlink>
      <w:r w:rsidR="006F53C9" w:rsidRPr="006F53C9">
        <w:rPr>
          <w:rFonts w:eastAsia="Calibri" w:cs="Times New Roman"/>
          <w:b/>
          <w:szCs w:val="24"/>
        </w:rPr>
        <w:t>, </w:t>
      </w:r>
      <w:hyperlink r:id="rId279" w:history="1">
        <w:r w:rsidR="006F53C9" w:rsidRPr="006F53C9">
          <w:rPr>
            <w:rFonts w:eastAsia="Calibri" w:cs="Times New Roman"/>
            <w:b/>
            <w:szCs w:val="24"/>
          </w:rPr>
          <w:t>Del Prete M</w:t>
        </w:r>
      </w:hyperlink>
      <w:r w:rsidR="006F53C9" w:rsidRPr="006F53C9">
        <w:rPr>
          <w:rFonts w:eastAsia="Calibri" w:cs="Times New Roman"/>
          <w:b/>
          <w:szCs w:val="24"/>
        </w:rPr>
        <w:t>, </w:t>
      </w:r>
      <w:hyperlink r:id="rId280" w:history="1">
        <w:r w:rsidR="006F53C9" w:rsidRPr="006F53C9">
          <w:rPr>
            <w:rFonts w:eastAsia="Calibri" w:cs="Times New Roman"/>
            <w:b/>
            <w:szCs w:val="24"/>
          </w:rPr>
          <w:t>Cascinu S</w:t>
        </w:r>
      </w:hyperlink>
      <w:r w:rsidR="006F53C9" w:rsidRPr="006F53C9">
        <w:rPr>
          <w:rFonts w:eastAsia="Calibri" w:cs="Times New Roman"/>
          <w:b/>
          <w:szCs w:val="24"/>
        </w:rPr>
        <w:t>, </w:t>
      </w:r>
      <w:hyperlink r:id="rId281" w:history="1">
        <w:r w:rsidR="006F53C9" w:rsidRPr="006F53C9">
          <w:rPr>
            <w:rFonts w:eastAsia="Calibri" w:cs="Times New Roman"/>
            <w:b/>
            <w:szCs w:val="24"/>
          </w:rPr>
          <w:t>Scartozzi M</w:t>
        </w:r>
      </w:hyperlink>
      <w:r w:rsidR="006F53C9" w:rsidRPr="006F53C9">
        <w:rPr>
          <w:rFonts w:eastAsia="Calibri" w:cs="Times New Roman"/>
          <w:b/>
          <w:szCs w:val="24"/>
        </w:rPr>
        <w:t>.</w:t>
      </w:r>
      <w:r w:rsidR="006F53C9" w:rsidRPr="006F53C9">
        <w:rPr>
          <w:rFonts w:eastAsia="Calibri" w:cs="Times New Roman"/>
          <w:szCs w:val="24"/>
        </w:rPr>
        <w:t xml:space="preserve"> Lactate Dehydrogenase in Hepatocellular Carcinoma: Something Old, Something New. </w:t>
      </w:r>
      <w:r w:rsidR="006F53C9" w:rsidRPr="006F53C9">
        <w:rPr>
          <w:rFonts w:eastAsia="Calibri" w:cs="Times New Roman"/>
          <w:i/>
          <w:szCs w:val="24"/>
        </w:rPr>
        <w:t>BioMed Research International</w:t>
      </w:r>
      <w:r w:rsidR="006F53C9" w:rsidRPr="006F53C9">
        <w:rPr>
          <w:rFonts w:eastAsia="Calibri" w:cs="Times New Roman"/>
          <w:szCs w:val="24"/>
        </w:rPr>
        <w:t xml:space="preserve"> 2016, 2016, 7196280.</w:t>
      </w:r>
    </w:p>
    <w:p w:rsidR="006F53C9" w:rsidRPr="005D0C54" w:rsidRDefault="006F53C9" w:rsidP="006F53C9">
      <w:pPr>
        <w:spacing w:before="120" w:after="240"/>
        <w:ind w:firstLine="0"/>
        <w:rPr>
          <w:rFonts w:eastAsia="Calibri" w:cs="Times New Roman"/>
          <w:szCs w:val="24"/>
        </w:rPr>
      </w:pPr>
      <w:r w:rsidRPr="005D0C54">
        <w:rPr>
          <w:rFonts w:eastAsia="Calibri" w:cs="Times New Roman"/>
          <w:b/>
          <w:bCs/>
          <w:szCs w:val="24"/>
        </w:rPr>
        <w:t xml:space="preserve">Fang M, Shen Z, Huang S, Zhao L, Chen S, Mak TW, Wang X. </w:t>
      </w:r>
      <w:r w:rsidRPr="005D0C54">
        <w:rPr>
          <w:rFonts w:eastAsia="Calibri" w:cs="Times New Roman"/>
          <w:bCs/>
          <w:szCs w:val="24"/>
        </w:rPr>
        <w:t>The ER UDPase ENTPD5 promotes</w:t>
      </w:r>
      <w:r w:rsidRPr="005D0C54">
        <w:rPr>
          <w:rFonts w:eastAsia="Calibri" w:cs="Times New Roman"/>
          <w:szCs w:val="24"/>
        </w:rPr>
        <w:t xml:space="preserve"> protein Nglycosylation, the Warburg effect, and proliferation in the PTEN pathway. </w:t>
      </w:r>
      <w:r w:rsidRPr="005D0C54">
        <w:rPr>
          <w:rFonts w:eastAsia="Calibri" w:cs="Times New Roman"/>
          <w:i/>
          <w:szCs w:val="24"/>
        </w:rPr>
        <w:t>Cell</w:t>
      </w:r>
      <w:r w:rsidRPr="005D0C54">
        <w:rPr>
          <w:rFonts w:eastAsia="Calibri" w:cs="Times New Roman"/>
          <w:szCs w:val="24"/>
        </w:rPr>
        <w:t xml:space="preserve"> 2010, 143,711–724.</w:t>
      </w:r>
    </w:p>
    <w:p w:rsidR="006F53C9" w:rsidRPr="006F53C9" w:rsidRDefault="0037177D" w:rsidP="006F53C9">
      <w:pPr>
        <w:keepNext/>
        <w:keepLines/>
        <w:shd w:val="clear" w:color="auto" w:fill="FFFFFF"/>
        <w:spacing w:before="120" w:after="240"/>
        <w:ind w:firstLine="0"/>
        <w:outlineLvl w:val="0"/>
        <w:rPr>
          <w:rFonts w:eastAsia="Calibri" w:cs="Times New Roman"/>
          <w:bCs/>
          <w:szCs w:val="24"/>
        </w:rPr>
      </w:pPr>
      <w:hyperlink r:id="rId282" w:history="1">
        <w:r w:rsidR="006F53C9" w:rsidRPr="006F53C9">
          <w:rPr>
            <w:rFonts w:eastAsia="Calibri" w:cs="Times New Roman"/>
            <w:b/>
            <w:szCs w:val="24"/>
          </w:rPr>
          <w:t>Fang Z</w:t>
        </w:r>
      </w:hyperlink>
      <w:r w:rsidR="006F53C9" w:rsidRPr="006F53C9">
        <w:rPr>
          <w:rFonts w:eastAsia="Calibri" w:cs="Times New Roman"/>
          <w:b/>
          <w:szCs w:val="24"/>
        </w:rPr>
        <w:t>, </w:t>
      </w:r>
      <w:hyperlink r:id="rId283" w:history="1">
        <w:r w:rsidR="006F53C9" w:rsidRPr="006F53C9">
          <w:rPr>
            <w:rFonts w:eastAsia="Calibri" w:cs="Times New Roman"/>
            <w:b/>
            <w:szCs w:val="24"/>
          </w:rPr>
          <w:t>Jiang C</w:t>
        </w:r>
      </w:hyperlink>
      <w:r w:rsidR="006F53C9" w:rsidRPr="006F53C9">
        <w:rPr>
          <w:rFonts w:eastAsia="Calibri" w:cs="Times New Roman"/>
          <w:b/>
          <w:szCs w:val="24"/>
        </w:rPr>
        <w:t>, </w:t>
      </w:r>
      <w:hyperlink r:id="rId284" w:history="1">
        <w:r w:rsidR="006F53C9" w:rsidRPr="006F53C9">
          <w:rPr>
            <w:rFonts w:eastAsia="Calibri" w:cs="Times New Roman"/>
            <w:b/>
            <w:szCs w:val="24"/>
          </w:rPr>
          <w:t>Feng Y</w:t>
        </w:r>
      </w:hyperlink>
      <w:r w:rsidR="006F53C9" w:rsidRPr="006F53C9">
        <w:rPr>
          <w:rFonts w:eastAsia="Calibri" w:cs="Times New Roman"/>
          <w:b/>
          <w:szCs w:val="24"/>
        </w:rPr>
        <w:t>, </w:t>
      </w:r>
      <w:hyperlink r:id="rId285" w:history="1">
        <w:r w:rsidR="006F53C9" w:rsidRPr="006F53C9">
          <w:rPr>
            <w:rFonts w:eastAsia="Calibri" w:cs="Times New Roman"/>
            <w:b/>
            <w:szCs w:val="24"/>
          </w:rPr>
          <w:t>Chen R</w:t>
        </w:r>
      </w:hyperlink>
      <w:r w:rsidR="006F53C9" w:rsidRPr="006F53C9">
        <w:rPr>
          <w:rFonts w:eastAsia="Calibri" w:cs="Times New Roman"/>
          <w:b/>
          <w:szCs w:val="24"/>
        </w:rPr>
        <w:t>, </w:t>
      </w:r>
      <w:hyperlink r:id="rId286" w:history="1">
        <w:r w:rsidR="006F53C9" w:rsidRPr="006F53C9">
          <w:rPr>
            <w:rFonts w:eastAsia="Calibri" w:cs="Times New Roman"/>
            <w:b/>
            <w:szCs w:val="24"/>
          </w:rPr>
          <w:t>Lin X</w:t>
        </w:r>
      </w:hyperlink>
      <w:r w:rsidR="006F53C9" w:rsidRPr="006F53C9">
        <w:rPr>
          <w:rFonts w:eastAsia="Calibri" w:cs="Times New Roman"/>
          <w:b/>
          <w:szCs w:val="24"/>
        </w:rPr>
        <w:t>, </w:t>
      </w:r>
      <w:hyperlink r:id="rId287" w:history="1">
        <w:r w:rsidR="006F53C9" w:rsidRPr="006F53C9">
          <w:rPr>
            <w:rFonts w:eastAsia="Calibri" w:cs="Times New Roman"/>
            <w:b/>
            <w:szCs w:val="24"/>
          </w:rPr>
          <w:t>Zhang Z</w:t>
        </w:r>
      </w:hyperlink>
      <w:r w:rsidR="006F53C9" w:rsidRPr="006F53C9">
        <w:rPr>
          <w:rFonts w:eastAsia="Calibri" w:cs="Times New Roman"/>
          <w:b/>
          <w:szCs w:val="24"/>
        </w:rPr>
        <w:t>, </w:t>
      </w:r>
      <w:hyperlink r:id="rId288" w:history="1">
        <w:r w:rsidR="006F53C9" w:rsidRPr="006F53C9">
          <w:rPr>
            <w:rFonts w:eastAsia="Calibri" w:cs="Times New Roman"/>
            <w:b/>
            <w:szCs w:val="24"/>
          </w:rPr>
          <w:t>Han L</w:t>
        </w:r>
      </w:hyperlink>
      <w:r w:rsidR="006F53C9" w:rsidRPr="006F53C9">
        <w:rPr>
          <w:rFonts w:eastAsia="Calibri" w:cs="Times New Roman"/>
          <w:b/>
          <w:szCs w:val="24"/>
        </w:rPr>
        <w:t>, </w:t>
      </w:r>
      <w:hyperlink r:id="rId289" w:history="1">
        <w:r w:rsidR="006F53C9" w:rsidRPr="006F53C9">
          <w:rPr>
            <w:rFonts w:eastAsia="Calibri" w:cs="Times New Roman"/>
            <w:b/>
            <w:szCs w:val="24"/>
          </w:rPr>
          <w:t>Chen X</w:t>
        </w:r>
      </w:hyperlink>
      <w:r w:rsidR="006F53C9" w:rsidRPr="006F53C9">
        <w:rPr>
          <w:rFonts w:eastAsia="Calibri" w:cs="Times New Roman"/>
          <w:b/>
          <w:szCs w:val="24"/>
        </w:rPr>
        <w:t>, </w:t>
      </w:r>
      <w:hyperlink r:id="rId290" w:history="1">
        <w:r w:rsidR="006F53C9" w:rsidRPr="006F53C9">
          <w:rPr>
            <w:rFonts w:eastAsia="Calibri" w:cs="Times New Roman"/>
            <w:b/>
            <w:szCs w:val="24"/>
          </w:rPr>
          <w:t>Li H</w:t>
        </w:r>
      </w:hyperlink>
      <w:r w:rsidR="006F53C9" w:rsidRPr="006F53C9">
        <w:rPr>
          <w:rFonts w:eastAsia="Calibri" w:cs="Times New Roman"/>
          <w:b/>
          <w:szCs w:val="24"/>
        </w:rPr>
        <w:t>, </w:t>
      </w:r>
      <w:hyperlink r:id="rId291" w:history="1">
        <w:r w:rsidR="006F53C9" w:rsidRPr="006F53C9">
          <w:rPr>
            <w:rFonts w:eastAsia="Calibri" w:cs="Times New Roman"/>
            <w:b/>
            <w:szCs w:val="24"/>
          </w:rPr>
          <w:t>Guo Y</w:t>
        </w:r>
      </w:hyperlink>
      <w:r w:rsidR="006F53C9" w:rsidRPr="006F53C9">
        <w:rPr>
          <w:rFonts w:eastAsia="Calibri" w:cs="Times New Roman"/>
          <w:b/>
          <w:szCs w:val="24"/>
        </w:rPr>
        <w:t>, </w:t>
      </w:r>
      <w:hyperlink r:id="rId292" w:history="1">
        <w:r w:rsidR="006F53C9" w:rsidRPr="006F53C9">
          <w:rPr>
            <w:rFonts w:eastAsia="Calibri" w:cs="Times New Roman"/>
            <w:b/>
            <w:szCs w:val="24"/>
          </w:rPr>
          <w:t>Jiang W</w:t>
        </w:r>
      </w:hyperlink>
      <w:r w:rsidR="006F53C9" w:rsidRPr="006F53C9">
        <w:rPr>
          <w:rFonts w:eastAsia="Calibri" w:cs="Times New Roman"/>
          <w:b/>
          <w:szCs w:val="24"/>
        </w:rPr>
        <w:t xml:space="preserve">. </w:t>
      </w:r>
      <w:r w:rsidR="006F53C9" w:rsidRPr="006F53C9">
        <w:rPr>
          <w:rFonts w:eastAsia="Calibri" w:cs="Times New Roman"/>
          <w:bCs/>
          <w:szCs w:val="24"/>
        </w:rPr>
        <w:t xml:space="preserve">Effects of G6PD activity inhibition on the viability, ROS generation and mechanical properties of cervical cancer cells. </w:t>
      </w:r>
      <w:r w:rsidR="006F53C9" w:rsidRPr="006F53C9">
        <w:rPr>
          <w:rFonts w:eastAsia="Calibri" w:cs="Times New Roman"/>
          <w:i/>
          <w:szCs w:val="24"/>
        </w:rPr>
        <w:t>Biochimica et biophysica acta</w:t>
      </w:r>
      <w:r w:rsidR="006F53C9" w:rsidRPr="006F53C9">
        <w:rPr>
          <w:rFonts w:eastAsia="Calibri" w:cs="Times New Roman"/>
          <w:szCs w:val="24"/>
        </w:rPr>
        <w:t xml:space="preserve"> </w:t>
      </w:r>
      <w:r w:rsidR="006F53C9" w:rsidRPr="006F53C9">
        <w:rPr>
          <w:rFonts w:eastAsia="Calibri" w:cs="Times New Roman"/>
          <w:bCs/>
          <w:szCs w:val="24"/>
        </w:rPr>
        <w:t>2016, 1863 (9), 2245-2254.</w:t>
      </w:r>
    </w:p>
    <w:p w:rsidR="006F53C9" w:rsidRPr="005D0C54" w:rsidRDefault="006F53C9" w:rsidP="006F53C9">
      <w:pPr>
        <w:keepNext/>
        <w:keepLines/>
        <w:shd w:val="clear" w:color="auto" w:fill="FFFFFF"/>
        <w:spacing w:before="120" w:after="240"/>
        <w:ind w:firstLine="0"/>
        <w:outlineLvl w:val="0"/>
        <w:rPr>
          <w:rFonts w:eastAsia="Calibri" w:cs="Times New Roman"/>
          <w:szCs w:val="24"/>
        </w:rPr>
      </w:pPr>
      <w:r w:rsidRPr="005D0C54">
        <w:rPr>
          <w:rFonts w:eastAsia="Calibri" w:cs="Times New Roman"/>
          <w:b/>
          <w:szCs w:val="24"/>
        </w:rPr>
        <w:t xml:space="preserve">Faubert B, Li KY, Cai L, Hensley CT, Kim J, Zacharias LG,1 Yang C, Do QN, </w:t>
      </w:r>
      <w:hyperlink r:id="rId293" w:history="1">
        <w:r w:rsidRPr="005D0C54">
          <w:rPr>
            <w:rFonts w:eastAsia="Calibri" w:cs="Times New Roman"/>
            <w:b/>
            <w:szCs w:val="24"/>
          </w:rPr>
          <w:t>Doucette S</w:t>
        </w:r>
      </w:hyperlink>
      <w:r w:rsidRPr="005D0C54">
        <w:rPr>
          <w:rFonts w:eastAsia="Calibri" w:cs="Times New Roman"/>
          <w:b/>
          <w:szCs w:val="24"/>
        </w:rPr>
        <w:t xml:space="preserve">, Burguete D, Li H, Huet G, Yuan Q, Wigal T, Butt Y, Ni M, Torrealba J, Oliver D, Lenkinski RE, Malloy CR, Wachsmann JW, Young JD, Kernstine K, DeBerardinis </w:t>
      </w:r>
      <w:hyperlink r:id="rId294" w:history="1">
        <w:r w:rsidRPr="005D0C54">
          <w:rPr>
            <w:rFonts w:eastAsia="Calibri" w:cs="Times New Roman"/>
            <w:szCs w:val="24"/>
          </w:rPr>
          <w:t xml:space="preserve">RJ. </w:t>
        </w:r>
      </w:hyperlink>
      <w:r w:rsidRPr="005D0C54">
        <w:rPr>
          <w:rFonts w:eastAsia="Calibri" w:cs="Times New Roman"/>
          <w:szCs w:val="24"/>
        </w:rPr>
        <w:t xml:space="preserve"> Lactate metabolism in human lung tumors. </w:t>
      </w:r>
      <w:hyperlink r:id="rId295" w:tgtFrame="pmc_ext" w:history="1">
        <w:r w:rsidRPr="005D0C54">
          <w:rPr>
            <w:rFonts w:eastAsia="Calibri" w:cs="Times New Roman"/>
            <w:i/>
            <w:szCs w:val="24"/>
          </w:rPr>
          <w:t>Cell</w:t>
        </w:r>
        <w:r w:rsidRPr="005D0C54">
          <w:rPr>
            <w:rFonts w:eastAsia="Calibri" w:cs="Times New Roman"/>
            <w:szCs w:val="24"/>
          </w:rPr>
          <w:t xml:space="preserve"> 2017, 171(2), 358–371.</w:t>
        </w:r>
      </w:hyperlink>
    </w:p>
    <w:p w:rsidR="006F53C9" w:rsidRPr="005D0C54" w:rsidRDefault="006F53C9" w:rsidP="006F53C9">
      <w:pPr>
        <w:keepNext/>
        <w:keepLines/>
        <w:shd w:val="clear" w:color="auto" w:fill="FCFCFC"/>
        <w:spacing w:before="120" w:after="240"/>
        <w:ind w:firstLine="0"/>
        <w:outlineLvl w:val="0"/>
        <w:rPr>
          <w:rFonts w:eastAsia="Calibri" w:cs="Times New Roman"/>
          <w:szCs w:val="24"/>
        </w:rPr>
      </w:pPr>
      <w:r w:rsidRPr="005D0C54">
        <w:rPr>
          <w:rFonts w:eastAsiaTheme="majorEastAsia" w:cs="Times New Roman"/>
          <w:b/>
          <w:bCs/>
          <w:szCs w:val="24"/>
        </w:rPr>
        <w:t>Favaro E, Lord S, Harris AL, Buffa FM.</w:t>
      </w:r>
      <w:r w:rsidRPr="005D0C54">
        <w:rPr>
          <w:rFonts w:eastAsia="Calibri" w:cs="Times New Roman"/>
          <w:szCs w:val="24"/>
        </w:rPr>
        <w:t xml:space="preserve"> Gene expression and hypoxia in breast cancer. </w:t>
      </w:r>
      <w:r w:rsidRPr="005D0C54">
        <w:rPr>
          <w:rFonts w:eastAsia="Calibri" w:cs="Times New Roman"/>
          <w:i/>
          <w:szCs w:val="24"/>
        </w:rPr>
        <w:t>Genome Medicine</w:t>
      </w:r>
      <w:r w:rsidRPr="005D0C54">
        <w:rPr>
          <w:rFonts w:eastAsia="Calibri" w:cs="Times New Roman"/>
          <w:szCs w:val="24"/>
        </w:rPr>
        <w:t xml:space="preserve"> 2011, 3-55. </w:t>
      </w:r>
    </w:p>
    <w:p w:rsidR="006F53C9" w:rsidRPr="006F53C9" w:rsidRDefault="0037177D" w:rsidP="006F53C9">
      <w:pPr>
        <w:spacing w:before="120" w:after="240"/>
        <w:ind w:firstLine="0"/>
        <w:rPr>
          <w:rFonts w:eastAsia="Calibri" w:cs="Times New Roman"/>
          <w:bCs/>
          <w:szCs w:val="24"/>
        </w:rPr>
      </w:pPr>
      <w:hyperlink r:id="rId296" w:history="1">
        <w:r w:rsidR="006F53C9" w:rsidRPr="006F53C9">
          <w:rPr>
            <w:rFonts w:eastAsia="Calibri" w:cs="Times New Roman"/>
            <w:b/>
            <w:szCs w:val="24"/>
          </w:rPr>
          <w:t>Felix K</w:t>
        </w:r>
      </w:hyperlink>
      <w:r w:rsidR="006F53C9" w:rsidRPr="006F53C9">
        <w:rPr>
          <w:rFonts w:eastAsia="Calibri" w:cs="Times New Roman"/>
          <w:b/>
          <w:szCs w:val="24"/>
        </w:rPr>
        <w:t>, </w:t>
      </w:r>
      <w:hyperlink r:id="rId297" w:history="1">
        <w:r w:rsidR="006F53C9" w:rsidRPr="006F53C9">
          <w:rPr>
            <w:rFonts w:eastAsia="Calibri" w:cs="Times New Roman"/>
            <w:b/>
            <w:szCs w:val="24"/>
          </w:rPr>
          <w:t>Rockwood LD</w:t>
        </w:r>
      </w:hyperlink>
      <w:r w:rsidR="006F53C9" w:rsidRPr="006F53C9">
        <w:rPr>
          <w:rFonts w:eastAsia="Calibri" w:cs="Times New Roman"/>
          <w:b/>
          <w:szCs w:val="24"/>
        </w:rPr>
        <w:t>, </w:t>
      </w:r>
      <w:hyperlink r:id="rId298" w:history="1">
        <w:r w:rsidR="006F53C9" w:rsidRPr="006F53C9">
          <w:rPr>
            <w:rFonts w:eastAsia="Calibri" w:cs="Times New Roman"/>
            <w:b/>
            <w:szCs w:val="24"/>
          </w:rPr>
          <w:t>Pretsch W</w:t>
        </w:r>
      </w:hyperlink>
      <w:r w:rsidR="006F53C9" w:rsidRPr="006F53C9">
        <w:rPr>
          <w:rFonts w:eastAsia="Calibri" w:cs="Times New Roman"/>
          <w:b/>
          <w:szCs w:val="24"/>
        </w:rPr>
        <w:t>, </w:t>
      </w:r>
      <w:hyperlink r:id="rId299" w:history="1">
        <w:r w:rsidR="006F53C9" w:rsidRPr="006F53C9">
          <w:rPr>
            <w:rFonts w:eastAsia="Calibri" w:cs="Times New Roman"/>
            <w:b/>
            <w:szCs w:val="24"/>
          </w:rPr>
          <w:t>Nair J</w:t>
        </w:r>
      </w:hyperlink>
      <w:r w:rsidR="006F53C9" w:rsidRPr="006F53C9">
        <w:rPr>
          <w:rFonts w:eastAsia="Calibri" w:cs="Times New Roman"/>
          <w:b/>
          <w:szCs w:val="24"/>
        </w:rPr>
        <w:t>, </w:t>
      </w:r>
      <w:hyperlink r:id="rId300" w:history="1">
        <w:r w:rsidR="006F53C9" w:rsidRPr="006F53C9">
          <w:rPr>
            <w:rFonts w:eastAsia="Calibri" w:cs="Times New Roman"/>
            <w:b/>
            <w:szCs w:val="24"/>
          </w:rPr>
          <w:t>Bartsch H</w:t>
        </w:r>
      </w:hyperlink>
      <w:r w:rsidR="006F53C9" w:rsidRPr="006F53C9">
        <w:rPr>
          <w:rFonts w:eastAsia="Calibri" w:cs="Times New Roman"/>
          <w:b/>
          <w:szCs w:val="24"/>
        </w:rPr>
        <w:t>, </w:t>
      </w:r>
      <w:hyperlink r:id="rId301" w:history="1">
        <w:r w:rsidR="006F53C9" w:rsidRPr="006F53C9">
          <w:rPr>
            <w:rFonts w:eastAsia="Calibri" w:cs="Times New Roman"/>
            <w:b/>
            <w:szCs w:val="24"/>
          </w:rPr>
          <w:t>Bornkamm GW</w:t>
        </w:r>
      </w:hyperlink>
      <w:r w:rsidR="006F53C9" w:rsidRPr="006F53C9">
        <w:rPr>
          <w:rFonts w:eastAsia="Calibri" w:cs="Times New Roman"/>
          <w:b/>
          <w:szCs w:val="24"/>
        </w:rPr>
        <w:t>, </w:t>
      </w:r>
      <w:hyperlink r:id="rId302" w:history="1">
        <w:r w:rsidR="006F53C9" w:rsidRPr="006F53C9">
          <w:rPr>
            <w:rFonts w:eastAsia="Calibri" w:cs="Times New Roman"/>
            <w:b/>
            <w:szCs w:val="24"/>
          </w:rPr>
          <w:t>Janz S</w:t>
        </w:r>
      </w:hyperlink>
      <w:r w:rsidR="006F53C9" w:rsidRPr="006F53C9">
        <w:rPr>
          <w:rFonts w:eastAsia="Calibri" w:cs="Times New Roman"/>
          <w:b/>
          <w:szCs w:val="24"/>
        </w:rPr>
        <w:t xml:space="preserve">.  </w:t>
      </w:r>
      <w:r w:rsidR="006F53C9" w:rsidRPr="006F53C9">
        <w:rPr>
          <w:rFonts w:eastAsia="Calibri" w:cs="Times New Roman"/>
          <w:bCs/>
          <w:szCs w:val="24"/>
        </w:rPr>
        <w:t xml:space="preserve">Moderate G6PD deficiency increases mutation rates in the brain of mice. </w:t>
      </w:r>
      <w:r w:rsidR="006F53C9" w:rsidRPr="006F53C9">
        <w:rPr>
          <w:rFonts w:eastAsia="Calibri" w:cs="Times New Roman"/>
          <w:bCs/>
          <w:i/>
          <w:szCs w:val="24"/>
        </w:rPr>
        <w:t>Free Radical Biology&amp; Medicine</w:t>
      </w:r>
      <w:r w:rsidR="006F53C9" w:rsidRPr="006F53C9">
        <w:rPr>
          <w:rFonts w:eastAsia="Calibri" w:cs="Times New Roman"/>
          <w:bCs/>
          <w:szCs w:val="24"/>
        </w:rPr>
        <w:t xml:space="preserve"> 2002, 32 (7), 663-673.</w:t>
      </w:r>
    </w:p>
    <w:p w:rsidR="006F53C9" w:rsidRPr="005D0C54" w:rsidRDefault="0037177D" w:rsidP="006F53C9">
      <w:pPr>
        <w:keepNext/>
        <w:keepLines/>
        <w:shd w:val="clear" w:color="auto" w:fill="FFFFFF"/>
        <w:spacing w:before="120" w:after="240"/>
        <w:ind w:firstLine="0"/>
        <w:outlineLvl w:val="0"/>
        <w:rPr>
          <w:rFonts w:eastAsia="Calibri" w:cs="Times New Roman"/>
          <w:szCs w:val="24"/>
        </w:rPr>
      </w:pPr>
      <w:hyperlink r:id="rId303" w:history="1">
        <w:r w:rsidR="006F53C9" w:rsidRPr="005D0C54">
          <w:rPr>
            <w:rFonts w:eastAsiaTheme="majorEastAsia" w:cs="Times New Roman"/>
            <w:b/>
            <w:bCs/>
            <w:szCs w:val="24"/>
          </w:rPr>
          <w:t>Feng C</w:t>
        </w:r>
      </w:hyperlink>
      <w:r w:rsidR="006F53C9" w:rsidRPr="005D0C54">
        <w:rPr>
          <w:rFonts w:eastAsiaTheme="majorEastAsia" w:cs="Times New Roman"/>
          <w:b/>
          <w:bCs/>
          <w:szCs w:val="24"/>
        </w:rPr>
        <w:t>, </w:t>
      </w:r>
      <w:hyperlink r:id="rId304" w:history="1">
        <w:r w:rsidR="006F53C9" w:rsidRPr="005D0C54">
          <w:rPr>
            <w:rFonts w:eastAsiaTheme="majorEastAsia" w:cs="Times New Roman"/>
            <w:b/>
            <w:bCs/>
            <w:szCs w:val="24"/>
          </w:rPr>
          <w:t>Gao Y</w:t>
        </w:r>
      </w:hyperlink>
      <w:r w:rsidR="006F53C9" w:rsidRPr="005D0C54">
        <w:rPr>
          <w:rFonts w:eastAsiaTheme="majorEastAsia" w:cs="Times New Roman"/>
          <w:b/>
          <w:bCs/>
          <w:szCs w:val="24"/>
        </w:rPr>
        <w:t>, </w:t>
      </w:r>
      <w:hyperlink r:id="rId305" w:history="1">
        <w:r w:rsidR="006F53C9" w:rsidRPr="005D0C54">
          <w:rPr>
            <w:rFonts w:eastAsiaTheme="majorEastAsia" w:cs="Times New Roman"/>
            <w:b/>
            <w:bCs/>
            <w:szCs w:val="24"/>
          </w:rPr>
          <w:t>Wang C</w:t>
        </w:r>
      </w:hyperlink>
      <w:r w:rsidR="006F53C9" w:rsidRPr="005D0C54">
        <w:rPr>
          <w:rFonts w:eastAsiaTheme="majorEastAsia" w:cs="Times New Roman"/>
          <w:b/>
          <w:bCs/>
          <w:szCs w:val="24"/>
        </w:rPr>
        <w:t>, </w:t>
      </w:r>
      <w:hyperlink r:id="rId306" w:history="1">
        <w:r w:rsidR="006F53C9" w:rsidRPr="005D0C54">
          <w:rPr>
            <w:rFonts w:eastAsiaTheme="majorEastAsia" w:cs="Times New Roman"/>
            <w:b/>
            <w:bCs/>
            <w:szCs w:val="24"/>
          </w:rPr>
          <w:t>Yu X</w:t>
        </w:r>
      </w:hyperlink>
      <w:r w:rsidR="006F53C9" w:rsidRPr="005D0C54">
        <w:rPr>
          <w:rFonts w:eastAsiaTheme="majorEastAsia" w:cs="Times New Roman"/>
          <w:b/>
          <w:bCs/>
          <w:szCs w:val="24"/>
        </w:rPr>
        <w:t>, </w:t>
      </w:r>
      <w:hyperlink r:id="rId307" w:history="1">
        <w:r w:rsidR="006F53C9" w:rsidRPr="005D0C54">
          <w:rPr>
            <w:rFonts w:eastAsiaTheme="majorEastAsia" w:cs="Times New Roman"/>
            <w:b/>
            <w:bCs/>
            <w:szCs w:val="24"/>
          </w:rPr>
          <w:t>Zhang W</w:t>
        </w:r>
      </w:hyperlink>
      <w:r w:rsidR="006F53C9" w:rsidRPr="005D0C54">
        <w:rPr>
          <w:rFonts w:eastAsiaTheme="majorEastAsia" w:cs="Times New Roman"/>
          <w:b/>
          <w:bCs/>
          <w:szCs w:val="24"/>
        </w:rPr>
        <w:t>, </w:t>
      </w:r>
      <w:hyperlink r:id="rId308" w:history="1">
        <w:r w:rsidR="006F53C9" w:rsidRPr="005D0C54">
          <w:rPr>
            <w:rFonts w:eastAsiaTheme="majorEastAsia" w:cs="Times New Roman"/>
            <w:b/>
            <w:bCs/>
            <w:szCs w:val="24"/>
          </w:rPr>
          <w:t>Guan H</w:t>
        </w:r>
      </w:hyperlink>
      <w:r w:rsidR="006F53C9" w:rsidRPr="005D0C54">
        <w:rPr>
          <w:rFonts w:eastAsiaTheme="majorEastAsia" w:cs="Times New Roman"/>
          <w:b/>
          <w:bCs/>
          <w:szCs w:val="24"/>
        </w:rPr>
        <w:t>, </w:t>
      </w:r>
      <w:hyperlink r:id="rId309" w:history="1">
        <w:r w:rsidR="006F53C9" w:rsidRPr="005D0C54">
          <w:rPr>
            <w:rFonts w:eastAsiaTheme="majorEastAsia" w:cs="Times New Roman"/>
            <w:b/>
            <w:bCs/>
            <w:szCs w:val="24"/>
          </w:rPr>
          <w:t>Shan Z</w:t>
        </w:r>
      </w:hyperlink>
      <w:r w:rsidR="006F53C9" w:rsidRPr="005D0C54">
        <w:rPr>
          <w:rFonts w:eastAsiaTheme="majorEastAsia" w:cs="Times New Roman"/>
          <w:b/>
          <w:bCs/>
          <w:szCs w:val="24"/>
        </w:rPr>
        <w:t>, </w:t>
      </w:r>
      <w:hyperlink r:id="rId310" w:history="1">
        <w:r w:rsidR="006F53C9" w:rsidRPr="005D0C54">
          <w:rPr>
            <w:rFonts w:eastAsiaTheme="majorEastAsia" w:cs="Times New Roman"/>
            <w:b/>
            <w:bCs/>
            <w:szCs w:val="24"/>
          </w:rPr>
          <w:t>Teng W</w:t>
        </w:r>
      </w:hyperlink>
      <w:r w:rsidR="006F53C9" w:rsidRPr="005D0C54">
        <w:rPr>
          <w:rFonts w:eastAsiaTheme="majorEastAsia" w:cs="Times New Roman"/>
          <w:b/>
          <w:bCs/>
          <w:szCs w:val="24"/>
        </w:rPr>
        <w:t>.</w:t>
      </w:r>
      <w:r w:rsidR="006F53C9" w:rsidRPr="005D0C54">
        <w:rPr>
          <w:rFonts w:eastAsiaTheme="majorEastAsia" w:cstheme="majorBidi"/>
          <w:color w:val="365F91" w:themeColor="accent1" w:themeShade="BF"/>
          <w:szCs w:val="24"/>
        </w:rPr>
        <w:t xml:space="preserve"> </w:t>
      </w:r>
      <w:r w:rsidR="006F53C9" w:rsidRPr="005D0C54">
        <w:rPr>
          <w:rFonts w:eastAsia="Calibri" w:cs="Times New Roman"/>
          <w:szCs w:val="24"/>
        </w:rPr>
        <w:t xml:space="preserve">Aberrant overexpression of pyruvate kinase M2 is associated with aggressive tumor features and the BRAF mutation in papillary thyroid cancer. </w:t>
      </w:r>
      <w:r w:rsidR="006F53C9" w:rsidRPr="005D0C54">
        <w:rPr>
          <w:rFonts w:eastAsia="Calibri" w:cs="Times New Roman"/>
          <w:i/>
          <w:szCs w:val="24"/>
        </w:rPr>
        <w:t>The Journal of Clinical Endocrinology and Metabolism</w:t>
      </w:r>
      <w:r w:rsidR="006F53C9" w:rsidRPr="005D0C54">
        <w:rPr>
          <w:rFonts w:eastAsia="Calibri" w:cs="Times New Roman"/>
          <w:szCs w:val="24"/>
        </w:rPr>
        <w:t xml:space="preserve">  2013, 98 (9), E1524-1533.</w:t>
      </w:r>
    </w:p>
    <w:p w:rsidR="004B5084" w:rsidRDefault="006F53C9" w:rsidP="004B5084">
      <w:pPr>
        <w:autoSpaceDE w:val="0"/>
        <w:autoSpaceDN w:val="0"/>
        <w:adjustRightInd w:val="0"/>
        <w:spacing w:before="120" w:after="240"/>
        <w:ind w:firstLine="0"/>
        <w:rPr>
          <w:rFonts w:eastAsia="Calibri" w:cs="Times New Roman"/>
          <w:szCs w:val="24"/>
        </w:rPr>
      </w:pPr>
      <w:r w:rsidRPr="005D0C54">
        <w:rPr>
          <w:rFonts w:eastAsia="Calibri" w:cs="Times New Roman"/>
          <w:b/>
          <w:szCs w:val="24"/>
        </w:rPr>
        <w:t>Firth JD, Ebert BL, Ratcliffe PJ.</w:t>
      </w:r>
      <w:r w:rsidRPr="005D0C54">
        <w:rPr>
          <w:rFonts w:eastAsia="Calibri" w:cs="Times New Roman"/>
          <w:szCs w:val="24"/>
        </w:rPr>
        <w:t xml:space="preserve"> Hypoxic regulation of lactate dehydrogenase A. Interaction between hypoxia-inducible factor 1 and cAMP response elements. </w:t>
      </w:r>
      <w:r w:rsidRPr="005D0C54">
        <w:rPr>
          <w:rFonts w:eastAsia="Calibri" w:cs="Times New Roman"/>
          <w:i/>
          <w:szCs w:val="24"/>
        </w:rPr>
        <w:t>The Journal of Biological Chemistry</w:t>
      </w:r>
      <w:r w:rsidRPr="005D0C54">
        <w:rPr>
          <w:rFonts w:eastAsia="Calibri" w:cs="Times New Roman"/>
          <w:szCs w:val="24"/>
        </w:rPr>
        <w:t xml:space="preserve"> 1995, 270, 21021–21027.</w:t>
      </w:r>
    </w:p>
    <w:p w:rsidR="006F53C9" w:rsidRDefault="0037177D" w:rsidP="004B5084">
      <w:pPr>
        <w:autoSpaceDE w:val="0"/>
        <w:autoSpaceDN w:val="0"/>
        <w:adjustRightInd w:val="0"/>
        <w:spacing w:before="120" w:after="240"/>
        <w:ind w:firstLine="0"/>
        <w:rPr>
          <w:rFonts w:eastAsia="Calibri" w:cs="Times New Roman"/>
          <w:szCs w:val="24"/>
        </w:rPr>
      </w:pPr>
      <w:hyperlink r:id="rId311" w:history="1">
        <w:r w:rsidR="006F53C9" w:rsidRPr="005D0C54">
          <w:rPr>
            <w:rFonts w:eastAsia="Calibri" w:cs="Times New Roman"/>
            <w:b/>
            <w:szCs w:val="24"/>
          </w:rPr>
          <w:t>Fischer K</w:t>
        </w:r>
      </w:hyperlink>
      <w:r w:rsidR="006F53C9" w:rsidRPr="005D0C54">
        <w:rPr>
          <w:rFonts w:eastAsia="Calibri" w:cs="Times New Roman"/>
          <w:b/>
          <w:szCs w:val="24"/>
        </w:rPr>
        <w:t>, </w:t>
      </w:r>
      <w:hyperlink r:id="rId312" w:history="1">
        <w:r w:rsidR="006F53C9" w:rsidRPr="005D0C54">
          <w:rPr>
            <w:rFonts w:eastAsia="Calibri" w:cs="Times New Roman"/>
            <w:b/>
            <w:szCs w:val="24"/>
          </w:rPr>
          <w:t>Hoffmann P</w:t>
        </w:r>
      </w:hyperlink>
      <w:r w:rsidR="006F53C9" w:rsidRPr="005D0C54">
        <w:rPr>
          <w:rFonts w:eastAsia="Calibri" w:cs="Times New Roman"/>
          <w:b/>
          <w:szCs w:val="24"/>
        </w:rPr>
        <w:t>, </w:t>
      </w:r>
      <w:hyperlink r:id="rId313" w:history="1">
        <w:r w:rsidR="006F53C9" w:rsidRPr="005D0C54">
          <w:rPr>
            <w:rFonts w:eastAsia="Calibri" w:cs="Times New Roman"/>
            <w:b/>
            <w:szCs w:val="24"/>
          </w:rPr>
          <w:t>Voelkl S</w:t>
        </w:r>
      </w:hyperlink>
      <w:r w:rsidR="006F53C9" w:rsidRPr="005D0C54">
        <w:rPr>
          <w:rFonts w:eastAsia="Calibri" w:cs="Times New Roman"/>
          <w:b/>
          <w:szCs w:val="24"/>
        </w:rPr>
        <w:t>, </w:t>
      </w:r>
      <w:hyperlink r:id="rId314" w:history="1">
        <w:r w:rsidR="006F53C9" w:rsidRPr="005D0C54">
          <w:rPr>
            <w:rFonts w:eastAsia="Calibri" w:cs="Times New Roman"/>
            <w:b/>
            <w:szCs w:val="24"/>
          </w:rPr>
          <w:t>Meidenbauer N</w:t>
        </w:r>
      </w:hyperlink>
      <w:r w:rsidR="006F53C9" w:rsidRPr="005D0C54">
        <w:rPr>
          <w:rFonts w:eastAsia="Calibri" w:cs="Times New Roman"/>
          <w:b/>
          <w:szCs w:val="24"/>
        </w:rPr>
        <w:t>, </w:t>
      </w:r>
      <w:hyperlink r:id="rId315" w:history="1">
        <w:r w:rsidR="006F53C9" w:rsidRPr="005D0C54">
          <w:rPr>
            <w:rFonts w:eastAsia="Calibri" w:cs="Times New Roman"/>
            <w:b/>
            <w:szCs w:val="24"/>
          </w:rPr>
          <w:t>Ammer J</w:t>
        </w:r>
      </w:hyperlink>
      <w:r w:rsidR="006F53C9" w:rsidRPr="005D0C54">
        <w:rPr>
          <w:rFonts w:eastAsia="Calibri" w:cs="Times New Roman"/>
          <w:b/>
          <w:szCs w:val="24"/>
        </w:rPr>
        <w:t>, </w:t>
      </w:r>
      <w:hyperlink r:id="rId316" w:history="1">
        <w:r w:rsidR="006F53C9" w:rsidRPr="005D0C54">
          <w:rPr>
            <w:rFonts w:eastAsia="Calibri" w:cs="Times New Roman"/>
            <w:b/>
            <w:szCs w:val="24"/>
          </w:rPr>
          <w:t>Edinger M</w:t>
        </w:r>
      </w:hyperlink>
      <w:r w:rsidR="006F53C9" w:rsidRPr="005D0C54">
        <w:rPr>
          <w:rFonts w:eastAsia="Calibri" w:cs="Times New Roman"/>
          <w:b/>
          <w:szCs w:val="24"/>
        </w:rPr>
        <w:t>, </w:t>
      </w:r>
      <w:hyperlink r:id="rId317" w:history="1">
        <w:r w:rsidR="006F53C9" w:rsidRPr="005D0C54">
          <w:rPr>
            <w:rFonts w:eastAsia="Calibri" w:cs="Times New Roman"/>
            <w:b/>
            <w:szCs w:val="24"/>
          </w:rPr>
          <w:t>Gottfried E</w:t>
        </w:r>
      </w:hyperlink>
      <w:r w:rsidR="006F53C9" w:rsidRPr="005D0C54">
        <w:rPr>
          <w:rFonts w:eastAsia="Calibri" w:cs="Times New Roman"/>
          <w:b/>
          <w:szCs w:val="24"/>
        </w:rPr>
        <w:t>, </w:t>
      </w:r>
      <w:hyperlink r:id="rId318" w:history="1">
        <w:r w:rsidR="006F53C9" w:rsidRPr="005D0C54">
          <w:rPr>
            <w:rFonts w:eastAsia="Calibri" w:cs="Times New Roman"/>
            <w:b/>
            <w:szCs w:val="24"/>
          </w:rPr>
          <w:t>Schwarz S</w:t>
        </w:r>
      </w:hyperlink>
      <w:r w:rsidR="006F53C9" w:rsidRPr="005D0C54">
        <w:rPr>
          <w:rFonts w:eastAsia="Calibri" w:cs="Times New Roman"/>
          <w:b/>
          <w:szCs w:val="24"/>
        </w:rPr>
        <w:t>, </w:t>
      </w:r>
      <w:hyperlink r:id="rId319" w:history="1">
        <w:r w:rsidR="006F53C9" w:rsidRPr="005D0C54">
          <w:rPr>
            <w:rFonts w:eastAsia="Calibri" w:cs="Times New Roman"/>
            <w:b/>
            <w:szCs w:val="24"/>
          </w:rPr>
          <w:t>Rothe G</w:t>
        </w:r>
      </w:hyperlink>
      <w:r w:rsidR="006F53C9" w:rsidRPr="005D0C54">
        <w:rPr>
          <w:rFonts w:eastAsia="Calibri" w:cs="Times New Roman"/>
          <w:b/>
          <w:szCs w:val="24"/>
        </w:rPr>
        <w:t>, </w:t>
      </w:r>
      <w:hyperlink r:id="rId320" w:history="1">
        <w:r w:rsidR="006F53C9" w:rsidRPr="005D0C54">
          <w:rPr>
            <w:rFonts w:eastAsia="Calibri" w:cs="Times New Roman"/>
            <w:b/>
            <w:szCs w:val="24"/>
          </w:rPr>
          <w:t>Hoves S</w:t>
        </w:r>
      </w:hyperlink>
      <w:r w:rsidR="006F53C9" w:rsidRPr="005D0C54">
        <w:rPr>
          <w:rFonts w:eastAsia="Calibri" w:cs="Times New Roman"/>
          <w:b/>
          <w:szCs w:val="24"/>
        </w:rPr>
        <w:t>, </w:t>
      </w:r>
      <w:hyperlink r:id="rId321" w:history="1">
        <w:r w:rsidR="006F53C9" w:rsidRPr="005D0C54">
          <w:rPr>
            <w:rFonts w:eastAsia="Calibri" w:cs="Times New Roman"/>
            <w:b/>
            <w:szCs w:val="24"/>
          </w:rPr>
          <w:t>Renner K</w:t>
        </w:r>
      </w:hyperlink>
      <w:r w:rsidR="006F53C9" w:rsidRPr="005D0C54">
        <w:rPr>
          <w:rFonts w:eastAsia="Calibri" w:cs="Times New Roman"/>
          <w:b/>
          <w:szCs w:val="24"/>
        </w:rPr>
        <w:t>, </w:t>
      </w:r>
      <w:hyperlink r:id="rId322" w:history="1">
        <w:r w:rsidR="006F53C9" w:rsidRPr="005D0C54">
          <w:rPr>
            <w:rFonts w:eastAsia="Calibri" w:cs="Times New Roman"/>
            <w:b/>
            <w:szCs w:val="24"/>
          </w:rPr>
          <w:t>Timischl B</w:t>
        </w:r>
      </w:hyperlink>
      <w:r w:rsidR="006F53C9" w:rsidRPr="005D0C54">
        <w:rPr>
          <w:rFonts w:eastAsia="Calibri" w:cs="Times New Roman"/>
          <w:b/>
          <w:szCs w:val="24"/>
        </w:rPr>
        <w:t>, </w:t>
      </w:r>
      <w:hyperlink r:id="rId323" w:history="1">
        <w:r w:rsidR="006F53C9" w:rsidRPr="005D0C54">
          <w:rPr>
            <w:rFonts w:eastAsia="Calibri" w:cs="Times New Roman"/>
            <w:b/>
            <w:szCs w:val="24"/>
          </w:rPr>
          <w:t>Mackensen A</w:t>
        </w:r>
      </w:hyperlink>
      <w:r w:rsidR="006F53C9" w:rsidRPr="005D0C54">
        <w:rPr>
          <w:rFonts w:eastAsia="Calibri" w:cs="Times New Roman"/>
          <w:b/>
          <w:szCs w:val="24"/>
        </w:rPr>
        <w:t>, </w:t>
      </w:r>
      <w:hyperlink r:id="rId324" w:history="1">
        <w:r w:rsidR="006F53C9" w:rsidRPr="005D0C54">
          <w:rPr>
            <w:rFonts w:eastAsia="Calibri" w:cs="Times New Roman"/>
            <w:b/>
            <w:szCs w:val="24"/>
          </w:rPr>
          <w:t>Kunz-Schughart L</w:t>
        </w:r>
      </w:hyperlink>
      <w:r w:rsidR="006F53C9" w:rsidRPr="005D0C54">
        <w:rPr>
          <w:rFonts w:eastAsia="Calibri" w:cs="Times New Roman"/>
          <w:b/>
          <w:szCs w:val="24"/>
        </w:rPr>
        <w:t>, </w:t>
      </w:r>
      <w:hyperlink r:id="rId325" w:history="1">
        <w:r w:rsidR="006F53C9" w:rsidRPr="005D0C54">
          <w:rPr>
            <w:rFonts w:eastAsia="Calibri" w:cs="Times New Roman"/>
            <w:b/>
            <w:szCs w:val="24"/>
          </w:rPr>
          <w:t>Andreesen R</w:t>
        </w:r>
      </w:hyperlink>
      <w:r w:rsidR="006F53C9" w:rsidRPr="005D0C54">
        <w:rPr>
          <w:rFonts w:eastAsia="Calibri" w:cs="Times New Roman"/>
          <w:b/>
          <w:szCs w:val="24"/>
        </w:rPr>
        <w:t>, </w:t>
      </w:r>
      <w:hyperlink r:id="rId326" w:history="1">
        <w:r w:rsidR="006F53C9" w:rsidRPr="005D0C54">
          <w:rPr>
            <w:rFonts w:eastAsia="Calibri" w:cs="Times New Roman"/>
            <w:b/>
            <w:szCs w:val="24"/>
          </w:rPr>
          <w:t>Krause SW</w:t>
        </w:r>
      </w:hyperlink>
      <w:r w:rsidR="006F53C9" w:rsidRPr="005D0C54">
        <w:rPr>
          <w:rFonts w:eastAsia="Calibri" w:cs="Times New Roman"/>
          <w:b/>
          <w:szCs w:val="24"/>
        </w:rPr>
        <w:t>, </w:t>
      </w:r>
      <w:hyperlink r:id="rId327" w:history="1">
        <w:r w:rsidR="006F53C9" w:rsidRPr="005D0C54">
          <w:rPr>
            <w:rFonts w:eastAsia="Calibri" w:cs="Times New Roman"/>
            <w:b/>
            <w:szCs w:val="24"/>
          </w:rPr>
          <w:t>Kreutz M</w:t>
        </w:r>
      </w:hyperlink>
      <w:r w:rsidR="006F53C9" w:rsidRPr="005D0C54">
        <w:rPr>
          <w:rFonts w:eastAsia="Calibri" w:cs="Times New Roman"/>
          <w:b/>
          <w:szCs w:val="24"/>
        </w:rPr>
        <w:t>.</w:t>
      </w:r>
      <w:r w:rsidR="006F53C9" w:rsidRPr="005D0C54">
        <w:rPr>
          <w:rFonts w:eastAsiaTheme="majorEastAsia" w:cstheme="majorBidi"/>
          <w:bCs/>
          <w:color w:val="365F91" w:themeColor="accent1" w:themeShade="BF"/>
          <w:szCs w:val="24"/>
        </w:rPr>
        <w:t xml:space="preserve"> </w:t>
      </w:r>
      <w:r w:rsidR="006F53C9" w:rsidRPr="005D0C54">
        <w:rPr>
          <w:rFonts w:eastAsia="Calibri" w:cs="Times New Roman"/>
          <w:szCs w:val="24"/>
        </w:rPr>
        <w:t xml:space="preserve">Inhibitory effect of tumor cell-derived lactic acid on human T cells. </w:t>
      </w:r>
      <w:r w:rsidR="006F53C9" w:rsidRPr="005D0C54">
        <w:rPr>
          <w:rFonts w:eastAsia="Calibri" w:cs="Times New Roman"/>
          <w:i/>
          <w:szCs w:val="24"/>
        </w:rPr>
        <w:t>Blood</w:t>
      </w:r>
      <w:r w:rsidR="006F53C9" w:rsidRPr="005D0C54">
        <w:rPr>
          <w:rFonts w:eastAsia="Calibri" w:cs="Times New Roman"/>
          <w:szCs w:val="24"/>
        </w:rPr>
        <w:t xml:space="preserve"> 2007, 109 (9), 3812-3819. </w:t>
      </w:r>
    </w:p>
    <w:p w:rsidR="006F53C9" w:rsidRPr="0062322C" w:rsidRDefault="006F53C9" w:rsidP="004B5084">
      <w:pPr>
        <w:autoSpaceDE w:val="0"/>
        <w:autoSpaceDN w:val="0"/>
        <w:adjustRightInd w:val="0"/>
        <w:spacing w:before="120" w:after="240"/>
        <w:ind w:firstLine="0"/>
        <w:rPr>
          <w:szCs w:val="24"/>
        </w:rPr>
      </w:pPr>
      <w:r w:rsidRPr="00BA017A">
        <w:rPr>
          <w:b/>
          <w:szCs w:val="24"/>
        </w:rPr>
        <w:t>Fritz V, Fajas L.</w:t>
      </w:r>
      <w:r>
        <w:rPr>
          <w:szCs w:val="24"/>
        </w:rPr>
        <w:t xml:space="preserve"> </w:t>
      </w:r>
      <w:r w:rsidRPr="00BA017A">
        <w:rPr>
          <w:szCs w:val="24"/>
        </w:rPr>
        <w:t>Metabolism and proliferation share common</w:t>
      </w:r>
      <w:r>
        <w:rPr>
          <w:szCs w:val="24"/>
        </w:rPr>
        <w:t xml:space="preserve"> </w:t>
      </w:r>
      <w:r w:rsidRPr="00BA017A">
        <w:rPr>
          <w:szCs w:val="24"/>
        </w:rPr>
        <w:t xml:space="preserve">regulatory pathways in cancer cells. </w:t>
      </w:r>
      <w:r w:rsidRPr="0062322C">
        <w:rPr>
          <w:i/>
          <w:szCs w:val="24"/>
        </w:rPr>
        <w:t>Oncogene</w:t>
      </w:r>
      <w:r>
        <w:rPr>
          <w:szCs w:val="24"/>
        </w:rPr>
        <w:t xml:space="preserve"> 2010</w:t>
      </w:r>
      <w:r w:rsidRPr="00BA017A">
        <w:rPr>
          <w:szCs w:val="24"/>
        </w:rPr>
        <w:t>, 29</w:t>
      </w:r>
      <w:r>
        <w:rPr>
          <w:szCs w:val="24"/>
        </w:rPr>
        <w:t xml:space="preserve"> </w:t>
      </w:r>
      <w:r w:rsidRPr="00BA017A">
        <w:rPr>
          <w:szCs w:val="24"/>
        </w:rPr>
        <w:t>(31), 4369–</w:t>
      </w:r>
      <w:r>
        <w:rPr>
          <w:szCs w:val="24"/>
        </w:rPr>
        <w:t>43</w:t>
      </w:r>
      <w:r w:rsidRPr="00BA017A">
        <w:rPr>
          <w:szCs w:val="24"/>
        </w:rPr>
        <w:t>77.</w:t>
      </w:r>
    </w:p>
    <w:p w:rsidR="006F53C9" w:rsidRPr="005D0C54" w:rsidRDefault="006F53C9" w:rsidP="004B5084">
      <w:pPr>
        <w:autoSpaceDE w:val="0"/>
        <w:autoSpaceDN w:val="0"/>
        <w:adjustRightInd w:val="0"/>
        <w:spacing w:before="120" w:after="240"/>
        <w:ind w:firstLine="0"/>
        <w:rPr>
          <w:rFonts w:eastAsia="Calibri" w:cs="Times New Roman"/>
          <w:szCs w:val="24"/>
        </w:rPr>
      </w:pPr>
      <w:r w:rsidRPr="005D0C54">
        <w:rPr>
          <w:rFonts w:eastAsiaTheme="majorEastAsia" w:cs="Times New Roman"/>
          <w:b/>
          <w:szCs w:val="24"/>
        </w:rPr>
        <w:t>Gallo M, Sapio L, Spina A, Naviglio D, Calogero A, Naviglio S.</w:t>
      </w:r>
      <w:r w:rsidRPr="005D0C54">
        <w:rPr>
          <w:rFonts w:ascii="Calibri" w:eastAsia="Calibri" w:hAnsi="Calibri" w:cs="Times New Roman"/>
          <w:sz w:val="22"/>
        </w:rPr>
        <w:t xml:space="preserve"> </w:t>
      </w:r>
      <w:r w:rsidRPr="005D0C54">
        <w:rPr>
          <w:rFonts w:eastAsia="Calibri" w:cs="Times New Roman"/>
          <w:szCs w:val="24"/>
        </w:rPr>
        <w:t xml:space="preserve">Lactic dehydrogenase and cancer: an overview. </w:t>
      </w:r>
      <w:r w:rsidRPr="005D0C54">
        <w:rPr>
          <w:rFonts w:eastAsia="Calibri" w:cs="Times New Roman"/>
          <w:i/>
          <w:szCs w:val="24"/>
        </w:rPr>
        <w:t>Frontiers in Bioscience</w:t>
      </w:r>
      <w:r w:rsidRPr="005D0C54">
        <w:rPr>
          <w:rFonts w:eastAsia="Calibri" w:cs="Times New Roman"/>
          <w:szCs w:val="24"/>
        </w:rPr>
        <w:t xml:space="preserve"> 2015, 20, 1234-1249.</w:t>
      </w:r>
    </w:p>
    <w:p w:rsidR="006F53C9" w:rsidRPr="006F53C9" w:rsidRDefault="0037177D" w:rsidP="004B5084">
      <w:pPr>
        <w:keepNext/>
        <w:keepLines/>
        <w:shd w:val="clear" w:color="auto" w:fill="FFFFFF"/>
        <w:spacing w:before="120" w:after="240"/>
        <w:ind w:firstLine="0"/>
        <w:outlineLvl w:val="0"/>
        <w:rPr>
          <w:rFonts w:eastAsia="Calibri" w:cs="Times New Roman"/>
          <w:szCs w:val="24"/>
        </w:rPr>
      </w:pPr>
      <w:hyperlink r:id="rId328" w:history="1">
        <w:r w:rsidR="006F53C9" w:rsidRPr="006F53C9">
          <w:rPr>
            <w:rFonts w:eastAsia="Calibri" w:cs="Times New Roman"/>
            <w:b/>
            <w:szCs w:val="24"/>
          </w:rPr>
          <w:t>Gao L</w:t>
        </w:r>
      </w:hyperlink>
      <w:r w:rsidR="006F53C9" w:rsidRPr="006F53C9">
        <w:rPr>
          <w:rFonts w:eastAsia="Calibri" w:cs="Times New Roman"/>
          <w:b/>
          <w:szCs w:val="24"/>
        </w:rPr>
        <w:t>, </w:t>
      </w:r>
      <w:hyperlink r:id="rId329" w:history="1">
        <w:r w:rsidR="006F53C9" w:rsidRPr="006F53C9">
          <w:rPr>
            <w:rFonts w:eastAsia="Calibri" w:cs="Times New Roman"/>
            <w:b/>
            <w:szCs w:val="24"/>
          </w:rPr>
          <w:t>Mejías R</w:t>
        </w:r>
      </w:hyperlink>
      <w:r w:rsidR="006F53C9" w:rsidRPr="006F53C9">
        <w:rPr>
          <w:rFonts w:eastAsia="Calibri" w:cs="Times New Roman"/>
          <w:b/>
          <w:szCs w:val="24"/>
        </w:rPr>
        <w:t>, </w:t>
      </w:r>
      <w:hyperlink r:id="rId330" w:history="1">
        <w:r w:rsidR="006F53C9" w:rsidRPr="006F53C9">
          <w:rPr>
            <w:rFonts w:eastAsia="Calibri" w:cs="Times New Roman"/>
            <w:b/>
            <w:szCs w:val="24"/>
          </w:rPr>
          <w:t>Echevarría M</w:t>
        </w:r>
      </w:hyperlink>
      <w:r w:rsidR="006F53C9" w:rsidRPr="006F53C9">
        <w:rPr>
          <w:rFonts w:eastAsia="Calibri" w:cs="Times New Roman"/>
          <w:b/>
          <w:szCs w:val="24"/>
        </w:rPr>
        <w:t>, </w:t>
      </w:r>
      <w:hyperlink r:id="rId331" w:history="1">
        <w:r w:rsidR="006F53C9" w:rsidRPr="006F53C9">
          <w:rPr>
            <w:rFonts w:eastAsia="Calibri" w:cs="Times New Roman"/>
            <w:b/>
            <w:szCs w:val="24"/>
          </w:rPr>
          <w:t>López-Barneo J</w:t>
        </w:r>
      </w:hyperlink>
      <w:r w:rsidR="006F53C9" w:rsidRPr="006F53C9">
        <w:rPr>
          <w:rFonts w:eastAsia="Calibri" w:cs="Times New Roman"/>
          <w:b/>
          <w:szCs w:val="24"/>
        </w:rPr>
        <w:t>.</w:t>
      </w:r>
      <w:r w:rsidR="006F53C9" w:rsidRPr="006F53C9">
        <w:rPr>
          <w:rFonts w:eastAsia="Calibri" w:cs="Times New Roman"/>
          <w:szCs w:val="24"/>
        </w:rPr>
        <w:t xml:space="preserve"> Induction of the glucose-6-phosphate dehydrogenase gene expression by chronic hypoxia in PC12 cells. </w:t>
      </w:r>
      <w:r w:rsidR="006F53C9" w:rsidRPr="006F53C9">
        <w:rPr>
          <w:rFonts w:eastAsia="Calibri" w:cs="Times New Roman"/>
          <w:i/>
          <w:szCs w:val="24"/>
        </w:rPr>
        <w:t>FEBS Letters</w:t>
      </w:r>
      <w:r w:rsidR="006F53C9" w:rsidRPr="006F53C9">
        <w:rPr>
          <w:rFonts w:eastAsia="Calibri" w:cs="Times New Roman"/>
          <w:szCs w:val="24"/>
        </w:rPr>
        <w:t xml:space="preserve"> 2004, 569(1-3), 256-260.</w:t>
      </w:r>
    </w:p>
    <w:p w:rsidR="006F53C9" w:rsidRDefault="006F53C9" w:rsidP="004B5084">
      <w:pPr>
        <w:keepNext/>
        <w:keepLines/>
        <w:shd w:val="clear" w:color="auto" w:fill="FFFFFF"/>
        <w:spacing w:before="120" w:after="240"/>
        <w:ind w:firstLine="0"/>
        <w:outlineLvl w:val="0"/>
        <w:rPr>
          <w:szCs w:val="24"/>
        </w:rPr>
      </w:pPr>
      <w:r w:rsidRPr="00EB5041">
        <w:rPr>
          <w:b/>
          <w:szCs w:val="24"/>
        </w:rPr>
        <w:t>Garber K.</w:t>
      </w:r>
      <w:r w:rsidRPr="00EB5041">
        <w:rPr>
          <w:szCs w:val="24"/>
        </w:rPr>
        <w:t xml:space="preserve"> Energy deregul</w:t>
      </w:r>
      <w:r>
        <w:rPr>
          <w:szCs w:val="24"/>
        </w:rPr>
        <w:t xml:space="preserve">ation: licensing tumors to grow. </w:t>
      </w:r>
      <w:r w:rsidRPr="00677B81">
        <w:rPr>
          <w:i/>
          <w:szCs w:val="24"/>
        </w:rPr>
        <w:t>Science</w:t>
      </w:r>
      <w:r>
        <w:rPr>
          <w:szCs w:val="24"/>
        </w:rPr>
        <w:t xml:space="preserve"> 2006,</w:t>
      </w:r>
      <w:r w:rsidRPr="00EB5041">
        <w:rPr>
          <w:szCs w:val="24"/>
        </w:rPr>
        <w:t xml:space="preserve"> </w:t>
      </w:r>
      <w:r>
        <w:rPr>
          <w:szCs w:val="24"/>
        </w:rPr>
        <w:t>312, 1158 -1159.</w:t>
      </w:r>
    </w:p>
    <w:p w:rsidR="006F53C9" w:rsidRPr="005D0C54" w:rsidRDefault="006F53C9" w:rsidP="004B5084">
      <w:pPr>
        <w:keepNext/>
        <w:keepLines/>
        <w:spacing w:before="120" w:after="240"/>
        <w:ind w:firstLine="0"/>
        <w:outlineLvl w:val="0"/>
        <w:rPr>
          <w:rFonts w:eastAsia="Calibri" w:cs="Times New Roman"/>
          <w:szCs w:val="24"/>
        </w:rPr>
      </w:pPr>
      <w:r w:rsidRPr="005D0C54">
        <w:rPr>
          <w:rFonts w:eastAsiaTheme="majorEastAsia" w:cs="Times New Roman"/>
          <w:b/>
          <w:bCs/>
          <w:szCs w:val="24"/>
        </w:rPr>
        <w:t>Garcin ED.</w:t>
      </w:r>
      <w:r w:rsidRPr="005D0C54">
        <w:rPr>
          <w:rFonts w:eastAsiaTheme="majorEastAsia" w:cstheme="majorBidi"/>
          <w:b/>
          <w:bCs/>
          <w:color w:val="365F91" w:themeColor="accent1" w:themeShade="BF"/>
          <w:szCs w:val="24"/>
        </w:rPr>
        <w:t xml:space="preserve"> </w:t>
      </w:r>
      <w:r w:rsidRPr="005D0C54">
        <w:rPr>
          <w:rFonts w:eastAsia="Calibri" w:cs="Times New Roman"/>
          <w:szCs w:val="24"/>
        </w:rPr>
        <w:t xml:space="preserve">GAPDH as a model non-canonical AU-rich RNA binding protein. </w:t>
      </w:r>
      <w:r w:rsidRPr="005D0C54">
        <w:rPr>
          <w:rFonts w:eastAsia="Calibri" w:cs="Times New Roman"/>
          <w:i/>
          <w:szCs w:val="24"/>
        </w:rPr>
        <w:t>Seminar in Cell &amp;Development Biology</w:t>
      </w:r>
      <w:r w:rsidRPr="005D0C54">
        <w:rPr>
          <w:rFonts w:eastAsia="Calibri" w:cs="Times New Roman"/>
          <w:szCs w:val="24"/>
        </w:rPr>
        <w:t xml:space="preserve"> 2019, 86, 162-173. </w:t>
      </w:r>
    </w:p>
    <w:p w:rsidR="006F53C9" w:rsidRPr="005D0C54" w:rsidRDefault="006F53C9" w:rsidP="004B5084">
      <w:pPr>
        <w:keepNext/>
        <w:keepLines/>
        <w:shd w:val="clear" w:color="auto" w:fill="FFFFFF"/>
        <w:spacing w:before="120" w:after="240"/>
        <w:ind w:firstLine="0"/>
        <w:outlineLvl w:val="0"/>
        <w:rPr>
          <w:rFonts w:eastAsia="Calibri" w:cs="Times New Roman"/>
          <w:szCs w:val="24"/>
        </w:rPr>
      </w:pPr>
      <w:r w:rsidRPr="005D0C54">
        <w:rPr>
          <w:rFonts w:eastAsia="Calibri" w:cs="Times New Roman"/>
          <w:b/>
          <w:szCs w:val="24"/>
        </w:rPr>
        <w:t>Gatenby RA, Gillies RJ.</w:t>
      </w:r>
      <w:r w:rsidRPr="005D0C54">
        <w:rPr>
          <w:rFonts w:asciiTheme="majorHAnsi" w:eastAsiaTheme="majorEastAsia" w:hAnsiTheme="majorHAnsi" w:cstheme="majorBidi"/>
          <w:b/>
          <w:bCs/>
          <w:color w:val="365F91" w:themeColor="accent1" w:themeShade="BF"/>
          <w:sz w:val="28"/>
          <w:szCs w:val="28"/>
        </w:rPr>
        <w:t xml:space="preserve"> </w:t>
      </w:r>
      <w:r w:rsidRPr="005D0C54">
        <w:rPr>
          <w:rFonts w:eastAsia="Calibri" w:cs="Times New Roman"/>
          <w:szCs w:val="24"/>
        </w:rPr>
        <w:t xml:space="preserve">Why do cancers have high aerobic glycolysis? </w:t>
      </w:r>
      <w:r w:rsidRPr="005D0C54">
        <w:rPr>
          <w:rFonts w:eastAsia="Calibri" w:cs="Times New Roman"/>
          <w:i/>
          <w:szCs w:val="24"/>
        </w:rPr>
        <w:t>Nature reviews cancer</w:t>
      </w:r>
      <w:r w:rsidRPr="005D0C54">
        <w:rPr>
          <w:rFonts w:eastAsia="Calibri" w:cs="Times New Roman"/>
          <w:szCs w:val="24"/>
        </w:rPr>
        <w:t xml:space="preserve"> 2004, 4, 891-899.</w:t>
      </w:r>
    </w:p>
    <w:p w:rsidR="005A477F" w:rsidRDefault="006F53C9" w:rsidP="005A477F">
      <w:pPr>
        <w:spacing w:before="120" w:after="240"/>
        <w:ind w:firstLine="0"/>
        <w:rPr>
          <w:rFonts w:eastAsia="Calibri" w:cs="Times New Roman"/>
          <w:szCs w:val="24"/>
        </w:rPr>
      </w:pPr>
      <w:r w:rsidRPr="005D0C54">
        <w:rPr>
          <w:rFonts w:eastAsiaTheme="majorEastAsia" w:cs="Times New Roman"/>
          <w:b/>
          <w:bCs/>
          <w:szCs w:val="24"/>
        </w:rPr>
        <w:t>Gerszon J, Rodacka A.</w:t>
      </w:r>
      <w:r w:rsidRPr="005D0C54">
        <w:rPr>
          <w:rFonts w:eastAsia="Calibri" w:cs="Times New Roman"/>
          <w:szCs w:val="24"/>
        </w:rPr>
        <w:t xml:space="preserve"> Oxidatively modified glyceraldehyde-3-phosphate dehydrogenase inneurodegenerative processes and the role of low molecular weightcompounds in counteracting its aggregation and nuclear translocation. </w:t>
      </w:r>
      <w:r w:rsidRPr="005D0C54">
        <w:rPr>
          <w:rFonts w:eastAsia="Calibri" w:cs="Times New Roman"/>
          <w:i/>
          <w:szCs w:val="24"/>
        </w:rPr>
        <w:t>Ageing Research Reviews</w:t>
      </w:r>
      <w:r w:rsidRPr="005D0C54">
        <w:rPr>
          <w:rFonts w:eastAsia="Calibri" w:cs="Times New Roman"/>
          <w:szCs w:val="24"/>
        </w:rPr>
        <w:t xml:space="preserve"> 2018, 48, 21-31.</w:t>
      </w:r>
    </w:p>
    <w:p w:rsidR="005A477F" w:rsidRDefault="006F53C9" w:rsidP="005A477F">
      <w:pPr>
        <w:spacing w:before="120" w:after="240"/>
        <w:ind w:firstLine="0"/>
        <w:rPr>
          <w:rFonts w:eastAsia="Calibri" w:cs="Times New Roman"/>
          <w:szCs w:val="24"/>
        </w:rPr>
      </w:pPr>
      <w:r w:rsidRPr="005D0C54">
        <w:rPr>
          <w:rFonts w:eastAsiaTheme="majorEastAsia" w:cs="Times New Roman"/>
          <w:b/>
          <w:bCs/>
          <w:szCs w:val="24"/>
        </w:rPr>
        <w:t>Gess B, Hofbauer KH, Deutzmann R.</w:t>
      </w:r>
      <w:r w:rsidRPr="005D0C54">
        <w:rPr>
          <w:rFonts w:asciiTheme="majorHAnsi" w:eastAsiaTheme="majorEastAsia" w:hAnsiTheme="majorHAnsi" w:cstheme="majorBidi"/>
          <w:b/>
          <w:bCs/>
          <w:color w:val="365F91" w:themeColor="accent1" w:themeShade="BF"/>
          <w:sz w:val="28"/>
          <w:szCs w:val="28"/>
        </w:rPr>
        <w:t xml:space="preserve"> </w:t>
      </w:r>
      <w:r w:rsidRPr="005D0C54">
        <w:rPr>
          <w:rFonts w:eastAsia="Calibri" w:cs="Times New Roman"/>
          <w:szCs w:val="24"/>
        </w:rPr>
        <w:t xml:space="preserve">Hypoxia up-regulates triosephosphate isomerase expression via a HIF-dependent pathway. </w:t>
      </w:r>
      <w:r w:rsidRPr="005D0C54">
        <w:rPr>
          <w:rFonts w:eastAsia="Calibri" w:cs="Times New Roman"/>
          <w:i/>
          <w:szCs w:val="24"/>
        </w:rPr>
        <w:t>Pflügers Archiv: European journal of physiology</w:t>
      </w:r>
      <w:r w:rsidRPr="005D0C54">
        <w:rPr>
          <w:rFonts w:eastAsia="Calibri" w:cs="Times New Roman"/>
          <w:szCs w:val="24"/>
        </w:rPr>
        <w:t xml:space="preserve"> 2004, 448 (2), 175-180. </w:t>
      </w:r>
    </w:p>
    <w:p w:rsidR="006F53C9" w:rsidRPr="005D0C54" w:rsidRDefault="006F53C9" w:rsidP="005A477F">
      <w:pPr>
        <w:spacing w:before="120" w:after="240"/>
        <w:ind w:firstLine="0"/>
        <w:rPr>
          <w:rFonts w:eastAsia="Calibri" w:cs="Times New Roman"/>
          <w:szCs w:val="24"/>
        </w:rPr>
      </w:pPr>
      <w:r w:rsidRPr="005D0C54">
        <w:rPr>
          <w:rFonts w:eastAsia="Calibri" w:cs="Times New Roman"/>
          <w:b/>
          <w:szCs w:val="24"/>
        </w:rPr>
        <w:t>Gill KS, Fernandes P, O’Donovan TR, McKenna SL, Doddakula KK, Power DG, Soden DM, Forde PF.</w:t>
      </w:r>
      <w:r w:rsidRPr="005D0C54">
        <w:rPr>
          <w:rFonts w:eastAsiaTheme="majorEastAsia" w:cstheme="majorBidi"/>
          <w:b/>
          <w:bCs/>
          <w:color w:val="365F91" w:themeColor="accent1" w:themeShade="BF"/>
          <w:szCs w:val="24"/>
        </w:rPr>
        <w:t xml:space="preserve"> </w:t>
      </w:r>
      <w:r w:rsidRPr="005D0C54">
        <w:rPr>
          <w:rFonts w:eastAsia="Calibri" w:cs="Times New Roman"/>
          <w:szCs w:val="24"/>
        </w:rPr>
        <w:t xml:space="preserve">Glycolysis inhibition as a cancer treatment and its role in an anti-tumour immune response. </w:t>
      </w:r>
      <w:r w:rsidRPr="005D0C54">
        <w:rPr>
          <w:rFonts w:eastAsia="Calibri" w:cs="Times New Roman"/>
          <w:i/>
          <w:szCs w:val="24"/>
        </w:rPr>
        <w:t>Biochimica et biophysica acta</w:t>
      </w:r>
      <w:r w:rsidRPr="005D0C54">
        <w:rPr>
          <w:rFonts w:eastAsia="Calibri" w:cs="Times New Roman"/>
          <w:szCs w:val="24"/>
        </w:rPr>
        <w:t xml:space="preserve"> 2016, 1866 (1), 87-105. </w:t>
      </w:r>
    </w:p>
    <w:p w:rsidR="006F53C9" w:rsidRPr="005D0C54" w:rsidRDefault="006F53C9" w:rsidP="004B5084">
      <w:pPr>
        <w:spacing w:before="120" w:after="240"/>
        <w:ind w:firstLine="0"/>
        <w:rPr>
          <w:rFonts w:eastAsia="Calibri" w:cs="Times New Roman"/>
          <w:szCs w:val="24"/>
        </w:rPr>
      </w:pPr>
      <w:r w:rsidRPr="005D0C54">
        <w:rPr>
          <w:rFonts w:eastAsia="Calibri" w:cs="Times New Roman"/>
          <w:b/>
          <w:szCs w:val="24"/>
        </w:rPr>
        <w:lastRenderedPageBreak/>
        <w:t>Gnaiger E, Lassnig B, Kuznetsov A, Rieger G, Margreiter R.</w:t>
      </w:r>
      <w:r w:rsidRPr="005D0C54">
        <w:rPr>
          <w:rFonts w:eastAsia="Calibri" w:cs="Times New Roman"/>
          <w:szCs w:val="24"/>
        </w:rPr>
        <w:t xml:space="preserve"> Mitochondrial oxygen affinity, respiratory flux control and excess capacity of cytochrome c oxidase. </w:t>
      </w:r>
      <w:r w:rsidRPr="005D0C54">
        <w:rPr>
          <w:rFonts w:eastAsia="Calibri" w:cs="Times New Roman"/>
          <w:i/>
          <w:szCs w:val="24"/>
        </w:rPr>
        <w:t>The Journal of experimental biology</w:t>
      </w:r>
      <w:r w:rsidRPr="005D0C54">
        <w:rPr>
          <w:rFonts w:eastAsia="Calibri" w:cs="Times New Roman"/>
          <w:szCs w:val="24"/>
        </w:rPr>
        <w:t xml:space="preserve"> 1998, 201,1129-1139. </w:t>
      </w:r>
    </w:p>
    <w:p w:rsidR="006F53C9" w:rsidRPr="005D0C54" w:rsidRDefault="006F53C9" w:rsidP="004B5084">
      <w:pPr>
        <w:spacing w:before="120" w:after="240"/>
        <w:ind w:firstLine="0"/>
        <w:rPr>
          <w:rFonts w:eastAsia="Calibri" w:cs="Times New Roman"/>
          <w:szCs w:val="24"/>
        </w:rPr>
      </w:pPr>
      <w:r w:rsidRPr="005D0C54">
        <w:rPr>
          <w:rFonts w:eastAsia="Calibri" w:cs="Times New Roman"/>
          <w:b/>
          <w:szCs w:val="24"/>
        </w:rPr>
        <w:t>Gnaiger E, Steinlechner-Maran R, Mendez G, Eberl T, Margreiter R.</w:t>
      </w:r>
      <w:r w:rsidRPr="005D0C54">
        <w:rPr>
          <w:rFonts w:eastAsia="Calibri" w:cs="Times New Roman"/>
          <w:szCs w:val="24"/>
        </w:rPr>
        <w:t xml:space="preserve"> Control of mitochondrial and cellular respiration by oxygen. </w:t>
      </w:r>
      <w:r w:rsidRPr="005D0C54">
        <w:rPr>
          <w:rFonts w:eastAsia="Calibri" w:cs="Times New Roman"/>
          <w:i/>
          <w:szCs w:val="24"/>
        </w:rPr>
        <w:t xml:space="preserve">Journal of bioenergetics and biomembranes </w:t>
      </w:r>
      <w:r w:rsidRPr="005D0C54">
        <w:rPr>
          <w:rFonts w:eastAsia="Calibri" w:cs="Times New Roman"/>
          <w:szCs w:val="24"/>
        </w:rPr>
        <w:t>1995, 27, 583-596.</w:t>
      </w:r>
    </w:p>
    <w:p w:rsidR="006F53C9" w:rsidRPr="005D0C54" w:rsidRDefault="006F53C9" w:rsidP="004B5084">
      <w:pPr>
        <w:keepNext/>
        <w:keepLines/>
        <w:shd w:val="clear" w:color="auto" w:fill="FFFFFF"/>
        <w:spacing w:before="120" w:after="240"/>
        <w:ind w:firstLine="0"/>
        <w:outlineLvl w:val="0"/>
        <w:rPr>
          <w:rFonts w:eastAsia="Calibri" w:cs="Times New Roman"/>
          <w:szCs w:val="24"/>
        </w:rPr>
      </w:pPr>
      <w:r w:rsidRPr="005D0C54">
        <w:rPr>
          <w:rFonts w:eastAsia="Calibri" w:cs="Times New Roman"/>
          <w:b/>
          <w:szCs w:val="24"/>
        </w:rPr>
        <w:t>Goetze K, </w:t>
      </w:r>
      <w:hyperlink r:id="rId332" w:history="1">
        <w:r w:rsidRPr="005D0C54">
          <w:rPr>
            <w:rFonts w:eastAsia="Calibri" w:cs="Times New Roman"/>
            <w:b/>
            <w:szCs w:val="24"/>
          </w:rPr>
          <w:t>Walenta S</w:t>
        </w:r>
      </w:hyperlink>
      <w:r w:rsidRPr="005D0C54">
        <w:rPr>
          <w:rFonts w:eastAsia="Calibri" w:cs="Times New Roman"/>
          <w:b/>
          <w:szCs w:val="24"/>
        </w:rPr>
        <w:t>, </w:t>
      </w:r>
      <w:hyperlink r:id="rId333" w:history="1">
        <w:r w:rsidRPr="005D0C54">
          <w:rPr>
            <w:rFonts w:eastAsia="Calibri" w:cs="Times New Roman"/>
            <w:b/>
            <w:szCs w:val="24"/>
          </w:rPr>
          <w:t>Ksiazkiewicz M</w:t>
        </w:r>
      </w:hyperlink>
      <w:r w:rsidRPr="005D0C54">
        <w:rPr>
          <w:rFonts w:eastAsia="Calibri" w:cs="Times New Roman"/>
          <w:b/>
          <w:szCs w:val="24"/>
        </w:rPr>
        <w:t>, </w:t>
      </w:r>
      <w:hyperlink r:id="rId334" w:history="1">
        <w:r w:rsidRPr="005D0C54">
          <w:rPr>
            <w:rFonts w:eastAsia="Calibri" w:cs="Times New Roman"/>
            <w:b/>
            <w:szCs w:val="24"/>
          </w:rPr>
          <w:t>Kunz-Schughart LA</w:t>
        </w:r>
      </w:hyperlink>
      <w:r w:rsidRPr="005D0C54">
        <w:rPr>
          <w:rFonts w:eastAsia="Calibri" w:cs="Times New Roman"/>
          <w:b/>
          <w:szCs w:val="24"/>
        </w:rPr>
        <w:t>, </w:t>
      </w:r>
      <w:hyperlink r:id="rId335" w:history="1">
        <w:r w:rsidRPr="005D0C54">
          <w:rPr>
            <w:rFonts w:eastAsia="Calibri" w:cs="Times New Roman"/>
            <w:b/>
            <w:szCs w:val="24"/>
          </w:rPr>
          <w:t>Mueller-Klieser W</w:t>
        </w:r>
      </w:hyperlink>
      <w:r w:rsidRPr="005D0C54">
        <w:rPr>
          <w:rFonts w:eastAsia="Calibri" w:cs="Times New Roman"/>
          <w:b/>
          <w:szCs w:val="24"/>
        </w:rPr>
        <w:t>.</w:t>
      </w:r>
      <w:r w:rsidRPr="005D0C54">
        <w:rPr>
          <w:rFonts w:eastAsia="Calibri" w:cs="Times New Roman"/>
          <w:szCs w:val="24"/>
        </w:rPr>
        <w:t xml:space="preserve"> Lactate enhances motility of tumor cells and inhibits monocyte migration and cytokine release. </w:t>
      </w:r>
      <w:r w:rsidRPr="005D0C54">
        <w:rPr>
          <w:rFonts w:eastAsia="Calibri" w:cs="Times New Roman"/>
          <w:i/>
          <w:szCs w:val="24"/>
        </w:rPr>
        <w:t>International Journal of Oncology</w:t>
      </w:r>
      <w:r w:rsidRPr="005D0C54">
        <w:rPr>
          <w:rFonts w:eastAsia="Calibri" w:cs="Times New Roman"/>
          <w:szCs w:val="24"/>
        </w:rPr>
        <w:t xml:space="preserve"> 2011, 39 (2), 453-463. </w:t>
      </w:r>
    </w:p>
    <w:p w:rsidR="006F53C9" w:rsidRPr="005D0C54" w:rsidRDefault="006F53C9" w:rsidP="004B5084">
      <w:pPr>
        <w:spacing w:before="120" w:after="240"/>
        <w:ind w:firstLine="0"/>
        <w:rPr>
          <w:rFonts w:eastAsia="Calibri" w:cs="Times New Roman"/>
          <w:szCs w:val="24"/>
        </w:rPr>
      </w:pPr>
      <w:r w:rsidRPr="005D0C54">
        <w:rPr>
          <w:rFonts w:eastAsia="Calibri" w:cs="Times New Roman"/>
          <w:b/>
          <w:szCs w:val="24"/>
        </w:rPr>
        <w:t>Goodwin ML, Gladden LB, Nijsten MWN, Jones KB.</w:t>
      </w:r>
      <w:r w:rsidRPr="005D0C54">
        <w:rPr>
          <w:rFonts w:eastAsia="Calibri" w:cs="Times New Roman"/>
          <w:szCs w:val="24"/>
        </w:rPr>
        <w:t xml:space="preserve"> Lactate and cancer: revisiting theWarburg effect in an era of lactate shuttling. </w:t>
      </w:r>
      <w:r w:rsidRPr="005D0C54">
        <w:rPr>
          <w:rFonts w:eastAsia="Calibri" w:cs="Times New Roman"/>
          <w:i/>
          <w:szCs w:val="24"/>
        </w:rPr>
        <w:t>Frontiers in Nutrition</w:t>
      </w:r>
      <w:r w:rsidRPr="005D0C54">
        <w:rPr>
          <w:rFonts w:eastAsia="Calibri" w:cs="Times New Roman"/>
          <w:szCs w:val="24"/>
        </w:rPr>
        <w:t xml:space="preserve"> 2015, 1, 27.</w:t>
      </w:r>
    </w:p>
    <w:p w:rsidR="006F53C9" w:rsidRPr="00DB40FF" w:rsidRDefault="0037177D" w:rsidP="004B5084">
      <w:pPr>
        <w:keepNext/>
        <w:keepLines/>
        <w:shd w:val="clear" w:color="auto" w:fill="FFFFFF"/>
        <w:spacing w:before="120" w:after="240"/>
        <w:ind w:firstLine="0"/>
        <w:outlineLvl w:val="0"/>
        <w:rPr>
          <w:rFonts w:ascii="Arial" w:eastAsiaTheme="majorEastAsia" w:hAnsi="Arial" w:cs="Arial"/>
          <w:b/>
          <w:bCs/>
          <w:color w:val="1C1D1E"/>
          <w:sz w:val="28"/>
          <w:szCs w:val="28"/>
        </w:rPr>
      </w:pPr>
      <w:hyperlink r:id="rId336" w:history="1">
        <w:r w:rsidR="006F53C9" w:rsidRPr="005D0C54">
          <w:rPr>
            <w:rFonts w:eastAsia="Calibri" w:cs="Times New Roman"/>
            <w:b/>
            <w:szCs w:val="24"/>
          </w:rPr>
          <w:t>Graeber TG</w:t>
        </w:r>
      </w:hyperlink>
      <w:r w:rsidR="006F53C9" w:rsidRPr="005D0C54">
        <w:rPr>
          <w:rFonts w:eastAsia="Calibri" w:cs="Times New Roman"/>
          <w:b/>
          <w:szCs w:val="24"/>
        </w:rPr>
        <w:t>, </w:t>
      </w:r>
      <w:hyperlink r:id="rId337" w:history="1">
        <w:r w:rsidR="006F53C9" w:rsidRPr="005D0C54">
          <w:rPr>
            <w:rFonts w:eastAsia="Calibri" w:cs="Times New Roman"/>
            <w:b/>
            <w:szCs w:val="24"/>
          </w:rPr>
          <w:t>Osmanian C</w:t>
        </w:r>
      </w:hyperlink>
      <w:r w:rsidR="006F53C9" w:rsidRPr="005D0C54">
        <w:rPr>
          <w:rFonts w:eastAsia="Calibri" w:cs="Times New Roman"/>
          <w:b/>
          <w:szCs w:val="24"/>
        </w:rPr>
        <w:t>, </w:t>
      </w:r>
      <w:hyperlink r:id="rId338" w:history="1">
        <w:r w:rsidR="006F53C9" w:rsidRPr="005D0C54">
          <w:rPr>
            <w:rFonts w:eastAsia="Calibri" w:cs="Times New Roman"/>
            <w:b/>
            <w:szCs w:val="24"/>
          </w:rPr>
          <w:t>Jacks T</w:t>
        </w:r>
      </w:hyperlink>
      <w:r w:rsidR="006F53C9" w:rsidRPr="005D0C54">
        <w:rPr>
          <w:rFonts w:eastAsia="Calibri" w:cs="Times New Roman"/>
          <w:b/>
          <w:szCs w:val="24"/>
        </w:rPr>
        <w:t>, </w:t>
      </w:r>
      <w:hyperlink r:id="rId339" w:history="1">
        <w:r w:rsidR="006F53C9" w:rsidRPr="005D0C54">
          <w:rPr>
            <w:rFonts w:eastAsia="Calibri" w:cs="Times New Roman"/>
            <w:b/>
            <w:szCs w:val="24"/>
          </w:rPr>
          <w:t>Housman DE</w:t>
        </w:r>
      </w:hyperlink>
      <w:r w:rsidR="006F53C9" w:rsidRPr="005D0C54">
        <w:rPr>
          <w:rFonts w:eastAsia="Calibri" w:cs="Times New Roman"/>
          <w:b/>
          <w:szCs w:val="24"/>
        </w:rPr>
        <w:t>, </w:t>
      </w:r>
      <w:hyperlink r:id="rId340" w:history="1">
        <w:r w:rsidR="006F53C9" w:rsidRPr="005D0C54">
          <w:rPr>
            <w:rFonts w:eastAsia="Calibri" w:cs="Times New Roman"/>
            <w:b/>
            <w:szCs w:val="24"/>
          </w:rPr>
          <w:t>Koch CJ</w:t>
        </w:r>
      </w:hyperlink>
      <w:r w:rsidR="006F53C9" w:rsidRPr="005D0C54">
        <w:rPr>
          <w:rFonts w:eastAsia="Calibri" w:cs="Times New Roman"/>
          <w:b/>
          <w:szCs w:val="24"/>
        </w:rPr>
        <w:t>, </w:t>
      </w:r>
      <w:hyperlink r:id="rId341" w:history="1">
        <w:r w:rsidR="006F53C9" w:rsidRPr="005D0C54">
          <w:rPr>
            <w:rFonts w:eastAsia="Calibri" w:cs="Times New Roman"/>
            <w:b/>
            <w:szCs w:val="24"/>
          </w:rPr>
          <w:t>Lowe SW</w:t>
        </w:r>
      </w:hyperlink>
      <w:r w:rsidR="006F53C9" w:rsidRPr="005D0C54">
        <w:rPr>
          <w:rFonts w:eastAsia="Calibri" w:cs="Times New Roman"/>
          <w:b/>
          <w:szCs w:val="24"/>
        </w:rPr>
        <w:t>, </w:t>
      </w:r>
      <w:hyperlink r:id="rId342" w:history="1">
        <w:r w:rsidR="006F53C9" w:rsidRPr="005D0C54">
          <w:rPr>
            <w:rFonts w:eastAsia="Calibri" w:cs="Times New Roman"/>
            <w:b/>
            <w:szCs w:val="24"/>
          </w:rPr>
          <w:t>Giaccia AJ</w:t>
        </w:r>
      </w:hyperlink>
      <w:r w:rsidR="006F53C9" w:rsidRPr="005D0C54">
        <w:rPr>
          <w:rFonts w:eastAsia="Calibri" w:cs="Times New Roman"/>
          <w:b/>
          <w:szCs w:val="24"/>
        </w:rPr>
        <w:t xml:space="preserve">. </w:t>
      </w:r>
      <w:r w:rsidR="006F53C9" w:rsidRPr="005D0C54">
        <w:rPr>
          <w:rFonts w:eastAsia="Calibri" w:cs="Times New Roman"/>
          <w:szCs w:val="24"/>
        </w:rPr>
        <w:t xml:space="preserve">Hypoxia-mediated selection of cells with diminished apoptotic potential in solid tumours. </w:t>
      </w:r>
      <w:r w:rsidR="006F53C9" w:rsidRPr="005D0C54">
        <w:rPr>
          <w:rFonts w:eastAsia="Calibri" w:cs="Times New Roman"/>
          <w:i/>
          <w:szCs w:val="24"/>
        </w:rPr>
        <w:t>Nature</w:t>
      </w:r>
      <w:r w:rsidR="006F53C9" w:rsidRPr="005D0C54">
        <w:rPr>
          <w:rFonts w:eastAsia="Calibri" w:cs="Times New Roman"/>
          <w:szCs w:val="24"/>
        </w:rPr>
        <w:t xml:space="preserve"> 1996, 379, 88–91.</w:t>
      </w:r>
    </w:p>
    <w:p w:rsidR="006F53C9" w:rsidRDefault="006F53C9" w:rsidP="004B5084">
      <w:pPr>
        <w:autoSpaceDE w:val="0"/>
        <w:autoSpaceDN w:val="0"/>
        <w:adjustRightInd w:val="0"/>
        <w:spacing w:before="120" w:after="240"/>
        <w:ind w:firstLine="0"/>
        <w:rPr>
          <w:rFonts w:eastAsia="Calibri" w:cs="Times New Roman"/>
          <w:szCs w:val="24"/>
        </w:rPr>
      </w:pPr>
      <w:r w:rsidRPr="00E003C7">
        <w:rPr>
          <w:rFonts w:eastAsiaTheme="majorEastAsia" w:cs="Times New Roman"/>
          <w:b/>
          <w:bCs/>
          <w:szCs w:val="24"/>
        </w:rPr>
        <w:t>Graven KK, Troxler RF, Kornfeld H, Panchenko MV, Farber HW.</w:t>
      </w:r>
      <w:r w:rsidRPr="00E003C7">
        <w:rPr>
          <w:rFonts w:eastAsia="Calibri" w:cs="Times New Roman"/>
          <w:szCs w:val="24"/>
        </w:rPr>
        <w:t xml:space="preserve"> Regulation of endothelial cell glyceraldehyde-3-phosphate dehydrogenase expression by hypoxia. </w:t>
      </w:r>
      <w:r w:rsidRPr="00E003C7">
        <w:rPr>
          <w:rFonts w:eastAsia="Calibri" w:cs="Times New Roman"/>
          <w:i/>
          <w:szCs w:val="24"/>
        </w:rPr>
        <w:t>The Journal of  Biological Chemistry</w:t>
      </w:r>
      <w:r w:rsidRPr="00E003C7">
        <w:rPr>
          <w:rFonts w:eastAsia="Calibri" w:cs="Times New Roman"/>
          <w:szCs w:val="24"/>
        </w:rPr>
        <w:t xml:space="preserve"> 1994,269, 24446-24453.</w:t>
      </w:r>
    </w:p>
    <w:p w:rsidR="006F53C9" w:rsidRPr="006F53C9" w:rsidRDefault="0037177D" w:rsidP="004B5084">
      <w:pPr>
        <w:keepNext/>
        <w:keepLines/>
        <w:shd w:val="clear" w:color="auto" w:fill="FFFFFF"/>
        <w:spacing w:before="120" w:after="240"/>
        <w:ind w:firstLine="0"/>
        <w:outlineLvl w:val="0"/>
        <w:rPr>
          <w:rFonts w:eastAsia="Calibri" w:cs="Times New Roman"/>
          <w:szCs w:val="24"/>
        </w:rPr>
      </w:pPr>
      <w:hyperlink r:id="rId343" w:history="1">
        <w:r w:rsidR="006F53C9" w:rsidRPr="006F53C9">
          <w:rPr>
            <w:rFonts w:eastAsia="Calibri" w:cs="Times New Roman"/>
            <w:b/>
            <w:szCs w:val="24"/>
          </w:rPr>
          <w:t>Grimm M</w:t>
        </w:r>
      </w:hyperlink>
      <w:r w:rsidR="006F53C9" w:rsidRPr="006F53C9">
        <w:rPr>
          <w:rFonts w:eastAsia="Calibri" w:cs="Times New Roman"/>
          <w:b/>
          <w:szCs w:val="24"/>
        </w:rPr>
        <w:t>, </w:t>
      </w:r>
      <w:hyperlink r:id="rId344" w:history="1">
        <w:r w:rsidR="006F53C9" w:rsidRPr="006F53C9">
          <w:rPr>
            <w:rFonts w:eastAsia="Calibri" w:cs="Times New Roman"/>
            <w:b/>
            <w:szCs w:val="24"/>
          </w:rPr>
          <w:t>Alexander D</w:t>
        </w:r>
      </w:hyperlink>
      <w:r w:rsidR="006F53C9" w:rsidRPr="006F53C9">
        <w:rPr>
          <w:rFonts w:eastAsia="Calibri" w:cs="Times New Roman"/>
          <w:b/>
          <w:szCs w:val="24"/>
        </w:rPr>
        <w:t>, </w:t>
      </w:r>
      <w:hyperlink r:id="rId345" w:history="1">
        <w:r w:rsidR="006F53C9" w:rsidRPr="006F53C9">
          <w:rPr>
            <w:rFonts w:eastAsia="Calibri" w:cs="Times New Roman"/>
            <w:b/>
            <w:szCs w:val="24"/>
          </w:rPr>
          <w:t>Munz A</w:t>
        </w:r>
      </w:hyperlink>
      <w:r w:rsidR="006F53C9" w:rsidRPr="006F53C9">
        <w:rPr>
          <w:rFonts w:eastAsia="Calibri" w:cs="Times New Roman"/>
          <w:b/>
          <w:szCs w:val="24"/>
        </w:rPr>
        <w:t>, </w:t>
      </w:r>
      <w:hyperlink r:id="rId346" w:history="1">
        <w:r w:rsidR="006F53C9" w:rsidRPr="006F53C9">
          <w:rPr>
            <w:rFonts w:eastAsia="Calibri" w:cs="Times New Roman"/>
            <w:b/>
            <w:szCs w:val="24"/>
          </w:rPr>
          <w:t>Hoffmann J</w:t>
        </w:r>
      </w:hyperlink>
      <w:r w:rsidR="006F53C9" w:rsidRPr="006F53C9">
        <w:rPr>
          <w:rFonts w:eastAsia="Calibri" w:cs="Times New Roman"/>
          <w:b/>
          <w:szCs w:val="24"/>
        </w:rPr>
        <w:t>, </w:t>
      </w:r>
      <w:hyperlink r:id="rId347" w:history="1">
        <w:r w:rsidR="006F53C9" w:rsidRPr="006F53C9">
          <w:rPr>
            <w:rFonts w:eastAsia="Calibri" w:cs="Times New Roman"/>
            <w:b/>
            <w:szCs w:val="24"/>
          </w:rPr>
          <w:t>Reinert S</w:t>
        </w:r>
      </w:hyperlink>
      <w:r w:rsidR="006F53C9" w:rsidRPr="006F53C9">
        <w:rPr>
          <w:rFonts w:eastAsia="Calibri" w:cs="Times New Roman"/>
          <w:b/>
          <w:szCs w:val="24"/>
        </w:rPr>
        <w:t>.</w:t>
      </w:r>
      <w:r w:rsidR="006F53C9" w:rsidRPr="006F53C9">
        <w:rPr>
          <w:rFonts w:eastAsia="Calibri" w:cs="Times New Roman"/>
          <w:szCs w:val="24"/>
        </w:rPr>
        <w:t xml:space="preserve"> Increased LDH5 expression is associated with lymph node metastasis and outcome in oral squamous cell carcinoma. </w:t>
      </w:r>
      <w:r w:rsidR="006F53C9" w:rsidRPr="006F53C9">
        <w:rPr>
          <w:rFonts w:eastAsia="Calibri" w:cs="Times New Roman"/>
          <w:i/>
          <w:szCs w:val="24"/>
        </w:rPr>
        <w:t>Clinical &amp;Experimental Metastasis</w:t>
      </w:r>
      <w:r w:rsidR="006F53C9" w:rsidRPr="006F53C9">
        <w:rPr>
          <w:rFonts w:eastAsia="Calibri" w:cs="Times New Roman"/>
          <w:szCs w:val="24"/>
        </w:rPr>
        <w:t xml:space="preserve"> 2013, 30(4),529-540.</w:t>
      </w:r>
    </w:p>
    <w:p w:rsidR="006F53C9" w:rsidRPr="00E003C7" w:rsidRDefault="006F53C9" w:rsidP="004B5084">
      <w:pPr>
        <w:spacing w:before="120" w:after="240"/>
        <w:ind w:firstLine="0"/>
        <w:rPr>
          <w:rFonts w:eastAsia="Calibri" w:cs="Times New Roman"/>
          <w:szCs w:val="24"/>
        </w:rPr>
      </w:pPr>
      <w:r w:rsidRPr="00E003C7">
        <w:rPr>
          <w:rFonts w:eastAsia="Calibri" w:cs="Times New Roman"/>
          <w:b/>
          <w:szCs w:val="24"/>
        </w:rPr>
        <w:t>Gui DY, Lewis CA, Vander-Heidin MG.</w:t>
      </w:r>
      <w:r w:rsidRPr="00E003C7">
        <w:rPr>
          <w:rFonts w:eastAsia="Calibri" w:cs="Times New Roman"/>
          <w:szCs w:val="24"/>
        </w:rPr>
        <w:t xml:space="preserve"> Allosteric Regulation of PKM2 Allows Cellular Adaptation to Different Physiological States. </w:t>
      </w:r>
      <w:r w:rsidRPr="00E003C7">
        <w:rPr>
          <w:rFonts w:eastAsia="Calibri" w:cs="Times New Roman"/>
          <w:i/>
          <w:szCs w:val="24"/>
        </w:rPr>
        <w:t>Science Signaling</w:t>
      </w:r>
      <w:r w:rsidRPr="00E003C7">
        <w:rPr>
          <w:rFonts w:eastAsia="Calibri" w:cs="Times New Roman"/>
          <w:szCs w:val="24"/>
        </w:rPr>
        <w:t xml:space="preserve"> 2013, 6,7.</w:t>
      </w:r>
    </w:p>
    <w:p w:rsidR="00193A10" w:rsidRDefault="006F53C9" w:rsidP="004B5084">
      <w:pPr>
        <w:spacing w:before="120" w:after="240"/>
        <w:ind w:firstLine="0"/>
        <w:rPr>
          <w:rFonts w:eastAsia="Calibri" w:cs="Times New Roman"/>
          <w:szCs w:val="24"/>
        </w:rPr>
      </w:pPr>
      <w:r w:rsidRPr="00E003C7">
        <w:rPr>
          <w:rFonts w:eastAsia="Calibri" w:cs="Times New Roman"/>
          <w:b/>
          <w:szCs w:val="24"/>
        </w:rPr>
        <w:t>Guillaumond F, Leca J, Olivares O, Lavaut MN, Vidal N, Berthezene P, Dusetti NJ, Loncle C, Calvo E, Turrini O, Lovanna JL, Tomasini R, Vasseur S.</w:t>
      </w:r>
      <w:r w:rsidRPr="00E003C7">
        <w:rPr>
          <w:rFonts w:eastAsia="Calibri" w:cs="Times New Roman"/>
          <w:szCs w:val="24"/>
        </w:rPr>
        <w:t xml:space="preserve"> Strengthened glycolysis under hypoxia supports tumor symbiosis and hexosamine biosynthesis in pancreatic adenocarcinoma. </w:t>
      </w:r>
      <w:r w:rsidRPr="00E003C7">
        <w:rPr>
          <w:rFonts w:eastAsia="Calibri" w:cs="Times New Roman"/>
          <w:i/>
          <w:szCs w:val="24"/>
        </w:rPr>
        <w:t>Proceedings of the National Academy of Sciences</w:t>
      </w:r>
      <w:r w:rsidRPr="00E003C7">
        <w:rPr>
          <w:rFonts w:eastAsia="Calibri" w:cs="Times New Roman"/>
          <w:szCs w:val="24"/>
        </w:rPr>
        <w:t xml:space="preserve"> 2013, 110 (10), 3919–3924.</w:t>
      </w:r>
    </w:p>
    <w:p w:rsidR="006F53C9" w:rsidRDefault="006F53C9" w:rsidP="004B5084">
      <w:pPr>
        <w:spacing w:before="120" w:after="240"/>
        <w:ind w:firstLine="0"/>
        <w:rPr>
          <w:rFonts w:eastAsia="Calibri" w:cs="Times New Roman"/>
          <w:szCs w:val="24"/>
        </w:rPr>
      </w:pPr>
      <w:r w:rsidRPr="00E003C7">
        <w:rPr>
          <w:rFonts w:eastAsia="Calibri" w:cs="Times New Roman"/>
          <w:b/>
          <w:szCs w:val="24"/>
        </w:rPr>
        <w:lastRenderedPageBreak/>
        <w:t>Halliwell B.</w:t>
      </w:r>
      <w:r w:rsidRPr="00E003C7">
        <w:rPr>
          <w:rFonts w:eastAsia="Calibri" w:cs="Times New Roman"/>
          <w:szCs w:val="24"/>
        </w:rPr>
        <w:t xml:space="preserve"> Antioxidant defence mechanisms: from the beginning to the end (of the beginning). </w:t>
      </w:r>
      <w:r w:rsidRPr="00E003C7">
        <w:rPr>
          <w:rFonts w:eastAsia="Calibri" w:cs="Times New Roman"/>
          <w:i/>
          <w:szCs w:val="24"/>
        </w:rPr>
        <w:t>Free radical research</w:t>
      </w:r>
      <w:r w:rsidRPr="00E003C7">
        <w:rPr>
          <w:rFonts w:eastAsia="Calibri" w:cs="Times New Roman"/>
          <w:szCs w:val="24"/>
        </w:rPr>
        <w:t xml:space="preserve"> 1999, 31, 261-272.</w:t>
      </w:r>
    </w:p>
    <w:p w:rsidR="006F53C9" w:rsidRDefault="0037177D" w:rsidP="004B5084">
      <w:pPr>
        <w:spacing w:before="120" w:after="240"/>
        <w:ind w:firstLine="0"/>
        <w:rPr>
          <w:rFonts w:eastAsia="Calibri" w:cs="Times New Roman"/>
          <w:szCs w:val="24"/>
        </w:rPr>
      </w:pPr>
      <w:hyperlink r:id="rId348" w:history="1">
        <w:r w:rsidR="006F53C9" w:rsidRPr="00E003C7">
          <w:rPr>
            <w:rFonts w:eastAsia="Calibri" w:cs="Times New Roman"/>
            <w:b/>
            <w:bCs/>
            <w:szCs w:val="24"/>
          </w:rPr>
          <w:t>Han J</w:t>
        </w:r>
      </w:hyperlink>
      <w:r w:rsidR="006F53C9" w:rsidRPr="00E003C7">
        <w:rPr>
          <w:rFonts w:eastAsia="Calibri" w:cs="Times New Roman"/>
          <w:b/>
          <w:bCs/>
          <w:szCs w:val="24"/>
        </w:rPr>
        <w:t>, </w:t>
      </w:r>
      <w:hyperlink r:id="rId349" w:history="1">
        <w:r w:rsidR="006F53C9" w:rsidRPr="00E003C7">
          <w:rPr>
            <w:rFonts w:eastAsia="Calibri" w:cs="Times New Roman"/>
            <w:b/>
            <w:bCs/>
            <w:szCs w:val="24"/>
          </w:rPr>
          <w:t>Zhang L</w:t>
        </w:r>
      </w:hyperlink>
      <w:r w:rsidR="006F53C9" w:rsidRPr="00E003C7">
        <w:rPr>
          <w:rFonts w:eastAsia="Calibri" w:cs="Times New Roman"/>
          <w:b/>
          <w:bCs/>
          <w:szCs w:val="24"/>
        </w:rPr>
        <w:t>, </w:t>
      </w:r>
      <w:hyperlink r:id="rId350" w:history="1">
        <w:r w:rsidR="006F53C9" w:rsidRPr="00E003C7">
          <w:rPr>
            <w:rFonts w:eastAsia="Calibri" w:cs="Times New Roman"/>
            <w:b/>
            <w:bCs/>
            <w:szCs w:val="24"/>
          </w:rPr>
          <w:t>Guo H</w:t>
        </w:r>
      </w:hyperlink>
      <w:r w:rsidR="006F53C9" w:rsidRPr="00E003C7">
        <w:rPr>
          <w:rFonts w:eastAsia="Calibri" w:cs="Times New Roman"/>
          <w:b/>
          <w:bCs/>
          <w:szCs w:val="24"/>
        </w:rPr>
        <w:t>, </w:t>
      </w:r>
      <w:hyperlink r:id="rId351" w:history="1">
        <w:r w:rsidR="006F53C9" w:rsidRPr="00E003C7">
          <w:rPr>
            <w:rFonts w:eastAsia="Calibri" w:cs="Times New Roman"/>
            <w:b/>
            <w:bCs/>
            <w:szCs w:val="24"/>
          </w:rPr>
          <w:t>Wysham WZ</w:t>
        </w:r>
      </w:hyperlink>
      <w:r w:rsidR="006F53C9" w:rsidRPr="00E003C7">
        <w:rPr>
          <w:rFonts w:eastAsia="Calibri" w:cs="Times New Roman"/>
          <w:b/>
          <w:bCs/>
          <w:szCs w:val="24"/>
        </w:rPr>
        <w:t>, </w:t>
      </w:r>
      <w:hyperlink r:id="rId352" w:history="1">
        <w:r w:rsidR="006F53C9" w:rsidRPr="00E003C7">
          <w:rPr>
            <w:rFonts w:eastAsia="Calibri" w:cs="Times New Roman"/>
            <w:b/>
            <w:bCs/>
            <w:szCs w:val="24"/>
          </w:rPr>
          <w:t>Roque DR</w:t>
        </w:r>
      </w:hyperlink>
      <w:r w:rsidR="006F53C9" w:rsidRPr="00E003C7">
        <w:rPr>
          <w:rFonts w:eastAsia="Calibri" w:cs="Times New Roman"/>
          <w:b/>
          <w:bCs/>
          <w:szCs w:val="24"/>
        </w:rPr>
        <w:t>, </w:t>
      </w:r>
      <w:hyperlink r:id="rId353" w:history="1">
        <w:r w:rsidR="006F53C9" w:rsidRPr="00E003C7">
          <w:rPr>
            <w:rFonts w:eastAsia="Calibri" w:cs="Times New Roman"/>
            <w:b/>
            <w:bCs/>
            <w:szCs w:val="24"/>
          </w:rPr>
          <w:t>Willson AK</w:t>
        </w:r>
      </w:hyperlink>
      <w:r w:rsidR="006F53C9" w:rsidRPr="00E003C7">
        <w:rPr>
          <w:rFonts w:eastAsia="Calibri" w:cs="Times New Roman"/>
          <w:b/>
          <w:bCs/>
          <w:szCs w:val="24"/>
        </w:rPr>
        <w:t>, </w:t>
      </w:r>
      <w:hyperlink r:id="rId354" w:history="1">
        <w:r w:rsidR="006F53C9" w:rsidRPr="00E003C7">
          <w:rPr>
            <w:rFonts w:eastAsia="Calibri" w:cs="Times New Roman"/>
            <w:b/>
            <w:bCs/>
            <w:szCs w:val="24"/>
          </w:rPr>
          <w:t>Sheng X</w:t>
        </w:r>
      </w:hyperlink>
      <w:r w:rsidR="006F53C9" w:rsidRPr="00E003C7">
        <w:rPr>
          <w:rFonts w:eastAsia="Calibri" w:cs="Times New Roman"/>
          <w:b/>
          <w:bCs/>
          <w:szCs w:val="24"/>
        </w:rPr>
        <w:t>, </w:t>
      </w:r>
      <w:hyperlink r:id="rId355" w:history="1">
        <w:r w:rsidR="006F53C9" w:rsidRPr="00E003C7">
          <w:rPr>
            <w:rFonts w:eastAsia="Calibri" w:cs="Times New Roman"/>
            <w:b/>
            <w:bCs/>
            <w:szCs w:val="24"/>
          </w:rPr>
          <w:t>Zhou C</w:t>
        </w:r>
      </w:hyperlink>
      <w:r w:rsidR="006F53C9" w:rsidRPr="00E003C7">
        <w:rPr>
          <w:rFonts w:eastAsia="Calibri" w:cs="Times New Roman"/>
          <w:b/>
          <w:bCs/>
          <w:szCs w:val="24"/>
        </w:rPr>
        <w:t>, </w:t>
      </w:r>
      <w:hyperlink r:id="rId356" w:history="1">
        <w:r w:rsidR="006F53C9" w:rsidRPr="00E003C7">
          <w:rPr>
            <w:rFonts w:eastAsia="Calibri" w:cs="Times New Roman"/>
            <w:b/>
            <w:bCs/>
            <w:szCs w:val="24"/>
          </w:rPr>
          <w:t>Bae-Jump VL</w:t>
        </w:r>
      </w:hyperlink>
      <w:r w:rsidR="006F53C9" w:rsidRPr="00E003C7">
        <w:rPr>
          <w:rFonts w:eastAsia="Calibri" w:cs="Times New Roman"/>
          <w:b/>
          <w:bCs/>
          <w:szCs w:val="24"/>
        </w:rPr>
        <w:t>.</w:t>
      </w:r>
      <w:r w:rsidR="006F53C9" w:rsidRPr="00E003C7">
        <w:rPr>
          <w:rFonts w:eastAsiaTheme="majorEastAsia" w:cstheme="majorBidi"/>
          <w:b/>
          <w:bCs/>
          <w:color w:val="365F91" w:themeColor="accent1" w:themeShade="BF"/>
          <w:szCs w:val="24"/>
        </w:rPr>
        <w:t xml:space="preserve"> </w:t>
      </w:r>
      <w:r w:rsidR="006F53C9" w:rsidRPr="00E003C7">
        <w:rPr>
          <w:rFonts w:eastAsia="Calibri" w:cs="Times New Roman"/>
          <w:szCs w:val="24"/>
        </w:rPr>
        <w:t xml:space="preserve">Glucose promotes cell proliferation, glucose uptake and invasion in endometrial cancer cells via AMPK/mTOR/S6 and MAPK signaling. </w:t>
      </w:r>
      <w:r w:rsidR="006F53C9" w:rsidRPr="00E003C7">
        <w:rPr>
          <w:rFonts w:eastAsia="Calibri" w:cs="Times New Roman"/>
          <w:i/>
          <w:szCs w:val="24"/>
        </w:rPr>
        <w:t>Gynecologic Oncology</w:t>
      </w:r>
      <w:r w:rsidR="006F53C9" w:rsidRPr="00E003C7">
        <w:rPr>
          <w:rFonts w:eastAsia="Calibri" w:cs="Times New Roman"/>
          <w:szCs w:val="24"/>
        </w:rPr>
        <w:t xml:space="preserve"> 2015, 138 (3), 668-675. </w:t>
      </w:r>
    </w:p>
    <w:p w:rsidR="006F53C9" w:rsidRDefault="006F53C9" w:rsidP="004B5084">
      <w:pPr>
        <w:spacing w:before="120" w:after="240"/>
        <w:ind w:firstLine="0"/>
        <w:rPr>
          <w:rFonts w:eastAsia="Calibri" w:cs="Times New Roman"/>
          <w:szCs w:val="24"/>
        </w:rPr>
      </w:pPr>
      <w:r w:rsidRPr="00E003C7">
        <w:rPr>
          <w:b/>
          <w:szCs w:val="24"/>
        </w:rPr>
        <w:t xml:space="preserve">Han </w:t>
      </w:r>
      <w:hyperlink r:id="rId357" w:history="1">
        <w:r w:rsidRPr="00E003C7">
          <w:rPr>
            <w:b/>
            <w:szCs w:val="24"/>
          </w:rPr>
          <w:t xml:space="preserve">L, </w:t>
        </w:r>
      </w:hyperlink>
      <w:r w:rsidRPr="00E003C7">
        <w:rPr>
          <w:b/>
          <w:szCs w:val="24"/>
        </w:rPr>
        <w:t xml:space="preserve"> Ma </w:t>
      </w:r>
      <w:hyperlink r:id="rId358" w:history="1">
        <w:r w:rsidRPr="00E003C7">
          <w:rPr>
            <w:b/>
            <w:szCs w:val="24"/>
          </w:rPr>
          <w:t xml:space="preserve">Q, </w:t>
        </w:r>
      </w:hyperlink>
      <w:r w:rsidRPr="00E003C7">
        <w:rPr>
          <w:b/>
          <w:szCs w:val="24"/>
        </w:rPr>
        <w:t xml:space="preserve"> Li </w:t>
      </w:r>
      <w:hyperlink r:id="rId359" w:history="1">
        <w:r w:rsidRPr="00E003C7">
          <w:rPr>
            <w:b/>
            <w:szCs w:val="24"/>
          </w:rPr>
          <w:t xml:space="preserve">J, </w:t>
        </w:r>
      </w:hyperlink>
      <w:r w:rsidRPr="00E003C7">
        <w:rPr>
          <w:b/>
          <w:szCs w:val="24"/>
        </w:rPr>
        <w:t xml:space="preserve">Liu </w:t>
      </w:r>
      <w:hyperlink r:id="rId360" w:history="1">
        <w:r w:rsidRPr="00E003C7">
          <w:rPr>
            <w:b/>
            <w:szCs w:val="24"/>
          </w:rPr>
          <w:t xml:space="preserve">H, </w:t>
        </w:r>
      </w:hyperlink>
      <w:r w:rsidRPr="00E003C7">
        <w:rPr>
          <w:b/>
          <w:szCs w:val="24"/>
        </w:rPr>
        <w:t xml:space="preserve"> Li </w:t>
      </w:r>
      <w:hyperlink r:id="rId361" w:history="1">
        <w:r w:rsidRPr="00E003C7">
          <w:rPr>
            <w:b/>
            <w:szCs w:val="24"/>
          </w:rPr>
          <w:t xml:space="preserve">W, </w:t>
        </w:r>
      </w:hyperlink>
      <w:r w:rsidRPr="00E003C7">
        <w:rPr>
          <w:b/>
          <w:szCs w:val="24"/>
        </w:rPr>
        <w:t xml:space="preserve"> Ma </w:t>
      </w:r>
      <w:hyperlink r:id="rId362" w:history="1">
        <w:r w:rsidRPr="00E003C7">
          <w:rPr>
            <w:b/>
            <w:szCs w:val="24"/>
          </w:rPr>
          <w:t xml:space="preserve">G, </w:t>
        </w:r>
      </w:hyperlink>
      <w:r w:rsidRPr="00E003C7">
        <w:rPr>
          <w:b/>
          <w:szCs w:val="24"/>
        </w:rPr>
        <w:t xml:space="preserve"> Xu </w:t>
      </w:r>
      <w:hyperlink r:id="rId363" w:history="1">
        <w:r w:rsidRPr="00E003C7">
          <w:rPr>
            <w:b/>
            <w:szCs w:val="24"/>
          </w:rPr>
          <w:t xml:space="preserve">Q, </w:t>
        </w:r>
      </w:hyperlink>
      <w:r w:rsidRPr="00E003C7">
        <w:rPr>
          <w:b/>
          <w:szCs w:val="24"/>
        </w:rPr>
        <w:t>Zhou </w:t>
      </w:r>
      <w:hyperlink r:id="rId364" w:history="1">
        <w:r w:rsidRPr="00E003C7">
          <w:rPr>
            <w:b/>
            <w:szCs w:val="24"/>
          </w:rPr>
          <w:t xml:space="preserve">S, </w:t>
        </w:r>
      </w:hyperlink>
      <w:r w:rsidRPr="00E003C7">
        <w:rPr>
          <w:b/>
          <w:szCs w:val="24"/>
        </w:rPr>
        <w:t xml:space="preserve"> Wu </w:t>
      </w:r>
      <w:hyperlink r:id="rId365" w:history="1">
        <w:r w:rsidRPr="00E003C7">
          <w:rPr>
            <w:b/>
            <w:szCs w:val="24"/>
          </w:rPr>
          <w:t>E.</w:t>
        </w:r>
        <w:r w:rsidRPr="00E003C7">
          <w:rPr>
            <w:rFonts w:eastAsiaTheme="majorEastAsia" w:cstheme="majorBidi"/>
            <w:bCs/>
            <w:color w:val="365F91" w:themeColor="accent1" w:themeShade="BF"/>
            <w:szCs w:val="24"/>
          </w:rPr>
          <w:t xml:space="preserve"> </w:t>
        </w:r>
        <w:r w:rsidRPr="00E003C7">
          <w:rPr>
            <w:rFonts w:eastAsiaTheme="majorEastAsia"/>
            <w:bCs/>
            <w:szCs w:val="24"/>
          </w:rPr>
          <w:t xml:space="preserve"> </w:t>
        </w:r>
      </w:hyperlink>
      <w:r w:rsidRPr="00E003C7">
        <w:rPr>
          <w:rFonts w:ascii="Arial" w:eastAsiaTheme="majorEastAsia" w:hAnsi="Arial" w:cs="Arial"/>
          <w:color w:val="000000"/>
          <w:sz w:val="37"/>
          <w:szCs w:val="37"/>
        </w:rPr>
        <w:t xml:space="preserve"> </w:t>
      </w:r>
      <w:r w:rsidRPr="00E003C7">
        <w:rPr>
          <w:rFonts w:eastAsia="Calibri" w:cs="Times New Roman"/>
          <w:szCs w:val="24"/>
        </w:rPr>
        <w:t xml:space="preserve">High Glucose Promotes Pancreatic Cancer Cell Proliferation via the Induction of EGF Expression and Transactivation of EGFR. </w:t>
      </w:r>
      <w:hyperlink r:id="rId366" w:history="1">
        <w:r w:rsidRPr="00E003C7">
          <w:rPr>
            <w:rFonts w:eastAsia="Calibri" w:cs="Times New Roman"/>
            <w:i/>
            <w:szCs w:val="24"/>
          </w:rPr>
          <w:t>PLoS One</w:t>
        </w:r>
      </w:hyperlink>
      <w:r w:rsidRPr="00E003C7">
        <w:rPr>
          <w:rFonts w:eastAsia="Calibri" w:cs="Times New Roman"/>
          <w:szCs w:val="24"/>
        </w:rPr>
        <w:t xml:space="preserve"> 2011, 6 (11), e27074.</w:t>
      </w:r>
    </w:p>
    <w:p w:rsidR="006F53C9" w:rsidRPr="006F53C9" w:rsidRDefault="006F53C9" w:rsidP="004B5084">
      <w:pPr>
        <w:spacing w:before="120" w:after="240"/>
        <w:ind w:firstLine="0"/>
        <w:rPr>
          <w:rFonts w:eastAsia="Calibri" w:cs="Times New Roman"/>
          <w:bCs/>
          <w:szCs w:val="24"/>
        </w:rPr>
      </w:pPr>
      <w:r w:rsidRPr="006F53C9">
        <w:rPr>
          <w:rFonts w:eastAsia="Calibri" w:cs="Times New Roman"/>
          <w:b/>
          <w:bCs/>
          <w:szCs w:val="24"/>
        </w:rPr>
        <w:t xml:space="preserve">Hanahan D, Weinberg RA. </w:t>
      </w:r>
      <w:r w:rsidRPr="006F53C9">
        <w:rPr>
          <w:rFonts w:eastAsia="Calibri" w:cs="Times New Roman"/>
          <w:bCs/>
          <w:szCs w:val="24"/>
        </w:rPr>
        <w:t>The Hallmarks of Cancer</w:t>
      </w:r>
      <w:r w:rsidRPr="006F53C9">
        <w:rPr>
          <w:rFonts w:eastAsia="Calibri" w:cs="Times New Roman"/>
          <w:bCs/>
          <w:i/>
          <w:szCs w:val="24"/>
        </w:rPr>
        <w:t>.</w:t>
      </w:r>
      <w:r w:rsidRPr="006F53C9">
        <w:rPr>
          <w:rFonts w:eastAsia="Calibri" w:cs="Times New Roman"/>
          <w:b/>
          <w:bCs/>
          <w:i/>
          <w:szCs w:val="24"/>
        </w:rPr>
        <w:t xml:space="preserve"> </w:t>
      </w:r>
      <w:r w:rsidRPr="006F53C9">
        <w:rPr>
          <w:rFonts w:eastAsia="Calibri" w:cs="Times New Roman"/>
          <w:bCs/>
          <w:i/>
          <w:szCs w:val="24"/>
        </w:rPr>
        <w:t>Cell</w:t>
      </w:r>
      <w:r w:rsidRPr="006F53C9">
        <w:rPr>
          <w:rFonts w:eastAsia="Calibri" w:cs="Times New Roman"/>
          <w:bCs/>
          <w:szCs w:val="24"/>
        </w:rPr>
        <w:t xml:space="preserve"> 2000, 100 (1), 57-70.</w:t>
      </w:r>
    </w:p>
    <w:p w:rsidR="006F53C9" w:rsidRPr="00E003C7" w:rsidRDefault="006F53C9" w:rsidP="004B5084">
      <w:pPr>
        <w:keepNext/>
        <w:keepLines/>
        <w:shd w:val="clear" w:color="auto" w:fill="FFFFFF"/>
        <w:spacing w:before="120" w:after="240"/>
        <w:ind w:firstLine="0"/>
        <w:outlineLvl w:val="0"/>
        <w:rPr>
          <w:rFonts w:eastAsia="Calibri" w:cs="Times New Roman"/>
          <w:szCs w:val="24"/>
        </w:rPr>
      </w:pPr>
      <w:r w:rsidRPr="00E003C7">
        <w:rPr>
          <w:rFonts w:eastAsia="Calibri" w:cs="Times New Roman"/>
          <w:b/>
          <w:szCs w:val="24"/>
        </w:rPr>
        <w:t>Hanahan D, Weinberg RA.</w:t>
      </w:r>
      <w:r w:rsidRPr="00E003C7">
        <w:rPr>
          <w:rFonts w:eastAsia="Calibri" w:cs="Times New Roman"/>
          <w:szCs w:val="24"/>
        </w:rPr>
        <w:tab/>
        <w:t xml:space="preserve">Hallmarks of cancer: the next generation. </w:t>
      </w:r>
      <w:r w:rsidRPr="00E003C7">
        <w:rPr>
          <w:rFonts w:eastAsia="Calibri" w:cs="Times New Roman"/>
          <w:i/>
          <w:szCs w:val="24"/>
        </w:rPr>
        <w:t>Cell</w:t>
      </w:r>
      <w:r w:rsidRPr="00E003C7">
        <w:rPr>
          <w:rFonts w:eastAsia="Calibri" w:cs="Times New Roman"/>
          <w:szCs w:val="24"/>
        </w:rPr>
        <w:t xml:space="preserve"> 2011, 144(5), 646-674.</w:t>
      </w:r>
    </w:p>
    <w:p w:rsidR="006F53C9" w:rsidRPr="00E003C7" w:rsidRDefault="006F53C9" w:rsidP="004B5084">
      <w:pPr>
        <w:keepNext/>
        <w:keepLines/>
        <w:shd w:val="clear" w:color="auto" w:fill="FFFFFF"/>
        <w:spacing w:before="120" w:after="240"/>
        <w:ind w:firstLine="0"/>
        <w:outlineLvl w:val="0"/>
        <w:rPr>
          <w:rFonts w:eastAsia="Calibri" w:cs="Times New Roman"/>
          <w:szCs w:val="24"/>
        </w:rPr>
      </w:pPr>
      <w:r w:rsidRPr="00E003C7">
        <w:rPr>
          <w:rFonts w:eastAsiaTheme="majorEastAsia" w:cs="Times New Roman"/>
          <w:b/>
          <w:bCs/>
          <w:szCs w:val="24"/>
        </w:rPr>
        <w:t>Harada H.</w:t>
      </w:r>
      <w:r w:rsidRPr="00E003C7">
        <w:rPr>
          <w:rFonts w:eastAsia="Calibri" w:cs="Times New Roman"/>
          <w:szCs w:val="24"/>
        </w:rPr>
        <w:t xml:space="preserve"> Hypoxia-inducible factor 1-mediated characteristic features of cancer cells for tumor radioresistance</w:t>
      </w:r>
      <w:r w:rsidRPr="00E003C7">
        <w:rPr>
          <w:rFonts w:eastAsia="Calibri" w:cs="Times New Roman"/>
          <w:i/>
          <w:szCs w:val="24"/>
        </w:rPr>
        <w:t>. Journal of Radiation Research</w:t>
      </w:r>
      <w:r w:rsidRPr="00E003C7">
        <w:rPr>
          <w:rFonts w:eastAsia="Calibri" w:cs="Times New Roman"/>
          <w:szCs w:val="24"/>
        </w:rPr>
        <w:t xml:space="preserve"> 2016, 57, i99–i105.</w:t>
      </w:r>
    </w:p>
    <w:p w:rsidR="006F53C9" w:rsidRPr="00E003C7" w:rsidRDefault="0037177D" w:rsidP="004B5084">
      <w:pPr>
        <w:keepNext/>
        <w:keepLines/>
        <w:shd w:val="clear" w:color="auto" w:fill="FFFFFF"/>
        <w:spacing w:before="120" w:after="240"/>
        <w:ind w:firstLine="0"/>
        <w:outlineLvl w:val="0"/>
        <w:rPr>
          <w:rFonts w:eastAsia="Calibri" w:cs="Times New Roman"/>
          <w:szCs w:val="24"/>
        </w:rPr>
      </w:pPr>
      <w:hyperlink r:id="rId367" w:history="1">
        <w:r w:rsidR="006F53C9" w:rsidRPr="00E003C7">
          <w:rPr>
            <w:rFonts w:eastAsia="Calibri" w:cs="Times New Roman"/>
            <w:b/>
            <w:szCs w:val="24"/>
          </w:rPr>
          <w:t>Harada K</w:t>
        </w:r>
      </w:hyperlink>
      <w:r w:rsidR="006F53C9" w:rsidRPr="00E003C7">
        <w:rPr>
          <w:rFonts w:eastAsia="Calibri" w:cs="Times New Roman"/>
          <w:b/>
          <w:szCs w:val="24"/>
        </w:rPr>
        <w:t>, </w:t>
      </w:r>
      <w:hyperlink r:id="rId368" w:history="1">
        <w:r w:rsidR="006F53C9" w:rsidRPr="00E003C7">
          <w:rPr>
            <w:rFonts w:eastAsia="Calibri" w:cs="Times New Roman"/>
            <w:b/>
            <w:szCs w:val="24"/>
          </w:rPr>
          <w:t>Ferdous T</w:t>
        </w:r>
      </w:hyperlink>
      <w:r w:rsidR="006F53C9" w:rsidRPr="00E003C7">
        <w:rPr>
          <w:rFonts w:eastAsia="Calibri" w:cs="Times New Roman"/>
          <w:b/>
          <w:szCs w:val="24"/>
        </w:rPr>
        <w:t>, </w:t>
      </w:r>
      <w:hyperlink r:id="rId369" w:history="1">
        <w:r w:rsidR="006F53C9" w:rsidRPr="00E003C7">
          <w:rPr>
            <w:rFonts w:eastAsia="Calibri" w:cs="Times New Roman"/>
            <w:b/>
            <w:szCs w:val="24"/>
          </w:rPr>
          <w:t>Harada T</w:t>
        </w:r>
      </w:hyperlink>
      <w:r w:rsidR="006F53C9" w:rsidRPr="00E003C7">
        <w:rPr>
          <w:rFonts w:eastAsia="Calibri" w:cs="Times New Roman"/>
          <w:b/>
          <w:szCs w:val="24"/>
        </w:rPr>
        <w:t>, </w:t>
      </w:r>
      <w:hyperlink r:id="rId370" w:history="1">
        <w:r w:rsidR="006F53C9" w:rsidRPr="00E003C7">
          <w:rPr>
            <w:rFonts w:eastAsia="Calibri" w:cs="Times New Roman"/>
            <w:b/>
            <w:szCs w:val="24"/>
          </w:rPr>
          <w:t>Ueyama Y</w:t>
        </w:r>
      </w:hyperlink>
      <w:r w:rsidR="006F53C9" w:rsidRPr="00E003C7">
        <w:rPr>
          <w:rFonts w:eastAsia="Calibri" w:cs="Times New Roman"/>
          <w:b/>
          <w:szCs w:val="24"/>
        </w:rPr>
        <w:t>.</w:t>
      </w:r>
      <w:r w:rsidR="006F53C9" w:rsidRPr="00E003C7">
        <w:rPr>
          <w:rFonts w:eastAsia="Calibri" w:cs="Times New Roman"/>
          <w:szCs w:val="24"/>
        </w:rPr>
        <w:t xml:space="preserve"> Metformin in combination with 5-fluorouracil suppresses tumor growth by inhibiting the Warburg effect in human oral squamous cell carcinoma. </w:t>
      </w:r>
      <w:r w:rsidR="006F53C9" w:rsidRPr="00E003C7">
        <w:rPr>
          <w:rFonts w:eastAsia="Calibri" w:cs="Times New Roman"/>
          <w:i/>
          <w:szCs w:val="24"/>
        </w:rPr>
        <w:t>International Journal of Oncology</w:t>
      </w:r>
      <w:r w:rsidR="006F53C9" w:rsidRPr="00E003C7">
        <w:rPr>
          <w:rFonts w:eastAsia="Calibri" w:cs="Times New Roman"/>
          <w:szCs w:val="24"/>
        </w:rPr>
        <w:t xml:space="preserve"> 2016, 49 (1), 276-284. </w:t>
      </w:r>
    </w:p>
    <w:p w:rsidR="006F53C9" w:rsidRPr="00E003C7" w:rsidRDefault="006F53C9" w:rsidP="004B5084">
      <w:pPr>
        <w:spacing w:before="120" w:after="240"/>
        <w:ind w:firstLine="0"/>
        <w:rPr>
          <w:rFonts w:eastAsia="Calibri" w:cs="Times New Roman"/>
          <w:szCs w:val="24"/>
        </w:rPr>
      </w:pPr>
      <w:r w:rsidRPr="00E003C7">
        <w:rPr>
          <w:rFonts w:eastAsia="Calibri" w:cs="Times New Roman"/>
          <w:b/>
          <w:szCs w:val="24"/>
        </w:rPr>
        <w:t>Hardie DG.</w:t>
      </w:r>
      <w:r w:rsidRPr="00E003C7">
        <w:rPr>
          <w:rFonts w:eastAsia="Calibri" w:cs="Times New Roman"/>
          <w:szCs w:val="24"/>
        </w:rPr>
        <w:t xml:space="preserve"> The AMP-activated protein kinase pathway – new players upstream and downstream. </w:t>
      </w:r>
      <w:r w:rsidRPr="00E003C7">
        <w:rPr>
          <w:rFonts w:eastAsia="Calibri" w:cs="Times New Roman"/>
          <w:i/>
          <w:szCs w:val="24"/>
        </w:rPr>
        <w:t>Journal of Cell Science</w:t>
      </w:r>
      <w:r w:rsidRPr="00E003C7">
        <w:rPr>
          <w:rFonts w:eastAsia="Calibri" w:cs="Times New Roman"/>
          <w:szCs w:val="24"/>
        </w:rPr>
        <w:t xml:space="preserve"> 2004,117, 5479–5487.</w:t>
      </w:r>
    </w:p>
    <w:p w:rsidR="006F53C9" w:rsidRPr="00E003C7" w:rsidRDefault="006F53C9" w:rsidP="004B5084">
      <w:pPr>
        <w:keepNext/>
        <w:keepLines/>
        <w:shd w:val="clear" w:color="auto" w:fill="FFFFFF"/>
        <w:spacing w:before="120" w:after="240"/>
        <w:ind w:firstLine="0"/>
        <w:outlineLvl w:val="0"/>
        <w:rPr>
          <w:rFonts w:eastAsia="Calibri" w:cs="Times New Roman"/>
          <w:szCs w:val="24"/>
        </w:rPr>
      </w:pPr>
      <w:r w:rsidRPr="00E003C7">
        <w:rPr>
          <w:rFonts w:eastAsia="Calibri" w:cs="Times New Roman"/>
          <w:b/>
          <w:szCs w:val="24"/>
        </w:rPr>
        <w:t>Harris AL.</w:t>
      </w:r>
      <w:r w:rsidRPr="00E003C7">
        <w:rPr>
          <w:rFonts w:asciiTheme="majorHAnsi" w:eastAsiaTheme="majorEastAsia" w:hAnsiTheme="majorHAnsi" w:cstheme="majorBidi"/>
          <w:b/>
          <w:bCs/>
          <w:color w:val="365F91" w:themeColor="accent1" w:themeShade="BF"/>
          <w:sz w:val="28"/>
          <w:szCs w:val="28"/>
        </w:rPr>
        <w:t xml:space="preserve"> </w:t>
      </w:r>
      <w:r w:rsidRPr="00E003C7">
        <w:rPr>
          <w:rFonts w:eastAsia="Calibri" w:cs="Times New Roman"/>
          <w:szCs w:val="24"/>
        </w:rPr>
        <w:t xml:space="preserve">Hypoxia a key regulatory factor in tumour growth. </w:t>
      </w:r>
      <w:r w:rsidRPr="00E003C7">
        <w:rPr>
          <w:rFonts w:eastAsia="Calibri" w:cs="Times New Roman"/>
          <w:i/>
          <w:szCs w:val="24"/>
        </w:rPr>
        <w:t>Nature reviews. Cancer</w:t>
      </w:r>
      <w:r w:rsidRPr="00E003C7">
        <w:rPr>
          <w:rFonts w:eastAsia="Calibri" w:cs="Times New Roman"/>
          <w:szCs w:val="24"/>
        </w:rPr>
        <w:t xml:space="preserve"> 2002, 2 (1), 38-47. </w:t>
      </w:r>
    </w:p>
    <w:p w:rsidR="006F53C9" w:rsidRPr="00E003C7" w:rsidRDefault="006F53C9" w:rsidP="004B5084">
      <w:pPr>
        <w:keepNext/>
        <w:keepLines/>
        <w:spacing w:before="120" w:after="240"/>
        <w:ind w:firstLine="0"/>
        <w:outlineLvl w:val="0"/>
        <w:rPr>
          <w:rFonts w:eastAsia="Calibri" w:cs="Times New Roman"/>
          <w:szCs w:val="24"/>
        </w:rPr>
      </w:pPr>
      <w:r w:rsidRPr="00E003C7">
        <w:rPr>
          <w:rFonts w:eastAsiaTheme="majorEastAsia" w:cs="Times New Roman"/>
          <w:b/>
          <w:bCs/>
          <w:szCs w:val="24"/>
        </w:rPr>
        <w:t>Hasawi NA, Alkandari MF, Luqmani YA.</w:t>
      </w:r>
      <w:r w:rsidRPr="00E003C7">
        <w:rPr>
          <w:rFonts w:eastAsiaTheme="majorEastAsia" w:cstheme="majorBidi"/>
          <w:b/>
          <w:bCs/>
          <w:color w:val="365F91" w:themeColor="accent1" w:themeShade="BF"/>
          <w:szCs w:val="24"/>
        </w:rPr>
        <w:t xml:space="preserve"> </w:t>
      </w:r>
      <w:r w:rsidRPr="00E003C7">
        <w:rPr>
          <w:rFonts w:eastAsia="Calibri" w:cs="Times New Roman"/>
          <w:szCs w:val="24"/>
        </w:rPr>
        <w:t xml:space="preserve">Phosphofructokinase: A mediator of glycolytic flux in cancer progression. </w:t>
      </w:r>
      <w:r w:rsidRPr="00E003C7">
        <w:rPr>
          <w:rFonts w:eastAsia="Calibri" w:cs="Times New Roman"/>
          <w:i/>
          <w:szCs w:val="24"/>
        </w:rPr>
        <w:t>Critical Reviews in Oncology/Hematology</w:t>
      </w:r>
      <w:r w:rsidRPr="00E003C7">
        <w:rPr>
          <w:rFonts w:eastAsia="Calibri" w:cs="Times New Roman"/>
          <w:szCs w:val="24"/>
        </w:rPr>
        <w:t xml:space="preserve"> 2014, 92 (3), 312-321.</w:t>
      </w:r>
    </w:p>
    <w:p w:rsidR="006F53C9" w:rsidRDefault="006F53C9" w:rsidP="004B5084">
      <w:pPr>
        <w:autoSpaceDE w:val="0"/>
        <w:autoSpaceDN w:val="0"/>
        <w:adjustRightInd w:val="0"/>
        <w:spacing w:before="120" w:after="240"/>
        <w:ind w:firstLine="0"/>
        <w:rPr>
          <w:rFonts w:eastAsia="Calibri" w:cs="Times New Roman"/>
          <w:szCs w:val="24"/>
        </w:rPr>
      </w:pPr>
      <w:r w:rsidRPr="00E003C7">
        <w:rPr>
          <w:rFonts w:eastAsiaTheme="majorEastAsia" w:cs="Times New Roman"/>
          <w:b/>
          <w:bCs/>
          <w:szCs w:val="24"/>
        </w:rPr>
        <w:t>Hayashi M, Sakata M, Takeda T, Yamamoto T, Okamoto Y, Sawada K, Kimura A, Minekawa R, Tahara M, Tasaka K, Murata Y.</w:t>
      </w:r>
      <w:r w:rsidRPr="00E003C7">
        <w:rPr>
          <w:rFonts w:eastAsia="Calibri" w:cs="Times New Roman"/>
          <w:szCs w:val="24"/>
        </w:rPr>
        <w:t xml:space="preserve"> Induction of glucosetransporter 1 expression through hypoxia-inducible factor 1alpha under hypox-ic conditions in trophoblast-derived cells. </w:t>
      </w:r>
      <w:r w:rsidRPr="00E003C7">
        <w:rPr>
          <w:rFonts w:eastAsia="Calibri" w:cs="Times New Roman"/>
          <w:i/>
          <w:szCs w:val="24"/>
        </w:rPr>
        <w:t>The Journal Endocrinology</w:t>
      </w:r>
      <w:r w:rsidRPr="00E003C7">
        <w:rPr>
          <w:rFonts w:eastAsia="Calibri" w:cs="Times New Roman"/>
          <w:szCs w:val="24"/>
        </w:rPr>
        <w:t xml:space="preserve"> 2004, 183, 145–154.</w:t>
      </w:r>
    </w:p>
    <w:p w:rsidR="006F53C9" w:rsidRPr="00E003C7" w:rsidRDefault="006F53C9" w:rsidP="004B5084">
      <w:pPr>
        <w:autoSpaceDE w:val="0"/>
        <w:autoSpaceDN w:val="0"/>
        <w:adjustRightInd w:val="0"/>
        <w:spacing w:before="120" w:after="240"/>
        <w:ind w:firstLine="0"/>
        <w:rPr>
          <w:rFonts w:eastAsia="Calibri" w:cs="Times New Roman"/>
          <w:szCs w:val="24"/>
        </w:rPr>
      </w:pPr>
      <w:r w:rsidRPr="00E003C7">
        <w:rPr>
          <w:rFonts w:eastAsia="Calibri" w:cs="Times New Roman"/>
          <w:b/>
          <w:szCs w:val="24"/>
        </w:rPr>
        <w:lastRenderedPageBreak/>
        <w:t>Herling A, König M, Bulik S, Holzhütter HG.</w:t>
      </w:r>
      <w:r w:rsidRPr="00E003C7">
        <w:rPr>
          <w:rFonts w:asciiTheme="majorHAnsi" w:eastAsiaTheme="majorEastAsia" w:hAnsiTheme="majorHAnsi" w:cstheme="majorBidi"/>
          <w:b/>
          <w:bCs/>
          <w:color w:val="4F81BD" w:themeColor="accent1"/>
          <w:sz w:val="26"/>
          <w:szCs w:val="26"/>
        </w:rPr>
        <w:t xml:space="preserve"> </w:t>
      </w:r>
      <w:r w:rsidRPr="00E003C7">
        <w:rPr>
          <w:rFonts w:eastAsia="Calibri" w:cs="Times New Roman"/>
          <w:szCs w:val="24"/>
        </w:rPr>
        <w:t xml:space="preserve">Enzymatic features of the glucose metabolism in tumor cells. </w:t>
      </w:r>
      <w:r w:rsidRPr="00E003C7">
        <w:rPr>
          <w:rFonts w:eastAsia="Calibri" w:cs="Times New Roman"/>
          <w:i/>
          <w:szCs w:val="24"/>
        </w:rPr>
        <w:t>The FEBS Journal</w:t>
      </w:r>
      <w:r w:rsidRPr="00E003C7">
        <w:rPr>
          <w:rFonts w:eastAsia="Calibri" w:cs="Times New Roman"/>
          <w:szCs w:val="24"/>
        </w:rPr>
        <w:t xml:space="preserve"> 2011, 278, 2436-2459. </w:t>
      </w:r>
    </w:p>
    <w:p w:rsidR="006F53C9" w:rsidRPr="00E003C7" w:rsidRDefault="0037177D" w:rsidP="004B5084">
      <w:pPr>
        <w:keepNext/>
        <w:keepLines/>
        <w:shd w:val="clear" w:color="auto" w:fill="FFFFFF"/>
        <w:spacing w:before="120" w:after="240"/>
        <w:ind w:firstLine="0"/>
        <w:outlineLvl w:val="0"/>
        <w:rPr>
          <w:rFonts w:eastAsia="Calibri" w:cs="Times New Roman"/>
          <w:szCs w:val="24"/>
        </w:rPr>
      </w:pPr>
      <w:hyperlink r:id="rId371" w:history="1">
        <w:r w:rsidR="006F53C9" w:rsidRPr="00E003C7">
          <w:rPr>
            <w:rFonts w:eastAsiaTheme="majorEastAsia" w:cs="Times New Roman"/>
            <w:b/>
            <w:bCs/>
            <w:szCs w:val="24"/>
          </w:rPr>
          <w:t>Hildebrandt T</w:t>
        </w:r>
      </w:hyperlink>
      <w:r w:rsidR="006F53C9" w:rsidRPr="00E003C7">
        <w:rPr>
          <w:rFonts w:eastAsiaTheme="majorEastAsia" w:cs="Times New Roman"/>
          <w:b/>
          <w:bCs/>
          <w:szCs w:val="24"/>
        </w:rPr>
        <w:t>, </w:t>
      </w:r>
      <w:hyperlink r:id="rId372" w:history="1">
        <w:r w:rsidR="006F53C9" w:rsidRPr="00E003C7">
          <w:rPr>
            <w:rFonts w:eastAsiaTheme="majorEastAsia" w:cs="Times New Roman"/>
            <w:b/>
            <w:bCs/>
            <w:szCs w:val="24"/>
          </w:rPr>
          <w:t>Knuesting J</w:t>
        </w:r>
      </w:hyperlink>
      <w:r w:rsidR="006F53C9" w:rsidRPr="00E003C7">
        <w:rPr>
          <w:rFonts w:eastAsiaTheme="majorEastAsia" w:cs="Times New Roman"/>
          <w:b/>
          <w:bCs/>
          <w:szCs w:val="24"/>
        </w:rPr>
        <w:t>, </w:t>
      </w:r>
      <w:hyperlink r:id="rId373" w:history="1">
        <w:r w:rsidR="006F53C9" w:rsidRPr="00E003C7">
          <w:rPr>
            <w:rFonts w:eastAsiaTheme="majorEastAsia" w:cs="Times New Roman"/>
            <w:b/>
            <w:bCs/>
            <w:szCs w:val="24"/>
          </w:rPr>
          <w:t>Berndt C</w:t>
        </w:r>
      </w:hyperlink>
      <w:r w:rsidR="006F53C9" w:rsidRPr="00E003C7">
        <w:rPr>
          <w:rFonts w:eastAsiaTheme="majorEastAsia" w:cs="Times New Roman"/>
          <w:b/>
          <w:bCs/>
          <w:szCs w:val="24"/>
        </w:rPr>
        <w:t>, </w:t>
      </w:r>
      <w:hyperlink r:id="rId374" w:history="1">
        <w:r w:rsidR="006F53C9" w:rsidRPr="00E003C7">
          <w:rPr>
            <w:rFonts w:eastAsiaTheme="majorEastAsia" w:cs="Times New Roman"/>
            <w:b/>
            <w:bCs/>
            <w:szCs w:val="24"/>
          </w:rPr>
          <w:t>Morgan B</w:t>
        </w:r>
      </w:hyperlink>
      <w:r w:rsidR="006F53C9" w:rsidRPr="00E003C7">
        <w:rPr>
          <w:rFonts w:eastAsiaTheme="majorEastAsia" w:cs="Times New Roman"/>
          <w:b/>
          <w:bCs/>
          <w:szCs w:val="24"/>
        </w:rPr>
        <w:t>, </w:t>
      </w:r>
      <w:hyperlink r:id="rId375" w:history="1">
        <w:r w:rsidR="006F53C9" w:rsidRPr="00E003C7">
          <w:rPr>
            <w:rFonts w:eastAsiaTheme="majorEastAsia" w:cs="Times New Roman"/>
            <w:b/>
            <w:bCs/>
            <w:szCs w:val="24"/>
          </w:rPr>
          <w:t>Scheibe R</w:t>
        </w:r>
      </w:hyperlink>
      <w:r w:rsidR="006F53C9" w:rsidRPr="00E003C7">
        <w:rPr>
          <w:rFonts w:eastAsiaTheme="majorEastAsia" w:cs="Times New Roman"/>
          <w:b/>
          <w:bCs/>
          <w:szCs w:val="24"/>
        </w:rPr>
        <w:t>.</w:t>
      </w:r>
      <w:r w:rsidR="006F53C9" w:rsidRPr="00E003C7">
        <w:rPr>
          <w:rFonts w:eastAsia="Calibri" w:cs="Times New Roman"/>
          <w:szCs w:val="24"/>
        </w:rPr>
        <w:t xml:space="preserve"> Cytosolic thiol switches regulating basic cellular functions: GAPDH as an information hub? </w:t>
      </w:r>
      <w:r w:rsidR="006F53C9" w:rsidRPr="00E003C7">
        <w:rPr>
          <w:rFonts w:eastAsia="Calibri" w:cs="Times New Roman"/>
          <w:i/>
          <w:szCs w:val="24"/>
        </w:rPr>
        <w:t xml:space="preserve">Biological chemistry </w:t>
      </w:r>
      <w:r w:rsidR="006F53C9" w:rsidRPr="00E003C7">
        <w:rPr>
          <w:rFonts w:eastAsia="Calibri" w:cs="Times New Roman"/>
          <w:szCs w:val="24"/>
        </w:rPr>
        <w:t xml:space="preserve">2015, 396 (5), 523-537. </w:t>
      </w:r>
    </w:p>
    <w:p w:rsidR="006F53C9" w:rsidRPr="00E003C7" w:rsidRDefault="0037177D" w:rsidP="004B5084">
      <w:pPr>
        <w:keepNext/>
        <w:keepLines/>
        <w:shd w:val="clear" w:color="auto" w:fill="FFFFFF"/>
        <w:spacing w:before="120" w:after="240"/>
        <w:ind w:firstLine="0"/>
        <w:outlineLvl w:val="0"/>
        <w:rPr>
          <w:rFonts w:eastAsia="Calibri" w:cs="Times New Roman"/>
          <w:szCs w:val="24"/>
        </w:rPr>
      </w:pPr>
      <w:hyperlink r:id="rId376" w:history="1">
        <w:r w:rsidR="006F53C9" w:rsidRPr="00E003C7">
          <w:rPr>
            <w:rFonts w:eastAsia="Calibri" w:cs="Times New Roman"/>
            <w:b/>
            <w:szCs w:val="24"/>
          </w:rPr>
          <w:t>Hirschhaeuser F</w:t>
        </w:r>
      </w:hyperlink>
      <w:r w:rsidR="006F53C9" w:rsidRPr="00E003C7">
        <w:rPr>
          <w:rFonts w:eastAsia="Calibri" w:cs="Times New Roman"/>
          <w:b/>
          <w:szCs w:val="24"/>
        </w:rPr>
        <w:t>, </w:t>
      </w:r>
      <w:hyperlink r:id="rId377" w:history="1">
        <w:r w:rsidR="006F53C9" w:rsidRPr="00E003C7">
          <w:rPr>
            <w:rFonts w:eastAsia="Calibri" w:cs="Times New Roman"/>
            <w:b/>
            <w:szCs w:val="24"/>
          </w:rPr>
          <w:t>Sattler UG</w:t>
        </w:r>
      </w:hyperlink>
      <w:r w:rsidR="006F53C9" w:rsidRPr="00E003C7">
        <w:rPr>
          <w:rFonts w:eastAsia="Calibri" w:cs="Times New Roman"/>
          <w:b/>
          <w:szCs w:val="24"/>
        </w:rPr>
        <w:t>, </w:t>
      </w:r>
      <w:hyperlink r:id="rId378" w:history="1">
        <w:r w:rsidR="006F53C9" w:rsidRPr="00E003C7">
          <w:rPr>
            <w:rFonts w:eastAsia="Calibri" w:cs="Times New Roman"/>
            <w:b/>
            <w:szCs w:val="24"/>
          </w:rPr>
          <w:t>Mueller-Klieser W</w:t>
        </w:r>
      </w:hyperlink>
      <w:r w:rsidR="006F53C9" w:rsidRPr="00E003C7">
        <w:rPr>
          <w:rFonts w:eastAsia="Calibri" w:cs="Times New Roman"/>
          <w:b/>
          <w:szCs w:val="24"/>
        </w:rPr>
        <w:t xml:space="preserve">. </w:t>
      </w:r>
      <w:r w:rsidR="006F53C9" w:rsidRPr="00E003C7">
        <w:rPr>
          <w:rFonts w:eastAsia="Calibri" w:cs="Times New Roman"/>
          <w:szCs w:val="24"/>
        </w:rPr>
        <w:t xml:space="preserve">Lactate: a metabolic key player in cancer. </w:t>
      </w:r>
      <w:r w:rsidR="006F53C9" w:rsidRPr="00E003C7">
        <w:rPr>
          <w:rFonts w:eastAsia="Calibri" w:cs="Times New Roman"/>
          <w:i/>
          <w:szCs w:val="24"/>
        </w:rPr>
        <w:t>Cancer Research</w:t>
      </w:r>
      <w:r w:rsidR="006F53C9" w:rsidRPr="00E003C7">
        <w:rPr>
          <w:rFonts w:eastAsia="Calibri" w:cs="Times New Roman"/>
          <w:szCs w:val="24"/>
        </w:rPr>
        <w:t xml:space="preserve"> 2011, 71(22), 6921-6925. </w:t>
      </w:r>
    </w:p>
    <w:p w:rsidR="006F53C9" w:rsidRPr="00E003C7" w:rsidRDefault="006F53C9" w:rsidP="004B5084">
      <w:pPr>
        <w:spacing w:before="120" w:after="240"/>
        <w:ind w:firstLine="0"/>
        <w:rPr>
          <w:rFonts w:eastAsia="Calibri" w:cs="Times New Roman"/>
          <w:szCs w:val="24"/>
        </w:rPr>
      </w:pPr>
      <w:r w:rsidRPr="00E003C7">
        <w:rPr>
          <w:rFonts w:eastAsia="Calibri" w:cs="Times New Roman"/>
          <w:b/>
          <w:szCs w:val="24"/>
        </w:rPr>
        <w:t xml:space="preserve">Hitosugi T, Kang S, Heiden MGV, Chung TW, Elf S, Lythgoe K, Dong S, Lonial S, Wang X, Chen GZ, Xie J, Gu TL, Polakiewicz RD, Roesel JL, Boggon TJ, Khuri FR, Gilliland DG, Cantley LC, Kaufman J, Chen J. </w:t>
      </w:r>
      <w:r w:rsidRPr="00E003C7">
        <w:rPr>
          <w:rFonts w:eastAsia="Calibri" w:cs="Times New Roman"/>
          <w:szCs w:val="24"/>
        </w:rPr>
        <w:t xml:space="preserve">Tyrosine Phosphorylation Inhibits PKM2 to Promote the Warburg Effect and Tumor Growth. </w:t>
      </w:r>
      <w:r w:rsidRPr="00E003C7">
        <w:rPr>
          <w:rFonts w:eastAsia="Calibri" w:cs="Times New Roman"/>
          <w:i/>
          <w:szCs w:val="24"/>
        </w:rPr>
        <w:t>Science Signalling</w:t>
      </w:r>
      <w:r w:rsidRPr="00E003C7">
        <w:rPr>
          <w:rFonts w:eastAsia="Calibri" w:cs="Times New Roman"/>
          <w:szCs w:val="24"/>
        </w:rPr>
        <w:t xml:space="preserve"> 2009, 2, ra73.</w:t>
      </w:r>
    </w:p>
    <w:p w:rsidR="006F53C9" w:rsidRPr="00E003C7" w:rsidRDefault="006F53C9" w:rsidP="004B5084">
      <w:pPr>
        <w:spacing w:before="120" w:after="240"/>
        <w:ind w:firstLine="0"/>
        <w:rPr>
          <w:rFonts w:eastAsia="Calibri" w:cs="Times New Roman"/>
          <w:szCs w:val="24"/>
        </w:rPr>
      </w:pPr>
      <w:r w:rsidRPr="00E003C7">
        <w:rPr>
          <w:rFonts w:eastAsia="Calibri" w:cs="Times New Roman"/>
          <w:b/>
          <w:szCs w:val="24"/>
        </w:rPr>
        <w:t xml:space="preserve">Hitosugi T, Zhou L, Elf S, Fan J, Kang HB, Seo JH, Shan C, Dai Q, Zhang L, Xie J, Gu TL, Jin P, Aleckovic M, LeRoy G, Kang Y, Sudderth JA, DeBerardinis RJ, Luan CH, Chen GZ, Muller S, Shin DM, Owonikoko TK, Lonial S, Arellano ML, Khoury HJ, Khuri FR, Lee BH, Ye K, Boggon TJ, Kang S, He C, Chen J. </w:t>
      </w:r>
      <w:r w:rsidRPr="00E003C7">
        <w:rPr>
          <w:rFonts w:eastAsia="Calibri" w:cs="Times New Roman"/>
          <w:szCs w:val="24"/>
        </w:rPr>
        <w:t xml:space="preserve">Phosphoglycerate Mutase 1 Coordinates Glycolysisand Biosynthesis to Promote Tumor Growth. </w:t>
      </w:r>
      <w:r w:rsidRPr="00E003C7">
        <w:rPr>
          <w:rFonts w:eastAsia="Calibri" w:cs="Times New Roman"/>
          <w:i/>
          <w:szCs w:val="24"/>
        </w:rPr>
        <w:t>Cancer cell</w:t>
      </w:r>
      <w:r w:rsidRPr="00E003C7">
        <w:rPr>
          <w:rFonts w:eastAsia="Calibri" w:cs="Times New Roman"/>
          <w:szCs w:val="24"/>
        </w:rPr>
        <w:t xml:space="preserve"> 2012, 22, 585-600.</w:t>
      </w:r>
    </w:p>
    <w:p w:rsidR="006F53C9" w:rsidRPr="00E003C7" w:rsidRDefault="006F53C9" w:rsidP="004B5084">
      <w:pPr>
        <w:spacing w:before="120" w:after="240"/>
        <w:ind w:firstLine="0"/>
        <w:rPr>
          <w:rFonts w:eastAsia="Calibri" w:cs="Times New Roman"/>
          <w:szCs w:val="24"/>
        </w:rPr>
      </w:pPr>
      <w:r w:rsidRPr="00E003C7">
        <w:rPr>
          <w:rFonts w:eastAsia="Calibri" w:cs="Times New Roman"/>
          <w:b/>
          <w:szCs w:val="24"/>
        </w:rPr>
        <w:t>Ho N, Choomber BL.</w:t>
      </w:r>
      <w:r w:rsidRPr="00E003C7">
        <w:rPr>
          <w:rFonts w:ascii="Calibri" w:eastAsia="Calibri" w:hAnsi="Calibri" w:cs="Times New Roman"/>
          <w:sz w:val="22"/>
        </w:rPr>
        <w:t xml:space="preserve"> </w:t>
      </w:r>
      <w:r w:rsidRPr="00E003C7">
        <w:rPr>
          <w:rFonts w:eastAsia="Calibri" w:cs="Times New Roman"/>
          <w:bCs/>
          <w:szCs w:val="24"/>
        </w:rPr>
        <w:t xml:space="preserve">Hexokinase II expression is correlated with colorectal cancer prognosis. </w:t>
      </w:r>
      <w:r w:rsidRPr="00E003C7">
        <w:rPr>
          <w:rFonts w:eastAsia="Calibri" w:cs="Times New Roman"/>
          <w:bCs/>
          <w:i/>
          <w:szCs w:val="24"/>
        </w:rPr>
        <w:t>Cancer Treatment Communications</w:t>
      </w:r>
      <w:r w:rsidRPr="00E003C7">
        <w:rPr>
          <w:rFonts w:eastAsia="Calibri" w:cs="Times New Roman"/>
          <w:bCs/>
          <w:szCs w:val="24"/>
        </w:rPr>
        <w:t xml:space="preserve"> 2016, 6, 11-16.</w:t>
      </w:r>
    </w:p>
    <w:p w:rsidR="006F53C9" w:rsidRPr="00F3512F" w:rsidRDefault="006F53C9" w:rsidP="004B5084">
      <w:pPr>
        <w:spacing w:before="120" w:after="240"/>
        <w:ind w:firstLine="0"/>
        <w:rPr>
          <w:rFonts w:eastAsia="Calibri" w:cs="Times New Roman"/>
          <w:szCs w:val="24"/>
        </w:rPr>
      </w:pPr>
      <w:r w:rsidRPr="00F3512F">
        <w:rPr>
          <w:rFonts w:eastAsia="Calibri" w:cs="Times New Roman"/>
          <w:b/>
          <w:szCs w:val="24"/>
        </w:rPr>
        <w:t>Holm E, Hagmuller E, Staedt U, Schlickeiser G, Gunther HJ, Leweling H,  </w:t>
      </w:r>
      <w:hyperlink r:id="rId379" w:history="1">
        <w:r w:rsidRPr="00F3512F">
          <w:rPr>
            <w:rFonts w:eastAsia="Calibri" w:cs="Times New Roman"/>
            <w:b/>
            <w:szCs w:val="24"/>
          </w:rPr>
          <w:t>Tokus M</w:t>
        </w:r>
      </w:hyperlink>
      <w:r w:rsidRPr="00F3512F">
        <w:rPr>
          <w:rFonts w:eastAsia="Calibri" w:cs="Times New Roman"/>
          <w:b/>
          <w:szCs w:val="24"/>
        </w:rPr>
        <w:t>, </w:t>
      </w:r>
      <w:hyperlink r:id="rId380" w:history="1">
        <w:r w:rsidRPr="00F3512F">
          <w:rPr>
            <w:rFonts w:eastAsia="Calibri" w:cs="Times New Roman"/>
            <w:b/>
            <w:szCs w:val="24"/>
          </w:rPr>
          <w:t>Kollmar HB</w:t>
        </w:r>
      </w:hyperlink>
      <w:r w:rsidRPr="00F3512F">
        <w:rPr>
          <w:rFonts w:eastAsia="Calibri" w:cs="Times New Roman"/>
          <w:b/>
          <w:szCs w:val="24"/>
        </w:rPr>
        <w:t>.</w:t>
      </w:r>
      <w:r w:rsidRPr="00F3512F">
        <w:rPr>
          <w:rFonts w:eastAsia="Calibri" w:cs="Times New Roman"/>
          <w:szCs w:val="24"/>
        </w:rPr>
        <w:t xml:space="preserve"> Substrate balances across colonic carcinomas in humans. </w:t>
      </w:r>
      <w:r w:rsidRPr="00F3512F">
        <w:rPr>
          <w:rFonts w:eastAsia="Calibri" w:cs="Times New Roman"/>
          <w:i/>
          <w:szCs w:val="24"/>
        </w:rPr>
        <w:t>Cancer Research</w:t>
      </w:r>
      <w:r w:rsidRPr="00F3512F">
        <w:rPr>
          <w:rFonts w:eastAsia="Calibri" w:cs="Times New Roman"/>
          <w:szCs w:val="24"/>
        </w:rPr>
        <w:t> 1995, 55,1373–1378.</w:t>
      </w:r>
    </w:p>
    <w:p w:rsidR="006F53C9" w:rsidRPr="00F3512F" w:rsidRDefault="006F53C9" w:rsidP="004B5084">
      <w:pPr>
        <w:keepNext/>
        <w:keepLines/>
        <w:spacing w:before="120" w:after="240"/>
        <w:ind w:firstLine="0"/>
        <w:outlineLvl w:val="0"/>
        <w:rPr>
          <w:rFonts w:eastAsia="Calibri" w:cs="Times New Roman"/>
          <w:szCs w:val="24"/>
        </w:rPr>
      </w:pPr>
      <w:r w:rsidRPr="00F3512F">
        <w:rPr>
          <w:rFonts w:eastAsiaTheme="majorEastAsia" w:cs="Times New Roman"/>
          <w:b/>
          <w:bCs/>
          <w:szCs w:val="24"/>
        </w:rPr>
        <w:t>Houddane A, Bultot L, Novellasdemunt L, Johanns M, Gueuning MA, Vertommen D, Coulie PG, Bartrons R, Hue L, Rider MH.</w:t>
      </w:r>
      <w:r w:rsidRPr="00F3512F">
        <w:rPr>
          <w:rFonts w:asciiTheme="majorHAnsi" w:eastAsiaTheme="majorEastAsia" w:hAnsiTheme="majorHAnsi" w:cstheme="majorBidi"/>
          <w:b/>
          <w:bCs/>
          <w:color w:val="365F91" w:themeColor="accent1" w:themeShade="BF"/>
          <w:sz w:val="28"/>
          <w:szCs w:val="28"/>
        </w:rPr>
        <w:t xml:space="preserve"> </w:t>
      </w:r>
      <w:r w:rsidRPr="00F3512F">
        <w:rPr>
          <w:rFonts w:eastAsia="Calibri" w:cs="Times New Roman"/>
          <w:szCs w:val="24"/>
        </w:rPr>
        <w:t xml:space="preserve">Role of Akt/PKB and PFKFB isoenzymes in the control of glycolysis, cell proliferation and protein synthesis in mitogen-stimulated thymocytes. </w:t>
      </w:r>
      <w:r w:rsidRPr="00F3512F">
        <w:rPr>
          <w:rFonts w:eastAsia="Calibri" w:cs="Times New Roman"/>
          <w:i/>
          <w:szCs w:val="24"/>
        </w:rPr>
        <w:t>Cellular Signalling</w:t>
      </w:r>
      <w:r w:rsidRPr="00F3512F">
        <w:rPr>
          <w:rFonts w:eastAsia="Calibri" w:cs="Times New Roman"/>
          <w:szCs w:val="24"/>
        </w:rPr>
        <w:t xml:space="preserve"> 2017, 34, 23-37. </w:t>
      </w:r>
    </w:p>
    <w:p w:rsidR="006F53C9" w:rsidRPr="00F3512F" w:rsidRDefault="006F53C9" w:rsidP="004B5084">
      <w:pPr>
        <w:spacing w:before="120" w:after="240"/>
        <w:ind w:firstLine="0"/>
        <w:rPr>
          <w:rFonts w:eastAsia="Calibri" w:cs="Times New Roman"/>
          <w:szCs w:val="24"/>
        </w:rPr>
      </w:pPr>
      <w:r w:rsidRPr="00F3512F">
        <w:rPr>
          <w:rFonts w:eastAsia="Calibri" w:cs="Times New Roman"/>
          <w:b/>
          <w:szCs w:val="24"/>
        </w:rPr>
        <w:t>Hsia CC, Schmitz A, Lambertz M, Perry SF, Maina JN.</w:t>
      </w:r>
      <w:r w:rsidRPr="00F3512F">
        <w:rPr>
          <w:rFonts w:eastAsia="Calibri" w:cs="Times New Roman"/>
          <w:szCs w:val="24"/>
        </w:rPr>
        <w:t xml:space="preserve"> Evolution of air breathing: oxygen homeostasis and the transitions from water to land and sky. </w:t>
      </w:r>
      <w:r w:rsidRPr="00F3512F">
        <w:rPr>
          <w:rFonts w:eastAsia="Calibri" w:cs="Times New Roman"/>
          <w:i/>
          <w:szCs w:val="24"/>
        </w:rPr>
        <w:t>Comprehensive Physiology</w:t>
      </w:r>
      <w:r w:rsidRPr="00F3512F">
        <w:rPr>
          <w:rFonts w:eastAsia="Calibri" w:cs="Times New Roman"/>
          <w:szCs w:val="24"/>
        </w:rPr>
        <w:t xml:space="preserve"> 2013, 3(2), 849-915.</w:t>
      </w:r>
    </w:p>
    <w:p w:rsidR="006F53C9" w:rsidRPr="006F53C9" w:rsidRDefault="0037177D" w:rsidP="004B5084">
      <w:pPr>
        <w:keepNext/>
        <w:keepLines/>
        <w:shd w:val="clear" w:color="auto" w:fill="FFFFFF"/>
        <w:spacing w:before="120" w:after="240"/>
        <w:ind w:firstLine="0"/>
        <w:outlineLvl w:val="0"/>
        <w:rPr>
          <w:rFonts w:eastAsia="Calibri" w:cs="Times New Roman"/>
          <w:bCs/>
          <w:szCs w:val="24"/>
        </w:rPr>
      </w:pPr>
      <w:hyperlink r:id="rId381" w:history="1">
        <w:r w:rsidR="006F53C9" w:rsidRPr="006F53C9">
          <w:rPr>
            <w:rFonts w:eastAsia="Calibri" w:cs="Times New Roman"/>
            <w:b/>
            <w:bCs/>
            <w:szCs w:val="24"/>
          </w:rPr>
          <w:t>Hu T</w:t>
        </w:r>
      </w:hyperlink>
      <w:r w:rsidR="006F53C9" w:rsidRPr="006F53C9">
        <w:rPr>
          <w:rFonts w:eastAsia="Calibri" w:cs="Times New Roman"/>
          <w:b/>
          <w:bCs/>
          <w:szCs w:val="24"/>
        </w:rPr>
        <w:t>, </w:t>
      </w:r>
      <w:hyperlink r:id="rId382" w:history="1">
        <w:r w:rsidR="006F53C9" w:rsidRPr="006F53C9">
          <w:rPr>
            <w:rFonts w:eastAsia="Calibri" w:cs="Times New Roman"/>
            <w:b/>
            <w:bCs/>
            <w:szCs w:val="24"/>
          </w:rPr>
          <w:t>Zhang C</w:t>
        </w:r>
      </w:hyperlink>
      <w:r w:rsidR="006F53C9" w:rsidRPr="006F53C9">
        <w:rPr>
          <w:rFonts w:eastAsia="Calibri" w:cs="Times New Roman"/>
          <w:b/>
          <w:bCs/>
          <w:szCs w:val="24"/>
        </w:rPr>
        <w:t>, </w:t>
      </w:r>
      <w:hyperlink r:id="rId383" w:history="1">
        <w:r w:rsidR="006F53C9" w:rsidRPr="006F53C9">
          <w:rPr>
            <w:rFonts w:eastAsia="Calibri" w:cs="Times New Roman"/>
            <w:b/>
            <w:bCs/>
            <w:szCs w:val="24"/>
          </w:rPr>
          <w:t>Tang Q</w:t>
        </w:r>
      </w:hyperlink>
      <w:r w:rsidR="006F53C9" w:rsidRPr="006F53C9">
        <w:rPr>
          <w:rFonts w:eastAsia="Calibri" w:cs="Times New Roman"/>
          <w:b/>
          <w:bCs/>
          <w:szCs w:val="24"/>
        </w:rPr>
        <w:t>, </w:t>
      </w:r>
      <w:hyperlink r:id="rId384" w:history="1">
        <w:r w:rsidR="006F53C9" w:rsidRPr="006F53C9">
          <w:rPr>
            <w:rFonts w:eastAsia="Calibri" w:cs="Times New Roman"/>
            <w:b/>
            <w:bCs/>
            <w:szCs w:val="24"/>
          </w:rPr>
          <w:t>Su Y</w:t>
        </w:r>
      </w:hyperlink>
      <w:r w:rsidR="006F53C9" w:rsidRPr="006F53C9">
        <w:rPr>
          <w:rFonts w:eastAsia="Calibri" w:cs="Times New Roman"/>
          <w:b/>
          <w:bCs/>
          <w:szCs w:val="24"/>
        </w:rPr>
        <w:t>, </w:t>
      </w:r>
      <w:hyperlink r:id="rId385" w:history="1">
        <w:r w:rsidR="006F53C9" w:rsidRPr="006F53C9">
          <w:rPr>
            <w:rFonts w:eastAsia="Calibri" w:cs="Times New Roman"/>
            <w:b/>
            <w:bCs/>
            <w:szCs w:val="24"/>
          </w:rPr>
          <w:t>Li B</w:t>
        </w:r>
      </w:hyperlink>
      <w:r w:rsidR="006F53C9" w:rsidRPr="006F53C9">
        <w:rPr>
          <w:rFonts w:eastAsia="Calibri" w:cs="Times New Roman"/>
          <w:b/>
          <w:bCs/>
          <w:szCs w:val="24"/>
        </w:rPr>
        <w:t>, </w:t>
      </w:r>
      <w:hyperlink r:id="rId386" w:history="1">
        <w:r w:rsidR="006F53C9" w:rsidRPr="006F53C9">
          <w:rPr>
            <w:rFonts w:eastAsia="Calibri" w:cs="Times New Roman"/>
            <w:b/>
            <w:bCs/>
            <w:szCs w:val="24"/>
          </w:rPr>
          <w:t>Chen L</w:t>
        </w:r>
      </w:hyperlink>
      <w:r w:rsidR="006F53C9" w:rsidRPr="006F53C9">
        <w:rPr>
          <w:rFonts w:eastAsia="Calibri" w:cs="Times New Roman"/>
          <w:b/>
          <w:bCs/>
          <w:szCs w:val="24"/>
        </w:rPr>
        <w:t>, </w:t>
      </w:r>
      <w:hyperlink r:id="rId387" w:history="1">
        <w:r w:rsidR="006F53C9" w:rsidRPr="006F53C9">
          <w:rPr>
            <w:rFonts w:eastAsia="Calibri" w:cs="Times New Roman"/>
            <w:b/>
            <w:bCs/>
            <w:szCs w:val="24"/>
          </w:rPr>
          <w:t>Zhang Z</w:t>
        </w:r>
      </w:hyperlink>
      <w:r w:rsidR="006F53C9" w:rsidRPr="006F53C9">
        <w:rPr>
          <w:rFonts w:eastAsia="Calibri" w:cs="Times New Roman"/>
          <w:b/>
          <w:bCs/>
          <w:szCs w:val="24"/>
        </w:rPr>
        <w:t>, </w:t>
      </w:r>
      <w:hyperlink r:id="rId388" w:history="1">
        <w:r w:rsidR="006F53C9" w:rsidRPr="006F53C9">
          <w:rPr>
            <w:rFonts w:eastAsia="Calibri" w:cs="Times New Roman"/>
            <w:b/>
            <w:bCs/>
            <w:szCs w:val="24"/>
          </w:rPr>
          <w:t>Cai T</w:t>
        </w:r>
      </w:hyperlink>
      <w:r w:rsidR="006F53C9" w:rsidRPr="006F53C9">
        <w:rPr>
          <w:rFonts w:eastAsia="Calibri" w:cs="Times New Roman"/>
          <w:b/>
          <w:bCs/>
          <w:szCs w:val="24"/>
        </w:rPr>
        <w:t>, </w:t>
      </w:r>
      <w:hyperlink r:id="rId389" w:history="1">
        <w:r w:rsidR="006F53C9" w:rsidRPr="006F53C9">
          <w:rPr>
            <w:rFonts w:eastAsia="Calibri" w:cs="Times New Roman"/>
            <w:b/>
            <w:bCs/>
            <w:szCs w:val="24"/>
          </w:rPr>
          <w:t>Zhu Y</w:t>
        </w:r>
      </w:hyperlink>
      <w:r w:rsidR="006F53C9" w:rsidRPr="006F53C9">
        <w:rPr>
          <w:rFonts w:eastAsia="Calibri" w:cs="Times New Roman"/>
          <w:b/>
          <w:bCs/>
          <w:szCs w:val="24"/>
        </w:rPr>
        <w:t xml:space="preserve">. </w:t>
      </w:r>
      <w:r w:rsidR="006F53C9" w:rsidRPr="006F53C9">
        <w:rPr>
          <w:rFonts w:eastAsia="Calibri" w:cs="Times New Roman"/>
          <w:bCs/>
          <w:szCs w:val="24"/>
        </w:rPr>
        <w:t xml:space="preserve">Variant G6PD levels promote tumor cell proliferation or apoptosis via the STAT3/5 pathway in the human melanoma xenograft mouse model. </w:t>
      </w:r>
      <w:r w:rsidR="006F53C9" w:rsidRPr="006F53C9">
        <w:rPr>
          <w:rFonts w:eastAsia="Calibri" w:cs="Times New Roman"/>
          <w:bCs/>
          <w:i/>
          <w:szCs w:val="24"/>
        </w:rPr>
        <w:t>BMC Cancer</w:t>
      </w:r>
      <w:r w:rsidR="006F53C9" w:rsidRPr="006F53C9">
        <w:rPr>
          <w:rFonts w:eastAsia="Calibri" w:cs="Times New Roman"/>
          <w:bCs/>
          <w:szCs w:val="24"/>
        </w:rPr>
        <w:t xml:space="preserve"> 2013, 13, 251. </w:t>
      </w:r>
    </w:p>
    <w:p w:rsidR="006F53C9" w:rsidRPr="00F3512F" w:rsidRDefault="006F53C9" w:rsidP="004B5084">
      <w:pPr>
        <w:spacing w:before="120" w:after="240"/>
        <w:ind w:firstLine="0"/>
        <w:rPr>
          <w:rFonts w:eastAsia="Calibri" w:cs="Times New Roman"/>
          <w:b/>
          <w:bCs/>
          <w:szCs w:val="24"/>
        </w:rPr>
      </w:pPr>
      <w:r w:rsidRPr="00F3512F">
        <w:rPr>
          <w:rFonts w:eastAsia="Calibri" w:cs="Times New Roman"/>
          <w:b/>
          <w:szCs w:val="24"/>
        </w:rPr>
        <w:t>Huang D, Li C, Zhang H</w:t>
      </w:r>
      <w:r w:rsidRPr="00F3512F">
        <w:rPr>
          <w:rFonts w:eastAsia="Calibri" w:cs="Times New Roman"/>
          <w:szCs w:val="24"/>
        </w:rPr>
        <w:t xml:space="preserve">. </w:t>
      </w:r>
      <w:r w:rsidRPr="00F3512F">
        <w:rPr>
          <w:rFonts w:eastAsia="Calibri" w:cs="Times New Roman"/>
          <w:bCs/>
          <w:szCs w:val="24"/>
        </w:rPr>
        <w:t xml:space="preserve">Hypoxia and cancer cell metabolism. </w:t>
      </w:r>
      <w:r w:rsidRPr="00F3512F">
        <w:rPr>
          <w:rFonts w:eastAsia="Calibri" w:cs="Times New Roman"/>
          <w:bCs/>
          <w:i/>
          <w:iCs/>
          <w:szCs w:val="24"/>
        </w:rPr>
        <w:t>Acta Biochimica et Biophysica Sinica</w:t>
      </w:r>
      <w:r w:rsidRPr="00F3512F">
        <w:rPr>
          <w:rFonts w:eastAsia="Calibri" w:cs="Times New Roman"/>
          <w:bCs/>
          <w:iCs/>
          <w:szCs w:val="24"/>
        </w:rPr>
        <w:t xml:space="preserve"> </w:t>
      </w:r>
      <w:r w:rsidRPr="00F3512F">
        <w:rPr>
          <w:rFonts w:eastAsia="Calibri" w:cs="Times New Roman"/>
          <w:bCs/>
          <w:szCs w:val="24"/>
        </w:rPr>
        <w:t>2014, 46 (3), 214–219</w:t>
      </w:r>
      <w:r w:rsidRPr="00F3512F">
        <w:rPr>
          <w:rFonts w:eastAsia="Calibri" w:cs="Times New Roman"/>
          <w:b/>
          <w:bCs/>
          <w:szCs w:val="24"/>
        </w:rPr>
        <w:t>.</w:t>
      </w:r>
    </w:p>
    <w:p w:rsidR="006F53C9" w:rsidRPr="00F3512F" w:rsidRDefault="0037177D" w:rsidP="004B5084">
      <w:pPr>
        <w:keepNext/>
        <w:keepLines/>
        <w:shd w:val="clear" w:color="auto" w:fill="FFFFFF"/>
        <w:spacing w:before="120" w:after="240"/>
        <w:ind w:firstLine="0"/>
        <w:outlineLvl w:val="0"/>
        <w:rPr>
          <w:rFonts w:eastAsia="Calibri" w:cs="Times New Roman"/>
          <w:szCs w:val="24"/>
        </w:rPr>
      </w:pPr>
      <w:hyperlink r:id="rId390" w:history="1">
        <w:r w:rsidR="006F53C9" w:rsidRPr="00F3512F">
          <w:rPr>
            <w:rFonts w:eastAsia="Calibri" w:cs="Times New Roman"/>
            <w:b/>
            <w:szCs w:val="24"/>
          </w:rPr>
          <w:t>Hui S</w:t>
        </w:r>
      </w:hyperlink>
      <w:r w:rsidR="006F53C9" w:rsidRPr="00F3512F">
        <w:rPr>
          <w:rFonts w:eastAsia="Calibri" w:cs="Times New Roman"/>
          <w:b/>
          <w:szCs w:val="24"/>
        </w:rPr>
        <w:t>, </w:t>
      </w:r>
      <w:hyperlink r:id="rId391" w:history="1">
        <w:r w:rsidR="006F53C9" w:rsidRPr="00F3512F">
          <w:rPr>
            <w:rFonts w:eastAsia="Calibri" w:cs="Times New Roman"/>
            <w:b/>
            <w:szCs w:val="24"/>
          </w:rPr>
          <w:t>Ghergurovich JM</w:t>
        </w:r>
      </w:hyperlink>
      <w:r w:rsidR="006F53C9" w:rsidRPr="00F3512F">
        <w:rPr>
          <w:rFonts w:eastAsia="Calibri" w:cs="Times New Roman"/>
          <w:b/>
          <w:szCs w:val="24"/>
        </w:rPr>
        <w:t>, </w:t>
      </w:r>
      <w:hyperlink r:id="rId392" w:history="1">
        <w:r w:rsidR="006F53C9" w:rsidRPr="00F3512F">
          <w:rPr>
            <w:rFonts w:eastAsia="Calibri" w:cs="Times New Roman"/>
            <w:b/>
            <w:szCs w:val="24"/>
          </w:rPr>
          <w:t>Morscher RJ</w:t>
        </w:r>
      </w:hyperlink>
      <w:r w:rsidR="006F53C9" w:rsidRPr="00F3512F">
        <w:rPr>
          <w:rFonts w:eastAsia="Calibri" w:cs="Times New Roman"/>
          <w:b/>
          <w:szCs w:val="24"/>
        </w:rPr>
        <w:t>, </w:t>
      </w:r>
      <w:hyperlink r:id="rId393" w:history="1">
        <w:r w:rsidR="006F53C9" w:rsidRPr="00F3512F">
          <w:rPr>
            <w:rFonts w:eastAsia="Calibri" w:cs="Times New Roman"/>
            <w:b/>
            <w:szCs w:val="24"/>
          </w:rPr>
          <w:t>Jang C</w:t>
        </w:r>
      </w:hyperlink>
      <w:r w:rsidR="006F53C9" w:rsidRPr="00F3512F">
        <w:rPr>
          <w:rFonts w:eastAsia="Calibri" w:cs="Times New Roman"/>
          <w:b/>
          <w:szCs w:val="24"/>
        </w:rPr>
        <w:t>, </w:t>
      </w:r>
      <w:hyperlink r:id="rId394" w:history="1">
        <w:r w:rsidR="006F53C9" w:rsidRPr="00F3512F">
          <w:rPr>
            <w:rFonts w:eastAsia="Calibri" w:cs="Times New Roman"/>
            <w:b/>
            <w:szCs w:val="24"/>
          </w:rPr>
          <w:t>Teng X</w:t>
        </w:r>
      </w:hyperlink>
      <w:r w:rsidR="006F53C9" w:rsidRPr="00F3512F">
        <w:rPr>
          <w:rFonts w:eastAsia="Calibri" w:cs="Times New Roman"/>
          <w:b/>
          <w:szCs w:val="24"/>
        </w:rPr>
        <w:t>, </w:t>
      </w:r>
      <w:hyperlink r:id="rId395" w:history="1">
        <w:r w:rsidR="006F53C9" w:rsidRPr="00F3512F">
          <w:rPr>
            <w:rFonts w:eastAsia="Calibri" w:cs="Times New Roman"/>
            <w:b/>
            <w:szCs w:val="24"/>
          </w:rPr>
          <w:t>Lu W</w:t>
        </w:r>
      </w:hyperlink>
      <w:r w:rsidR="006F53C9" w:rsidRPr="00F3512F">
        <w:rPr>
          <w:rFonts w:eastAsia="Calibri" w:cs="Times New Roman"/>
          <w:b/>
          <w:szCs w:val="24"/>
        </w:rPr>
        <w:t>, </w:t>
      </w:r>
      <w:hyperlink r:id="rId396" w:history="1">
        <w:r w:rsidR="006F53C9" w:rsidRPr="00F3512F">
          <w:rPr>
            <w:rFonts w:eastAsia="Calibri" w:cs="Times New Roman"/>
            <w:b/>
            <w:szCs w:val="24"/>
          </w:rPr>
          <w:t>Esparza LA</w:t>
        </w:r>
      </w:hyperlink>
      <w:r w:rsidR="006F53C9" w:rsidRPr="00F3512F">
        <w:rPr>
          <w:rFonts w:eastAsia="Calibri" w:cs="Times New Roman"/>
          <w:b/>
          <w:szCs w:val="24"/>
        </w:rPr>
        <w:t>, </w:t>
      </w:r>
      <w:hyperlink r:id="rId397" w:history="1">
        <w:r w:rsidR="006F53C9" w:rsidRPr="00F3512F">
          <w:rPr>
            <w:rFonts w:eastAsia="Calibri" w:cs="Times New Roman"/>
            <w:b/>
            <w:szCs w:val="24"/>
          </w:rPr>
          <w:t>Reya T</w:t>
        </w:r>
      </w:hyperlink>
      <w:r w:rsidR="006F53C9" w:rsidRPr="00F3512F">
        <w:rPr>
          <w:rFonts w:eastAsia="Calibri" w:cs="Times New Roman"/>
          <w:b/>
          <w:szCs w:val="24"/>
        </w:rPr>
        <w:t>, </w:t>
      </w:r>
      <w:hyperlink r:id="rId398" w:history="1">
        <w:r w:rsidR="006F53C9" w:rsidRPr="00F3512F">
          <w:rPr>
            <w:rFonts w:eastAsia="Calibri" w:cs="Times New Roman"/>
            <w:b/>
            <w:szCs w:val="24"/>
          </w:rPr>
          <w:t>Le Zhan</w:t>
        </w:r>
      </w:hyperlink>
      <w:r w:rsidR="006F53C9" w:rsidRPr="00F3512F">
        <w:rPr>
          <w:rFonts w:eastAsia="Calibri" w:cs="Times New Roman"/>
          <w:b/>
          <w:szCs w:val="24"/>
        </w:rPr>
        <w:t>, </w:t>
      </w:r>
      <w:hyperlink r:id="rId399" w:history="1">
        <w:r w:rsidR="006F53C9" w:rsidRPr="00F3512F">
          <w:rPr>
            <w:rFonts w:eastAsia="Calibri" w:cs="Times New Roman"/>
            <w:b/>
            <w:szCs w:val="24"/>
          </w:rPr>
          <w:t>Yanxiang Guo J</w:t>
        </w:r>
      </w:hyperlink>
      <w:r w:rsidR="006F53C9" w:rsidRPr="00F3512F">
        <w:rPr>
          <w:rFonts w:eastAsia="Calibri" w:cs="Times New Roman"/>
          <w:b/>
          <w:szCs w:val="24"/>
        </w:rPr>
        <w:t>, </w:t>
      </w:r>
      <w:hyperlink r:id="rId400" w:history="1">
        <w:r w:rsidR="006F53C9" w:rsidRPr="00F3512F">
          <w:rPr>
            <w:rFonts w:eastAsia="Calibri" w:cs="Times New Roman"/>
            <w:b/>
            <w:szCs w:val="24"/>
          </w:rPr>
          <w:t>White E</w:t>
        </w:r>
      </w:hyperlink>
      <w:r w:rsidR="006F53C9" w:rsidRPr="00F3512F">
        <w:rPr>
          <w:rFonts w:eastAsia="Calibri" w:cs="Times New Roman"/>
          <w:b/>
          <w:szCs w:val="24"/>
        </w:rPr>
        <w:t>, </w:t>
      </w:r>
      <w:hyperlink r:id="rId401" w:history="1">
        <w:r w:rsidR="006F53C9" w:rsidRPr="00F3512F">
          <w:rPr>
            <w:rFonts w:eastAsia="Calibri" w:cs="Times New Roman"/>
            <w:b/>
            <w:szCs w:val="24"/>
          </w:rPr>
          <w:t>Rabinowitz JD</w:t>
        </w:r>
      </w:hyperlink>
      <w:r w:rsidR="006F53C9" w:rsidRPr="00F3512F">
        <w:rPr>
          <w:rFonts w:eastAsia="Calibri" w:cs="Times New Roman"/>
          <w:b/>
          <w:szCs w:val="24"/>
        </w:rPr>
        <w:t xml:space="preserve">. </w:t>
      </w:r>
      <w:r w:rsidR="006F53C9" w:rsidRPr="00F3512F">
        <w:rPr>
          <w:rFonts w:eastAsia="Calibri" w:cs="Times New Roman"/>
          <w:szCs w:val="24"/>
        </w:rPr>
        <w:t xml:space="preserve">Glucose feeds the TCA cycle via circulating lactate. </w:t>
      </w:r>
      <w:r w:rsidR="006F53C9" w:rsidRPr="00F3512F">
        <w:rPr>
          <w:rFonts w:eastAsia="Calibri" w:cs="Times New Roman"/>
          <w:i/>
          <w:szCs w:val="24"/>
        </w:rPr>
        <w:t>Nature</w:t>
      </w:r>
      <w:r w:rsidR="006F53C9" w:rsidRPr="00F3512F">
        <w:rPr>
          <w:rFonts w:eastAsia="Calibri" w:cs="Times New Roman"/>
          <w:szCs w:val="24"/>
        </w:rPr>
        <w:t xml:space="preserve"> 2017, 551(7678),115-118. </w:t>
      </w:r>
    </w:p>
    <w:p w:rsidR="006F53C9" w:rsidRDefault="006F53C9" w:rsidP="004B5084">
      <w:pPr>
        <w:autoSpaceDE w:val="0"/>
        <w:autoSpaceDN w:val="0"/>
        <w:adjustRightInd w:val="0"/>
        <w:spacing w:before="120" w:after="240"/>
        <w:ind w:firstLine="0"/>
        <w:rPr>
          <w:rFonts w:eastAsia="Calibri" w:cs="Times New Roman"/>
          <w:szCs w:val="24"/>
        </w:rPr>
      </w:pPr>
      <w:r w:rsidRPr="00F3512F">
        <w:rPr>
          <w:rFonts w:eastAsia="Calibri" w:cs="Times New Roman"/>
          <w:b/>
          <w:szCs w:val="24"/>
        </w:rPr>
        <w:t>Hunt TK, Aslam R, Hussain Z, Beckert S.</w:t>
      </w:r>
      <w:r w:rsidRPr="00F3512F">
        <w:rPr>
          <w:rFonts w:eastAsia="Calibri" w:cs="Times New Roman"/>
          <w:szCs w:val="24"/>
        </w:rPr>
        <w:t xml:space="preserve"> Lactate, with oxygen, incites angiogenesis. </w:t>
      </w:r>
      <w:r w:rsidRPr="00F3512F">
        <w:rPr>
          <w:rFonts w:eastAsia="Calibri" w:cs="Times New Roman"/>
          <w:i/>
          <w:szCs w:val="24"/>
        </w:rPr>
        <w:t>Advances in experimental medicine and biology</w:t>
      </w:r>
      <w:r w:rsidRPr="00F3512F">
        <w:rPr>
          <w:rFonts w:eastAsia="Calibri" w:cs="Times New Roman"/>
          <w:szCs w:val="24"/>
        </w:rPr>
        <w:t xml:space="preserve"> 2008, 614,73-80.</w:t>
      </w:r>
    </w:p>
    <w:p w:rsidR="006F53C9" w:rsidRPr="006F53C9" w:rsidRDefault="006F53C9" w:rsidP="004B5084">
      <w:pPr>
        <w:keepNext/>
        <w:keepLines/>
        <w:shd w:val="clear" w:color="auto" w:fill="FFFFFF"/>
        <w:spacing w:before="120" w:after="240"/>
        <w:ind w:firstLine="0"/>
        <w:outlineLvl w:val="0"/>
        <w:rPr>
          <w:rFonts w:eastAsia="Calibri" w:cs="Times New Roman"/>
          <w:szCs w:val="24"/>
        </w:rPr>
      </w:pPr>
      <w:r w:rsidRPr="006F53C9">
        <w:rPr>
          <w:rFonts w:eastAsia="Calibri" w:cs="Times New Roman"/>
          <w:b/>
          <w:szCs w:val="24"/>
        </w:rPr>
        <w:t>Hussien R, A.Brooks G.</w:t>
      </w:r>
      <w:r w:rsidRPr="006F53C9">
        <w:rPr>
          <w:rFonts w:eastAsia="Calibri" w:cs="Times New Roman"/>
          <w:szCs w:val="24"/>
        </w:rPr>
        <w:t xml:space="preserve"> Mitochondrial and plasma membrane lactate transporter and lactate dehydrogenase isoform expression in breast cancer cell lines. </w:t>
      </w:r>
      <w:r w:rsidRPr="006F53C9">
        <w:rPr>
          <w:rFonts w:eastAsia="Calibri" w:cs="Times New Roman"/>
          <w:i/>
          <w:szCs w:val="24"/>
        </w:rPr>
        <w:t>Physiological Genomics</w:t>
      </w:r>
      <w:r w:rsidRPr="006F53C9">
        <w:rPr>
          <w:rFonts w:eastAsia="Calibri" w:cs="Times New Roman"/>
          <w:szCs w:val="24"/>
        </w:rPr>
        <w:t xml:space="preserve"> 2011, 43 (5), 255-264.</w:t>
      </w:r>
    </w:p>
    <w:p w:rsidR="006F53C9" w:rsidRPr="00C578D2" w:rsidRDefault="006F53C9" w:rsidP="004B5084">
      <w:pPr>
        <w:autoSpaceDE w:val="0"/>
        <w:autoSpaceDN w:val="0"/>
        <w:adjustRightInd w:val="0"/>
        <w:spacing w:before="120" w:after="240"/>
        <w:ind w:firstLine="0"/>
        <w:rPr>
          <w:rFonts w:eastAsia="Calibri" w:cs="Times New Roman"/>
          <w:szCs w:val="24"/>
        </w:rPr>
      </w:pPr>
      <w:r w:rsidRPr="00C578D2">
        <w:rPr>
          <w:rFonts w:eastAsia="Calibri" w:cs="Times New Roman"/>
          <w:b/>
          <w:szCs w:val="24"/>
        </w:rPr>
        <w:t>Icard P, Shulman S, Ferhat D, Steyaert JM, Alifano M, Lincet H.</w:t>
      </w:r>
      <w:r w:rsidRPr="00C578D2">
        <w:rPr>
          <w:rFonts w:asciiTheme="majorHAnsi" w:eastAsiaTheme="majorEastAsia" w:hAnsiTheme="majorHAnsi" w:cstheme="majorBidi"/>
          <w:b/>
          <w:bCs/>
          <w:color w:val="365F91" w:themeColor="accent1" w:themeShade="BF"/>
          <w:sz w:val="28"/>
          <w:szCs w:val="28"/>
        </w:rPr>
        <w:t xml:space="preserve"> </w:t>
      </w:r>
      <w:r w:rsidRPr="00C578D2">
        <w:rPr>
          <w:rFonts w:eastAsia="Calibri" w:cs="Times New Roman"/>
          <w:szCs w:val="24"/>
        </w:rPr>
        <w:t xml:space="preserve">How the Warburg effect supports aggressiveness and drug resistance of cancer cells? </w:t>
      </w:r>
      <w:r w:rsidRPr="00C578D2">
        <w:rPr>
          <w:rFonts w:eastAsia="Calibri" w:cs="Times New Roman"/>
          <w:i/>
          <w:szCs w:val="24"/>
        </w:rPr>
        <w:t>Drug resistance updates: reviews and commentaries in antimicrobial and anticancer chemotherapy</w:t>
      </w:r>
      <w:r w:rsidRPr="00C578D2">
        <w:rPr>
          <w:rFonts w:eastAsia="Calibri" w:cs="Times New Roman"/>
          <w:szCs w:val="24"/>
        </w:rPr>
        <w:t xml:space="preserve"> 2018, 38,1-11.</w:t>
      </w:r>
    </w:p>
    <w:p w:rsidR="006F53C9" w:rsidRPr="00FF34E0" w:rsidRDefault="006F53C9" w:rsidP="004B5084">
      <w:pPr>
        <w:keepNext/>
        <w:keepLines/>
        <w:spacing w:before="120" w:after="240"/>
        <w:ind w:firstLine="0"/>
        <w:outlineLvl w:val="0"/>
        <w:rPr>
          <w:rFonts w:eastAsia="Calibri" w:cs="Times New Roman"/>
          <w:szCs w:val="24"/>
        </w:rPr>
      </w:pPr>
      <w:r w:rsidRPr="00FF34E0">
        <w:rPr>
          <w:rFonts w:eastAsia="Calibri" w:cs="Times New Roman"/>
          <w:b/>
          <w:szCs w:val="24"/>
        </w:rPr>
        <w:t>Imamura K, Tanaka T.</w:t>
      </w:r>
      <w:r w:rsidRPr="00FF34E0">
        <w:rPr>
          <w:rFonts w:asciiTheme="majorHAnsi" w:eastAsiaTheme="majorEastAsia" w:hAnsiTheme="majorHAnsi" w:cstheme="majorBidi"/>
          <w:b/>
          <w:bCs/>
          <w:color w:val="365F91" w:themeColor="accent1" w:themeShade="BF"/>
          <w:sz w:val="28"/>
          <w:szCs w:val="28"/>
        </w:rPr>
        <w:t xml:space="preserve"> </w:t>
      </w:r>
      <w:r w:rsidRPr="00FF34E0">
        <w:rPr>
          <w:rFonts w:eastAsia="Calibri" w:cs="Times New Roman"/>
          <w:szCs w:val="24"/>
        </w:rPr>
        <w:t xml:space="preserve">Pyruvate kinase isozymes from rat. </w:t>
      </w:r>
      <w:r w:rsidRPr="00FF34E0">
        <w:rPr>
          <w:rFonts w:eastAsia="Calibri" w:cs="Times New Roman"/>
          <w:i/>
          <w:szCs w:val="24"/>
        </w:rPr>
        <w:t>Methods in Enzimology</w:t>
      </w:r>
      <w:r w:rsidRPr="00FF34E0">
        <w:rPr>
          <w:rFonts w:eastAsia="Calibri" w:cs="Times New Roman"/>
          <w:szCs w:val="24"/>
        </w:rPr>
        <w:t xml:space="preserve"> 1982, 90, 150-165.</w:t>
      </w:r>
    </w:p>
    <w:p w:rsidR="006F53C9" w:rsidRDefault="006F53C9" w:rsidP="004B5084">
      <w:pPr>
        <w:autoSpaceDE w:val="0"/>
        <w:autoSpaceDN w:val="0"/>
        <w:adjustRightInd w:val="0"/>
        <w:spacing w:before="120" w:after="240"/>
        <w:ind w:firstLine="0"/>
        <w:rPr>
          <w:szCs w:val="24"/>
        </w:rPr>
      </w:pPr>
      <w:r w:rsidRPr="00C67816">
        <w:rPr>
          <w:rFonts w:eastAsiaTheme="majorEastAsia"/>
          <w:b/>
          <w:bCs/>
          <w:szCs w:val="24"/>
        </w:rPr>
        <w:t>Iqbal MA, Gupta V, Gopinath P, Mazurek S, Bamezai RNK.</w:t>
      </w:r>
      <w:r>
        <w:rPr>
          <w:szCs w:val="24"/>
        </w:rPr>
        <w:t xml:space="preserve"> </w:t>
      </w:r>
      <w:r w:rsidRPr="00C67816">
        <w:rPr>
          <w:szCs w:val="24"/>
        </w:rPr>
        <w:t>Pyruvate kinase M2 and cancer: an updated assessment</w:t>
      </w:r>
      <w:r>
        <w:rPr>
          <w:szCs w:val="24"/>
        </w:rPr>
        <w:t xml:space="preserve">. </w:t>
      </w:r>
      <w:r w:rsidRPr="0079657C">
        <w:rPr>
          <w:i/>
          <w:szCs w:val="24"/>
        </w:rPr>
        <w:t>FEBS Letters</w:t>
      </w:r>
      <w:r>
        <w:rPr>
          <w:szCs w:val="24"/>
        </w:rPr>
        <w:t xml:space="preserve"> 2014, </w:t>
      </w:r>
      <w:r w:rsidRPr="00C67816">
        <w:rPr>
          <w:szCs w:val="24"/>
        </w:rPr>
        <w:t>588</w:t>
      </w:r>
      <w:r>
        <w:rPr>
          <w:szCs w:val="24"/>
        </w:rPr>
        <w:t xml:space="preserve"> (16), </w:t>
      </w:r>
      <w:r w:rsidRPr="00C67816">
        <w:rPr>
          <w:szCs w:val="24"/>
        </w:rPr>
        <w:t>2685-</w:t>
      </w:r>
      <w:r>
        <w:rPr>
          <w:szCs w:val="24"/>
        </w:rPr>
        <w:t>26</w:t>
      </w:r>
      <w:r w:rsidRPr="00C67816">
        <w:rPr>
          <w:szCs w:val="24"/>
        </w:rPr>
        <w:t>92.</w:t>
      </w:r>
    </w:p>
    <w:p w:rsidR="004B5084" w:rsidRDefault="0037177D" w:rsidP="004B5084">
      <w:pPr>
        <w:spacing w:before="120" w:after="240"/>
        <w:ind w:firstLine="0"/>
        <w:rPr>
          <w:rFonts w:eastAsia="Calibri" w:cs="Times New Roman"/>
          <w:szCs w:val="24"/>
        </w:rPr>
      </w:pPr>
      <w:hyperlink r:id="rId402" w:history="1">
        <w:r w:rsidR="006F53C9" w:rsidRPr="00FF34E0">
          <w:rPr>
            <w:rFonts w:eastAsia="Calibri" w:cs="Times New Roman"/>
            <w:b/>
            <w:szCs w:val="24"/>
          </w:rPr>
          <w:t>Ishiyama M</w:t>
        </w:r>
      </w:hyperlink>
      <w:r w:rsidR="006F53C9" w:rsidRPr="00FF34E0">
        <w:rPr>
          <w:rFonts w:eastAsia="Calibri" w:cs="Times New Roman"/>
          <w:b/>
          <w:szCs w:val="24"/>
        </w:rPr>
        <w:t>, </w:t>
      </w:r>
      <w:hyperlink r:id="rId403" w:history="1">
        <w:r w:rsidR="006F53C9" w:rsidRPr="00FF34E0">
          <w:rPr>
            <w:rFonts w:eastAsia="Calibri" w:cs="Times New Roman"/>
            <w:b/>
            <w:szCs w:val="24"/>
          </w:rPr>
          <w:t>Tominaga H</w:t>
        </w:r>
      </w:hyperlink>
      <w:r w:rsidR="006F53C9" w:rsidRPr="00FF34E0">
        <w:rPr>
          <w:rFonts w:eastAsia="Calibri" w:cs="Times New Roman"/>
          <w:b/>
          <w:szCs w:val="24"/>
        </w:rPr>
        <w:t>, </w:t>
      </w:r>
      <w:hyperlink r:id="rId404" w:history="1">
        <w:r w:rsidR="006F53C9" w:rsidRPr="00FF34E0">
          <w:rPr>
            <w:rFonts w:eastAsia="Calibri" w:cs="Times New Roman"/>
            <w:b/>
            <w:szCs w:val="24"/>
          </w:rPr>
          <w:t>Shiga M</w:t>
        </w:r>
      </w:hyperlink>
      <w:r w:rsidR="006F53C9" w:rsidRPr="00FF34E0">
        <w:rPr>
          <w:rFonts w:eastAsia="Calibri" w:cs="Times New Roman"/>
          <w:b/>
          <w:szCs w:val="24"/>
        </w:rPr>
        <w:t>, </w:t>
      </w:r>
      <w:hyperlink r:id="rId405" w:history="1">
        <w:r w:rsidR="006F53C9" w:rsidRPr="00FF34E0">
          <w:rPr>
            <w:rFonts w:eastAsia="Calibri" w:cs="Times New Roman"/>
            <w:b/>
            <w:szCs w:val="24"/>
          </w:rPr>
          <w:t>Sasamoto K</w:t>
        </w:r>
      </w:hyperlink>
      <w:r w:rsidR="006F53C9" w:rsidRPr="00FF34E0">
        <w:rPr>
          <w:rFonts w:eastAsia="Calibri" w:cs="Times New Roman"/>
          <w:b/>
          <w:szCs w:val="24"/>
        </w:rPr>
        <w:t>, </w:t>
      </w:r>
      <w:hyperlink r:id="rId406" w:history="1">
        <w:r w:rsidR="006F53C9" w:rsidRPr="00FF34E0">
          <w:rPr>
            <w:rFonts w:eastAsia="Calibri" w:cs="Times New Roman"/>
            <w:b/>
            <w:szCs w:val="24"/>
          </w:rPr>
          <w:t>Ohkura Y</w:t>
        </w:r>
      </w:hyperlink>
      <w:r w:rsidR="006F53C9" w:rsidRPr="00FF34E0">
        <w:rPr>
          <w:rFonts w:eastAsia="Calibri" w:cs="Times New Roman"/>
          <w:b/>
          <w:szCs w:val="24"/>
        </w:rPr>
        <w:t>, </w:t>
      </w:r>
      <w:hyperlink r:id="rId407" w:history="1">
        <w:r w:rsidR="006F53C9" w:rsidRPr="00FF34E0">
          <w:rPr>
            <w:rFonts w:eastAsia="Calibri" w:cs="Times New Roman"/>
            <w:b/>
            <w:szCs w:val="24"/>
          </w:rPr>
          <w:t>Ueno K</w:t>
        </w:r>
      </w:hyperlink>
      <w:r w:rsidR="006F53C9" w:rsidRPr="00FF34E0">
        <w:rPr>
          <w:rFonts w:eastAsia="Calibri" w:cs="Times New Roman"/>
          <w:b/>
          <w:szCs w:val="24"/>
        </w:rPr>
        <w:t>.</w:t>
      </w:r>
      <w:r w:rsidR="006F53C9" w:rsidRPr="00FF34E0">
        <w:rPr>
          <w:rFonts w:eastAsia="Calibri" w:cs="Times New Roman"/>
          <w:szCs w:val="24"/>
        </w:rPr>
        <w:t xml:space="preserve"> A combined assay of cell viability and in vitro cytotoxicity with a highly water-soluble tetrazolium salt, neutral red and crystal violet. </w:t>
      </w:r>
      <w:r w:rsidR="006F53C9" w:rsidRPr="00FF34E0">
        <w:rPr>
          <w:rFonts w:eastAsia="Calibri" w:cs="Times New Roman"/>
          <w:i/>
          <w:szCs w:val="24"/>
        </w:rPr>
        <w:t>Biological and Pharmaceutical Bulletin</w:t>
      </w:r>
      <w:r w:rsidR="006F53C9" w:rsidRPr="00FF34E0">
        <w:rPr>
          <w:rFonts w:eastAsia="Calibri" w:cs="Times New Roman"/>
          <w:szCs w:val="24"/>
        </w:rPr>
        <w:t xml:space="preserve"> 1996, 19 (11), 1518-1520.</w:t>
      </w:r>
    </w:p>
    <w:p w:rsidR="004B5084" w:rsidRDefault="006F53C9" w:rsidP="004B5084">
      <w:pPr>
        <w:spacing w:before="120" w:after="240"/>
        <w:ind w:firstLine="0"/>
        <w:rPr>
          <w:rFonts w:eastAsia="Calibri" w:cs="Times New Roman"/>
          <w:szCs w:val="24"/>
        </w:rPr>
      </w:pPr>
      <w:r w:rsidRPr="00FF34E0">
        <w:rPr>
          <w:rFonts w:eastAsiaTheme="majorEastAsia" w:cs="Times New Roman"/>
          <w:b/>
          <w:bCs/>
          <w:szCs w:val="24"/>
        </w:rPr>
        <w:t>Israelsen WJ, Vander Heiden MG</w:t>
      </w:r>
      <w:r w:rsidRPr="00FF34E0">
        <w:rPr>
          <w:rFonts w:ascii="Calibri" w:eastAsia="Calibri" w:hAnsi="Calibri" w:cs="Times New Roman"/>
          <w:sz w:val="22"/>
        </w:rPr>
        <w:t xml:space="preserve">. </w:t>
      </w:r>
      <w:r w:rsidRPr="00FF34E0">
        <w:rPr>
          <w:rFonts w:eastAsia="Calibri" w:cs="Times New Roman"/>
          <w:szCs w:val="24"/>
        </w:rPr>
        <w:t xml:space="preserve">Pyruvate kinase: function, regulation and role in cancer. </w:t>
      </w:r>
      <w:r w:rsidRPr="00FF34E0">
        <w:rPr>
          <w:rFonts w:eastAsia="Calibri" w:cs="Times New Roman"/>
          <w:i/>
          <w:szCs w:val="24"/>
        </w:rPr>
        <w:t>Seminars in Cell &amp;Developmental Biology</w:t>
      </w:r>
      <w:r w:rsidRPr="00FF34E0">
        <w:rPr>
          <w:rFonts w:eastAsia="Calibri" w:cs="Times New Roman"/>
          <w:szCs w:val="24"/>
        </w:rPr>
        <w:t xml:space="preserve"> 2015, 43, 43-51. </w:t>
      </w:r>
    </w:p>
    <w:p w:rsidR="006F53C9" w:rsidRPr="00FF34E0" w:rsidRDefault="0037177D" w:rsidP="004B5084">
      <w:pPr>
        <w:spacing w:before="120" w:after="240"/>
        <w:ind w:firstLine="0"/>
        <w:rPr>
          <w:rFonts w:eastAsia="Calibri" w:cs="Times New Roman"/>
          <w:szCs w:val="24"/>
        </w:rPr>
      </w:pPr>
      <w:hyperlink r:id="rId408" w:history="1">
        <w:r w:rsidR="006F53C9" w:rsidRPr="00FF34E0">
          <w:rPr>
            <w:rFonts w:eastAsiaTheme="majorEastAsia" w:cs="Times New Roman"/>
            <w:b/>
            <w:bCs/>
            <w:szCs w:val="24"/>
          </w:rPr>
          <w:t>Iyer NV</w:t>
        </w:r>
      </w:hyperlink>
      <w:r w:rsidR="006F53C9" w:rsidRPr="00FF34E0">
        <w:rPr>
          <w:rFonts w:eastAsiaTheme="majorEastAsia" w:cs="Times New Roman"/>
          <w:b/>
          <w:bCs/>
          <w:szCs w:val="24"/>
        </w:rPr>
        <w:t>, </w:t>
      </w:r>
      <w:hyperlink r:id="rId409" w:history="1">
        <w:r w:rsidR="006F53C9" w:rsidRPr="00FF34E0">
          <w:rPr>
            <w:rFonts w:eastAsiaTheme="majorEastAsia" w:cs="Times New Roman"/>
            <w:b/>
            <w:bCs/>
            <w:szCs w:val="24"/>
          </w:rPr>
          <w:t>Kotch LE</w:t>
        </w:r>
      </w:hyperlink>
      <w:r w:rsidR="006F53C9" w:rsidRPr="00FF34E0">
        <w:rPr>
          <w:rFonts w:eastAsiaTheme="majorEastAsia" w:cs="Times New Roman"/>
          <w:b/>
          <w:bCs/>
          <w:szCs w:val="24"/>
        </w:rPr>
        <w:t>, </w:t>
      </w:r>
      <w:hyperlink r:id="rId410" w:history="1">
        <w:r w:rsidR="006F53C9" w:rsidRPr="00FF34E0">
          <w:rPr>
            <w:rFonts w:eastAsiaTheme="majorEastAsia" w:cs="Times New Roman"/>
            <w:b/>
            <w:bCs/>
            <w:szCs w:val="24"/>
          </w:rPr>
          <w:t>Agani F</w:t>
        </w:r>
      </w:hyperlink>
      <w:r w:rsidR="006F53C9" w:rsidRPr="00FF34E0">
        <w:rPr>
          <w:rFonts w:eastAsiaTheme="majorEastAsia" w:cs="Times New Roman"/>
          <w:b/>
          <w:bCs/>
          <w:szCs w:val="24"/>
        </w:rPr>
        <w:t>, </w:t>
      </w:r>
      <w:hyperlink r:id="rId411" w:history="1">
        <w:r w:rsidR="006F53C9" w:rsidRPr="00FF34E0">
          <w:rPr>
            <w:rFonts w:eastAsiaTheme="majorEastAsia" w:cs="Times New Roman"/>
            <w:b/>
            <w:bCs/>
            <w:szCs w:val="24"/>
          </w:rPr>
          <w:t>Leung SW</w:t>
        </w:r>
      </w:hyperlink>
      <w:r w:rsidR="006F53C9" w:rsidRPr="00FF34E0">
        <w:rPr>
          <w:rFonts w:eastAsiaTheme="majorEastAsia" w:cs="Times New Roman"/>
          <w:b/>
          <w:bCs/>
          <w:szCs w:val="24"/>
        </w:rPr>
        <w:t>, </w:t>
      </w:r>
      <w:hyperlink r:id="rId412" w:history="1">
        <w:r w:rsidR="006F53C9" w:rsidRPr="00FF34E0">
          <w:rPr>
            <w:rFonts w:eastAsiaTheme="majorEastAsia" w:cs="Times New Roman"/>
            <w:b/>
            <w:bCs/>
            <w:szCs w:val="24"/>
          </w:rPr>
          <w:t>Laughner E</w:t>
        </w:r>
      </w:hyperlink>
      <w:r w:rsidR="006F53C9" w:rsidRPr="00FF34E0">
        <w:rPr>
          <w:rFonts w:eastAsiaTheme="majorEastAsia" w:cs="Times New Roman"/>
          <w:b/>
          <w:bCs/>
          <w:szCs w:val="24"/>
        </w:rPr>
        <w:t>, </w:t>
      </w:r>
      <w:hyperlink r:id="rId413" w:history="1">
        <w:r w:rsidR="006F53C9" w:rsidRPr="00FF34E0">
          <w:rPr>
            <w:rFonts w:eastAsiaTheme="majorEastAsia" w:cs="Times New Roman"/>
            <w:b/>
            <w:bCs/>
            <w:szCs w:val="24"/>
          </w:rPr>
          <w:t>Wenger RH</w:t>
        </w:r>
      </w:hyperlink>
      <w:r w:rsidR="006F53C9" w:rsidRPr="00FF34E0">
        <w:rPr>
          <w:rFonts w:eastAsiaTheme="majorEastAsia" w:cs="Times New Roman"/>
          <w:b/>
          <w:bCs/>
          <w:szCs w:val="24"/>
        </w:rPr>
        <w:t>, </w:t>
      </w:r>
      <w:hyperlink r:id="rId414" w:history="1">
        <w:r w:rsidR="006F53C9" w:rsidRPr="00FF34E0">
          <w:rPr>
            <w:rFonts w:eastAsiaTheme="majorEastAsia" w:cs="Times New Roman"/>
            <w:b/>
            <w:bCs/>
            <w:szCs w:val="24"/>
          </w:rPr>
          <w:t>Gassmann M</w:t>
        </w:r>
      </w:hyperlink>
      <w:r w:rsidR="006F53C9" w:rsidRPr="00FF34E0">
        <w:rPr>
          <w:rFonts w:eastAsiaTheme="majorEastAsia" w:cs="Times New Roman"/>
          <w:b/>
          <w:bCs/>
          <w:szCs w:val="24"/>
        </w:rPr>
        <w:t>, </w:t>
      </w:r>
      <w:hyperlink r:id="rId415" w:history="1">
        <w:r w:rsidR="006F53C9" w:rsidRPr="00FF34E0">
          <w:rPr>
            <w:rFonts w:eastAsiaTheme="majorEastAsia" w:cs="Times New Roman"/>
            <w:b/>
            <w:bCs/>
            <w:szCs w:val="24"/>
          </w:rPr>
          <w:t>Gearhart JD</w:t>
        </w:r>
      </w:hyperlink>
      <w:r w:rsidR="006F53C9" w:rsidRPr="00FF34E0">
        <w:rPr>
          <w:rFonts w:eastAsiaTheme="majorEastAsia" w:cs="Times New Roman"/>
          <w:b/>
          <w:bCs/>
          <w:szCs w:val="24"/>
        </w:rPr>
        <w:t>, </w:t>
      </w:r>
      <w:hyperlink r:id="rId416" w:history="1">
        <w:r w:rsidR="006F53C9" w:rsidRPr="00FF34E0">
          <w:rPr>
            <w:rFonts w:eastAsiaTheme="majorEastAsia" w:cs="Times New Roman"/>
            <w:b/>
            <w:bCs/>
            <w:szCs w:val="24"/>
          </w:rPr>
          <w:t>Lawler AM</w:t>
        </w:r>
      </w:hyperlink>
      <w:r w:rsidR="006F53C9" w:rsidRPr="00FF34E0">
        <w:rPr>
          <w:rFonts w:eastAsiaTheme="majorEastAsia" w:cs="Times New Roman"/>
          <w:b/>
          <w:bCs/>
          <w:szCs w:val="24"/>
        </w:rPr>
        <w:t>, </w:t>
      </w:r>
      <w:hyperlink r:id="rId417" w:history="1">
        <w:r w:rsidR="006F53C9" w:rsidRPr="00FF34E0">
          <w:rPr>
            <w:rFonts w:eastAsiaTheme="majorEastAsia" w:cs="Times New Roman"/>
            <w:b/>
            <w:bCs/>
            <w:szCs w:val="24"/>
          </w:rPr>
          <w:t>Yu AY</w:t>
        </w:r>
      </w:hyperlink>
      <w:r w:rsidR="006F53C9" w:rsidRPr="00FF34E0">
        <w:rPr>
          <w:rFonts w:eastAsiaTheme="majorEastAsia" w:cs="Times New Roman"/>
          <w:b/>
          <w:bCs/>
          <w:szCs w:val="24"/>
        </w:rPr>
        <w:t>, </w:t>
      </w:r>
      <w:hyperlink r:id="rId418" w:history="1">
        <w:r w:rsidR="006F53C9" w:rsidRPr="00FF34E0">
          <w:rPr>
            <w:rFonts w:eastAsiaTheme="majorEastAsia" w:cs="Times New Roman"/>
            <w:b/>
            <w:bCs/>
            <w:szCs w:val="24"/>
          </w:rPr>
          <w:t>Semenza GL</w:t>
        </w:r>
      </w:hyperlink>
      <w:r w:rsidR="006F53C9" w:rsidRPr="00FF34E0">
        <w:rPr>
          <w:rFonts w:eastAsiaTheme="majorEastAsia" w:cs="Times New Roman"/>
          <w:b/>
          <w:bCs/>
          <w:szCs w:val="24"/>
        </w:rPr>
        <w:t xml:space="preserve">. </w:t>
      </w:r>
      <w:r w:rsidR="006F53C9" w:rsidRPr="00FF34E0">
        <w:rPr>
          <w:rFonts w:eastAsia="Calibri" w:cs="Times New Roman"/>
          <w:szCs w:val="24"/>
        </w:rPr>
        <w:t xml:space="preserve">Cellular and developmental control of </w:t>
      </w:r>
      <w:r w:rsidR="006F53C9" w:rsidRPr="00FF34E0">
        <w:rPr>
          <w:rFonts w:eastAsia="Calibri" w:cs="Times New Roman"/>
          <w:szCs w:val="24"/>
        </w:rPr>
        <w:lastRenderedPageBreak/>
        <w:t>O</w:t>
      </w:r>
      <w:r w:rsidR="006F53C9" w:rsidRPr="00193A10">
        <w:rPr>
          <w:rFonts w:eastAsia="Calibri" w:cs="Times New Roman"/>
          <w:szCs w:val="24"/>
          <w:vertAlign w:val="subscript"/>
        </w:rPr>
        <w:t>2</w:t>
      </w:r>
      <w:r w:rsidR="006F53C9" w:rsidRPr="00FF34E0">
        <w:rPr>
          <w:rFonts w:eastAsia="Calibri" w:cs="Times New Roman"/>
          <w:szCs w:val="24"/>
        </w:rPr>
        <w:t xml:space="preserve"> homeostasis by hypoxia-inducible factor 1 alpha. </w:t>
      </w:r>
      <w:r w:rsidR="006F53C9" w:rsidRPr="00FF34E0">
        <w:rPr>
          <w:rFonts w:eastAsia="Calibri" w:cs="Times New Roman"/>
          <w:i/>
          <w:szCs w:val="24"/>
        </w:rPr>
        <w:t>Genes&amp;Development</w:t>
      </w:r>
      <w:r w:rsidR="006F53C9" w:rsidRPr="00FF34E0">
        <w:rPr>
          <w:rFonts w:eastAsia="Calibri" w:cs="Times New Roman"/>
          <w:szCs w:val="24"/>
        </w:rPr>
        <w:t xml:space="preserve"> 1998, 12(2),149-162.</w:t>
      </w:r>
    </w:p>
    <w:p w:rsidR="006F53C9" w:rsidRPr="00FF34E0" w:rsidRDefault="006F53C9" w:rsidP="004B5084">
      <w:pPr>
        <w:spacing w:before="120" w:after="240"/>
        <w:ind w:firstLine="0"/>
        <w:rPr>
          <w:rFonts w:eastAsia="Calibri" w:cs="Times New Roman"/>
          <w:szCs w:val="24"/>
        </w:rPr>
      </w:pPr>
      <w:r w:rsidRPr="00FF34E0">
        <w:rPr>
          <w:rFonts w:eastAsia="Calibri" w:cs="Times New Roman"/>
          <w:b/>
          <w:szCs w:val="24"/>
        </w:rPr>
        <w:t>Jiang BH, Semenza GL, Bauer C, Marti HH.</w:t>
      </w:r>
      <w:r w:rsidRPr="00FF34E0">
        <w:rPr>
          <w:rFonts w:eastAsia="Calibri" w:cs="Times New Roman"/>
          <w:szCs w:val="24"/>
        </w:rPr>
        <w:t xml:space="preserve"> Hypoxia-inducible factor 1 levels vary exponentially over a physiologically relevant range of O2 tension. </w:t>
      </w:r>
      <w:r w:rsidRPr="00FF34E0">
        <w:rPr>
          <w:rFonts w:eastAsia="Calibri" w:cs="Times New Roman"/>
          <w:i/>
          <w:szCs w:val="24"/>
        </w:rPr>
        <w:t>The American journal of physiology</w:t>
      </w:r>
      <w:r w:rsidRPr="00FF34E0">
        <w:rPr>
          <w:rFonts w:eastAsia="Calibri" w:cs="Times New Roman"/>
          <w:szCs w:val="24"/>
        </w:rPr>
        <w:t xml:space="preserve"> 1996, 271,C1172-1180.</w:t>
      </w:r>
    </w:p>
    <w:p w:rsidR="006F53C9" w:rsidRDefault="006F53C9" w:rsidP="004B5084">
      <w:pPr>
        <w:spacing w:before="120" w:after="240"/>
        <w:ind w:firstLine="0"/>
        <w:rPr>
          <w:rFonts w:eastAsia="Calibri" w:cs="Times New Roman"/>
          <w:szCs w:val="24"/>
        </w:rPr>
      </w:pPr>
      <w:r w:rsidRPr="00FF34E0">
        <w:rPr>
          <w:rFonts w:eastAsiaTheme="majorEastAsia" w:cs="Times New Roman"/>
          <w:b/>
          <w:bCs/>
          <w:szCs w:val="24"/>
        </w:rPr>
        <w:t>Jiang P, Du W, Wu M.</w:t>
      </w:r>
      <w:r w:rsidRPr="00FF34E0">
        <w:rPr>
          <w:rFonts w:ascii="Calibri" w:eastAsia="Calibri" w:hAnsi="Calibri" w:cs="Times New Roman"/>
          <w:sz w:val="22"/>
        </w:rPr>
        <w:t xml:space="preserve"> </w:t>
      </w:r>
      <w:r w:rsidRPr="00FF34E0">
        <w:rPr>
          <w:rFonts w:eastAsia="Calibri" w:cs="Times New Roman"/>
          <w:szCs w:val="24"/>
        </w:rPr>
        <w:t xml:space="preserve">Regulation of the pentose phosphate pathway in cancer. </w:t>
      </w:r>
      <w:r w:rsidRPr="00FF34E0">
        <w:rPr>
          <w:rFonts w:eastAsia="Calibri" w:cs="Times New Roman"/>
          <w:i/>
          <w:szCs w:val="24"/>
        </w:rPr>
        <w:t>Protein&amp;Cell</w:t>
      </w:r>
      <w:r w:rsidRPr="00FF34E0">
        <w:rPr>
          <w:rFonts w:eastAsia="Calibri" w:cs="Times New Roman"/>
          <w:szCs w:val="24"/>
        </w:rPr>
        <w:t xml:space="preserve"> 2014, 5 (8), 592-602. </w:t>
      </w:r>
    </w:p>
    <w:p w:rsidR="006F53C9" w:rsidRDefault="006F53C9" w:rsidP="004B5084">
      <w:pPr>
        <w:spacing w:before="120" w:after="240"/>
        <w:ind w:firstLine="0"/>
        <w:rPr>
          <w:rFonts w:eastAsia="Calibri" w:cs="Times New Roman"/>
          <w:szCs w:val="24"/>
        </w:rPr>
      </w:pPr>
      <w:r w:rsidRPr="00FF34E0">
        <w:rPr>
          <w:rFonts w:eastAsia="Calibri" w:cs="Times New Roman"/>
          <w:b/>
          <w:szCs w:val="24"/>
        </w:rPr>
        <w:t>Jiang XP, Elliot RL, Head JH.</w:t>
      </w:r>
      <w:r w:rsidRPr="00FF34E0">
        <w:rPr>
          <w:rFonts w:eastAsia="Calibri" w:cs="Times New Roman"/>
          <w:szCs w:val="24"/>
        </w:rPr>
        <w:t xml:space="preserve"> Exogenous normal mammary epithelial mitochondria suppress glycolytic metabolism and glucose uptake of human breast cancer cells. </w:t>
      </w:r>
      <w:r w:rsidRPr="00FF34E0">
        <w:rPr>
          <w:rFonts w:eastAsia="Calibri" w:cs="Times New Roman"/>
          <w:i/>
          <w:szCs w:val="24"/>
        </w:rPr>
        <w:t>Breast Cancer Research and Treatment</w:t>
      </w:r>
      <w:r w:rsidRPr="00FF34E0">
        <w:rPr>
          <w:rFonts w:eastAsia="Calibri" w:cs="Times New Roman"/>
          <w:szCs w:val="24"/>
        </w:rPr>
        <w:t xml:space="preserve"> 2015, 153, 519-529. </w:t>
      </w:r>
    </w:p>
    <w:p w:rsidR="006F53C9" w:rsidRDefault="0037177D" w:rsidP="004B5084">
      <w:pPr>
        <w:spacing w:before="120" w:after="240"/>
        <w:ind w:firstLine="0"/>
        <w:rPr>
          <w:rFonts w:eastAsia="Calibri" w:cs="Times New Roman"/>
          <w:szCs w:val="24"/>
        </w:rPr>
      </w:pPr>
      <w:hyperlink r:id="rId419" w:history="1">
        <w:r w:rsidR="006F53C9" w:rsidRPr="00FF34E0">
          <w:rPr>
            <w:rFonts w:eastAsia="Calibri" w:cs="Times New Roman"/>
            <w:b/>
            <w:szCs w:val="24"/>
          </w:rPr>
          <w:t>Jin MS</w:t>
        </w:r>
      </w:hyperlink>
      <w:r w:rsidR="006F53C9" w:rsidRPr="00FF34E0">
        <w:rPr>
          <w:rFonts w:eastAsia="Calibri" w:cs="Times New Roman"/>
          <w:b/>
          <w:szCs w:val="24"/>
        </w:rPr>
        <w:t>, </w:t>
      </w:r>
      <w:hyperlink r:id="rId420" w:history="1">
        <w:r w:rsidR="006F53C9" w:rsidRPr="00FF34E0">
          <w:rPr>
            <w:rFonts w:eastAsia="Calibri" w:cs="Times New Roman"/>
            <w:b/>
            <w:szCs w:val="24"/>
          </w:rPr>
          <w:t>Lee H</w:t>
        </w:r>
      </w:hyperlink>
      <w:r w:rsidR="006F53C9" w:rsidRPr="00FF34E0">
        <w:rPr>
          <w:rFonts w:eastAsia="Calibri" w:cs="Times New Roman"/>
          <w:b/>
          <w:szCs w:val="24"/>
        </w:rPr>
        <w:t>, </w:t>
      </w:r>
      <w:hyperlink r:id="rId421" w:history="1">
        <w:r w:rsidR="006F53C9" w:rsidRPr="00FF34E0">
          <w:rPr>
            <w:rFonts w:eastAsia="Calibri" w:cs="Times New Roman"/>
            <w:b/>
            <w:szCs w:val="24"/>
          </w:rPr>
          <w:t>Park IA</w:t>
        </w:r>
      </w:hyperlink>
      <w:r w:rsidR="006F53C9" w:rsidRPr="00FF34E0">
        <w:rPr>
          <w:rFonts w:eastAsia="Calibri" w:cs="Times New Roman"/>
          <w:b/>
          <w:szCs w:val="24"/>
        </w:rPr>
        <w:t>, </w:t>
      </w:r>
      <w:hyperlink r:id="rId422" w:history="1">
        <w:r w:rsidR="006F53C9" w:rsidRPr="00FF34E0">
          <w:rPr>
            <w:rFonts w:eastAsia="Calibri" w:cs="Times New Roman"/>
            <w:b/>
            <w:szCs w:val="24"/>
          </w:rPr>
          <w:t>Chung YR</w:t>
        </w:r>
      </w:hyperlink>
      <w:r w:rsidR="006F53C9" w:rsidRPr="00FF34E0">
        <w:rPr>
          <w:rFonts w:eastAsia="Calibri" w:cs="Times New Roman"/>
          <w:b/>
          <w:szCs w:val="24"/>
        </w:rPr>
        <w:t>, </w:t>
      </w:r>
      <w:hyperlink r:id="rId423" w:history="1">
        <w:r w:rsidR="006F53C9" w:rsidRPr="00FF34E0">
          <w:rPr>
            <w:rFonts w:eastAsia="Calibri" w:cs="Times New Roman"/>
            <w:b/>
            <w:szCs w:val="24"/>
          </w:rPr>
          <w:t>Im SA</w:t>
        </w:r>
      </w:hyperlink>
      <w:r w:rsidR="006F53C9" w:rsidRPr="00FF34E0">
        <w:rPr>
          <w:rFonts w:eastAsia="Calibri" w:cs="Times New Roman"/>
          <w:b/>
          <w:szCs w:val="24"/>
        </w:rPr>
        <w:t>, </w:t>
      </w:r>
      <w:hyperlink r:id="rId424" w:history="1">
        <w:r w:rsidR="006F53C9" w:rsidRPr="00FF34E0">
          <w:rPr>
            <w:rFonts w:eastAsia="Calibri" w:cs="Times New Roman"/>
            <w:b/>
            <w:szCs w:val="24"/>
          </w:rPr>
          <w:t>Lee KH</w:t>
        </w:r>
      </w:hyperlink>
      <w:r w:rsidR="006F53C9" w:rsidRPr="00FF34E0">
        <w:rPr>
          <w:rFonts w:eastAsia="Calibri" w:cs="Times New Roman"/>
          <w:b/>
          <w:szCs w:val="24"/>
        </w:rPr>
        <w:t>, </w:t>
      </w:r>
      <w:hyperlink r:id="rId425" w:history="1">
        <w:r w:rsidR="006F53C9" w:rsidRPr="00FF34E0">
          <w:rPr>
            <w:rFonts w:eastAsia="Calibri" w:cs="Times New Roman"/>
            <w:b/>
            <w:szCs w:val="24"/>
          </w:rPr>
          <w:t>Moon HG</w:t>
        </w:r>
      </w:hyperlink>
      <w:r w:rsidR="006F53C9" w:rsidRPr="00FF34E0">
        <w:rPr>
          <w:rFonts w:eastAsia="Calibri" w:cs="Times New Roman"/>
          <w:b/>
          <w:szCs w:val="24"/>
        </w:rPr>
        <w:t>, </w:t>
      </w:r>
      <w:hyperlink r:id="rId426" w:history="1">
        <w:r w:rsidR="006F53C9" w:rsidRPr="00FF34E0">
          <w:rPr>
            <w:rFonts w:eastAsia="Calibri" w:cs="Times New Roman"/>
            <w:b/>
            <w:szCs w:val="24"/>
          </w:rPr>
          <w:t>Han W</w:t>
        </w:r>
      </w:hyperlink>
      <w:r w:rsidR="006F53C9" w:rsidRPr="00FF34E0">
        <w:rPr>
          <w:rFonts w:eastAsia="Calibri" w:cs="Times New Roman"/>
          <w:b/>
          <w:szCs w:val="24"/>
        </w:rPr>
        <w:t>, </w:t>
      </w:r>
      <w:hyperlink r:id="rId427" w:history="1">
        <w:r w:rsidR="006F53C9" w:rsidRPr="00FF34E0">
          <w:rPr>
            <w:rFonts w:eastAsia="Calibri" w:cs="Times New Roman"/>
            <w:b/>
            <w:szCs w:val="24"/>
          </w:rPr>
          <w:t>Kim K</w:t>
        </w:r>
      </w:hyperlink>
      <w:r w:rsidR="006F53C9" w:rsidRPr="00FF34E0">
        <w:rPr>
          <w:rFonts w:eastAsia="Calibri" w:cs="Times New Roman"/>
          <w:b/>
          <w:szCs w:val="24"/>
        </w:rPr>
        <w:t>, </w:t>
      </w:r>
      <w:hyperlink r:id="rId428" w:history="1">
        <w:r w:rsidR="006F53C9" w:rsidRPr="00FF34E0">
          <w:rPr>
            <w:rFonts w:eastAsia="Calibri" w:cs="Times New Roman"/>
            <w:b/>
            <w:szCs w:val="24"/>
          </w:rPr>
          <w:t>Kim TY</w:t>
        </w:r>
      </w:hyperlink>
      <w:r w:rsidR="006F53C9" w:rsidRPr="00FF34E0">
        <w:rPr>
          <w:rFonts w:eastAsia="Calibri" w:cs="Times New Roman"/>
          <w:b/>
          <w:szCs w:val="24"/>
        </w:rPr>
        <w:t>, </w:t>
      </w:r>
      <w:hyperlink r:id="rId429" w:history="1">
        <w:r w:rsidR="006F53C9" w:rsidRPr="00FF34E0">
          <w:rPr>
            <w:rFonts w:eastAsia="Calibri" w:cs="Times New Roman"/>
            <w:b/>
            <w:szCs w:val="24"/>
          </w:rPr>
          <w:t>Noh DY</w:t>
        </w:r>
      </w:hyperlink>
      <w:r w:rsidR="006F53C9" w:rsidRPr="00FF34E0">
        <w:rPr>
          <w:rFonts w:eastAsia="Calibri" w:cs="Times New Roman"/>
          <w:b/>
          <w:szCs w:val="24"/>
        </w:rPr>
        <w:t>, </w:t>
      </w:r>
      <w:hyperlink r:id="rId430" w:history="1">
        <w:r w:rsidR="006F53C9" w:rsidRPr="00FF34E0">
          <w:rPr>
            <w:rFonts w:eastAsia="Calibri" w:cs="Times New Roman"/>
            <w:b/>
            <w:szCs w:val="24"/>
          </w:rPr>
          <w:t>Ryu HS</w:t>
        </w:r>
      </w:hyperlink>
      <w:r w:rsidR="006F53C9" w:rsidRPr="00FF34E0">
        <w:rPr>
          <w:rFonts w:eastAsia="Calibri" w:cs="Times New Roman"/>
          <w:b/>
          <w:szCs w:val="24"/>
        </w:rPr>
        <w:t>.</w:t>
      </w:r>
      <w:r w:rsidR="006F53C9" w:rsidRPr="00FF34E0">
        <w:rPr>
          <w:rFonts w:eastAsia="Calibri" w:cs="Times New Roman"/>
          <w:szCs w:val="24"/>
        </w:rPr>
        <w:t xml:space="preserve"> Overexpression of HIF1α and CAXI predicts poor outcome in early-stage triple negative breast cancer. </w:t>
      </w:r>
      <w:r w:rsidR="006F53C9" w:rsidRPr="00FF34E0">
        <w:rPr>
          <w:rFonts w:eastAsia="Calibri" w:cs="Times New Roman"/>
          <w:i/>
          <w:szCs w:val="24"/>
        </w:rPr>
        <w:t>Virchows Archives</w:t>
      </w:r>
      <w:r w:rsidR="006F53C9" w:rsidRPr="00FF34E0">
        <w:rPr>
          <w:rFonts w:eastAsia="Calibri" w:cs="Times New Roman"/>
          <w:szCs w:val="24"/>
        </w:rPr>
        <w:t xml:space="preserve"> 2016, 469(2),183-190.</w:t>
      </w:r>
    </w:p>
    <w:p w:rsidR="006F53C9" w:rsidRPr="00FF34E0" w:rsidRDefault="006F53C9" w:rsidP="004B5084">
      <w:pPr>
        <w:spacing w:before="120" w:after="240"/>
        <w:ind w:firstLine="0"/>
        <w:rPr>
          <w:rFonts w:eastAsia="Calibri" w:cs="Times New Roman"/>
          <w:szCs w:val="24"/>
        </w:rPr>
      </w:pPr>
      <w:r w:rsidRPr="00FF34E0">
        <w:rPr>
          <w:rFonts w:eastAsia="Calibri" w:cs="Times New Roman"/>
          <w:b/>
          <w:szCs w:val="24"/>
        </w:rPr>
        <w:t>Jones RG, Plas DR, Kubek S, Buzzai M, Mu J, Xu Y, Birnbaum MJ, Thompson CB.</w:t>
      </w:r>
      <w:r w:rsidRPr="00FF34E0">
        <w:rPr>
          <w:rFonts w:eastAsiaTheme="majorEastAsia" w:cstheme="majorBidi"/>
          <w:b/>
          <w:bCs/>
          <w:color w:val="365F91" w:themeColor="accent1" w:themeShade="BF"/>
          <w:szCs w:val="24"/>
        </w:rPr>
        <w:t xml:space="preserve"> </w:t>
      </w:r>
      <w:r w:rsidRPr="00FF34E0">
        <w:rPr>
          <w:rFonts w:eastAsia="Calibri" w:cs="Times New Roman"/>
          <w:szCs w:val="24"/>
        </w:rPr>
        <w:t xml:space="preserve">AMP-activated protein kinase induces a p53-dependent metabolic checkpoint. </w:t>
      </w:r>
      <w:r w:rsidRPr="00FF34E0">
        <w:rPr>
          <w:rFonts w:eastAsia="Calibri" w:cs="Times New Roman"/>
          <w:i/>
          <w:szCs w:val="24"/>
        </w:rPr>
        <w:t>Molecular Cell</w:t>
      </w:r>
      <w:r w:rsidRPr="00FF34E0">
        <w:rPr>
          <w:rFonts w:eastAsia="Calibri" w:cs="Times New Roman"/>
          <w:szCs w:val="24"/>
        </w:rPr>
        <w:t xml:space="preserve"> 2005,18, 283–293.</w:t>
      </w:r>
    </w:p>
    <w:p w:rsidR="006F53C9" w:rsidRDefault="006F53C9" w:rsidP="004B5084">
      <w:pPr>
        <w:spacing w:before="120" w:after="240"/>
        <w:ind w:firstLine="0"/>
        <w:rPr>
          <w:rFonts w:eastAsia="Calibri" w:cs="Times New Roman"/>
          <w:szCs w:val="24"/>
        </w:rPr>
      </w:pPr>
      <w:r w:rsidRPr="00FF34E0">
        <w:rPr>
          <w:rFonts w:eastAsiaTheme="majorEastAsia" w:cs="Times New Roman"/>
          <w:b/>
          <w:bCs/>
          <w:szCs w:val="24"/>
        </w:rPr>
        <w:t>Joost HG, Thorens B.</w:t>
      </w:r>
      <w:r w:rsidRPr="00FF34E0">
        <w:rPr>
          <w:rFonts w:eastAsia="Calibri" w:cs="Times New Roman"/>
          <w:szCs w:val="24"/>
        </w:rPr>
        <w:t xml:space="preserve"> The extended GLUT-family of sugar/ polyol transport facilitators: </w:t>
      </w:r>
      <w:r w:rsidRPr="00FF34E0">
        <w:rPr>
          <w:rFonts w:eastAsia="Calibri" w:cs="Times New Roman"/>
          <w:i/>
          <w:szCs w:val="24"/>
        </w:rPr>
        <w:t>me</w:t>
      </w:r>
      <w:r w:rsidRPr="00FF34E0">
        <w:rPr>
          <w:rFonts w:eastAsia="Calibri" w:cs="Times New Roman"/>
          <w:szCs w:val="24"/>
        </w:rPr>
        <w:t xml:space="preserve">, sequence characteristics, and potential function of its novel members (review). </w:t>
      </w:r>
      <w:r w:rsidRPr="00FF34E0">
        <w:rPr>
          <w:rFonts w:eastAsia="Calibri" w:cs="Times New Roman"/>
          <w:i/>
          <w:szCs w:val="24"/>
        </w:rPr>
        <w:t>Molecular Membrane Biology</w:t>
      </w:r>
      <w:r w:rsidRPr="00FF34E0">
        <w:rPr>
          <w:rFonts w:eastAsia="Calibri" w:cs="Times New Roman"/>
          <w:szCs w:val="24"/>
        </w:rPr>
        <w:t xml:space="preserve"> 2001,18, 247–256.</w:t>
      </w:r>
    </w:p>
    <w:p w:rsidR="006F53C9" w:rsidRPr="00FF34E0" w:rsidRDefault="006F53C9" w:rsidP="004B5084">
      <w:pPr>
        <w:spacing w:before="120" w:after="240"/>
        <w:ind w:firstLine="0"/>
        <w:rPr>
          <w:rFonts w:eastAsia="Calibri" w:cs="Times New Roman"/>
          <w:szCs w:val="24"/>
        </w:rPr>
      </w:pPr>
      <w:r w:rsidRPr="00FF34E0">
        <w:rPr>
          <w:rFonts w:eastAsia="Calibri" w:cs="Times New Roman"/>
          <w:b/>
          <w:szCs w:val="24"/>
        </w:rPr>
        <w:t xml:space="preserve">Kallio PJ, Pongratz I, Gradin K, McGuire J, Poellinger L. </w:t>
      </w:r>
      <w:r w:rsidRPr="00FF34E0">
        <w:rPr>
          <w:rFonts w:eastAsia="Calibri" w:cs="Times New Roman"/>
          <w:szCs w:val="24"/>
        </w:rPr>
        <w:t xml:space="preserve">Activation of hypoxiainducible factor 1α: Posttranscriptional regulation and conformational change by recruitment of the Arnt transcription factor. </w:t>
      </w:r>
      <w:r w:rsidRPr="00FF34E0">
        <w:rPr>
          <w:rFonts w:eastAsia="Calibri" w:cs="Times New Roman"/>
          <w:i/>
          <w:szCs w:val="24"/>
        </w:rPr>
        <w:t>Proceedings of the National Academy of Sciences of the United States of America</w:t>
      </w:r>
      <w:r w:rsidRPr="00FF34E0">
        <w:rPr>
          <w:rFonts w:eastAsia="Calibri" w:cs="Times New Roman"/>
          <w:szCs w:val="24"/>
        </w:rPr>
        <w:t xml:space="preserve"> 1997, 94(11), 5667-5672.</w:t>
      </w:r>
    </w:p>
    <w:p w:rsidR="00193A10" w:rsidRDefault="006F53C9" w:rsidP="0089198B">
      <w:pPr>
        <w:spacing w:before="120" w:after="240"/>
        <w:ind w:firstLine="0"/>
        <w:rPr>
          <w:rFonts w:eastAsia="Calibri" w:cs="Times New Roman"/>
          <w:szCs w:val="24"/>
        </w:rPr>
      </w:pPr>
      <w:r w:rsidRPr="00FF34E0">
        <w:rPr>
          <w:rFonts w:eastAsiaTheme="majorEastAsia" w:cs="Times New Roman"/>
          <w:b/>
          <w:bCs/>
          <w:szCs w:val="24"/>
        </w:rPr>
        <w:t>Kallio PJ, Wilson WJ, O’Brien S, Makino Y, Poellinger L.</w:t>
      </w:r>
      <w:r w:rsidRPr="00FF34E0">
        <w:rPr>
          <w:rFonts w:ascii="Calibri" w:eastAsia="Calibri" w:hAnsi="Calibri" w:cs="Times New Roman"/>
          <w:sz w:val="22"/>
        </w:rPr>
        <w:t xml:space="preserve"> </w:t>
      </w:r>
      <w:r w:rsidRPr="00FF34E0">
        <w:rPr>
          <w:rFonts w:eastAsia="Calibri" w:cs="Times New Roman"/>
          <w:szCs w:val="24"/>
        </w:rPr>
        <w:t xml:space="preserve">Regulation of the Hypoxiainducible Transcription Factor 1α by the Ubiquitin-Proteasome Pathway. </w:t>
      </w:r>
      <w:r w:rsidRPr="00FF34E0">
        <w:rPr>
          <w:rFonts w:eastAsia="Calibri" w:cs="Times New Roman"/>
          <w:i/>
          <w:szCs w:val="24"/>
        </w:rPr>
        <w:t>Journal of Biological Chemistry</w:t>
      </w:r>
      <w:r w:rsidRPr="00FF34E0">
        <w:rPr>
          <w:rFonts w:eastAsia="Calibri" w:cs="Times New Roman"/>
          <w:szCs w:val="24"/>
        </w:rPr>
        <w:t xml:space="preserve"> 1999, 274 (10), 6519-6525.</w:t>
      </w:r>
    </w:p>
    <w:p w:rsidR="006F53C9" w:rsidRPr="00FF34E0" w:rsidRDefault="006F53C9" w:rsidP="0089198B">
      <w:pPr>
        <w:spacing w:before="120" w:after="240"/>
        <w:ind w:firstLine="0"/>
        <w:rPr>
          <w:rFonts w:eastAsia="Calibri" w:cs="Times New Roman"/>
          <w:szCs w:val="24"/>
        </w:rPr>
      </w:pPr>
      <w:r w:rsidRPr="00FF34E0">
        <w:rPr>
          <w:rFonts w:eastAsia="Calibri" w:cs="Times New Roman"/>
          <w:b/>
          <w:szCs w:val="24"/>
        </w:rPr>
        <w:lastRenderedPageBreak/>
        <w:t xml:space="preserve">Kalyanaraman B. </w:t>
      </w:r>
      <w:r w:rsidRPr="00FF34E0">
        <w:rPr>
          <w:rFonts w:eastAsia="Calibri" w:cs="Times New Roman"/>
          <w:szCs w:val="24"/>
        </w:rPr>
        <w:t xml:space="preserve">Teaching the basics of cancer metabolism: Developing antitumor strategies by exploiting the differences between normal and cancer cell metabolism. </w:t>
      </w:r>
      <w:r w:rsidRPr="00FF34E0">
        <w:rPr>
          <w:rFonts w:eastAsia="Calibri" w:cs="Times New Roman"/>
          <w:i/>
          <w:szCs w:val="24"/>
        </w:rPr>
        <w:t>Redox Biology</w:t>
      </w:r>
      <w:r w:rsidRPr="00FF34E0">
        <w:rPr>
          <w:rFonts w:eastAsia="Calibri" w:cs="Times New Roman"/>
          <w:szCs w:val="24"/>
        </w:rPr>
        <w:t xml:space="preserve"> 2017, 12, 883-842. </w:t>
      </w:r>
    </w:p>
    <w:p w:rsidR="006F53C9" w:rsidRPr="00FF34E0" w:rsidRDefault="006F53C9" w:rsidP="004B5084">
      <w:pPr>
        <w:keepNext/>
        <w:keepLines/>
        <w:shd w:val="clear" w:color="auto" w:fill="FFFFFF"/>
        <w:spacing w:before="120" w:after="240"/>
        <w:ind w:firstLine="0"/>
        <w:outlineLvl w:val="0"/>
        <w:rPr>
          <w:rFonts w:eastAsia="Calibri" w:cs="Times New Roman"/>
          <w:szCs w:val="24"/>
        </w:rPr>
      </w:pPr>
      <w:r w:rsidRPr="00FF34E0">
        <w:rPr>
          <w:rFonts w:eastAsiaTheme="majorEastAsia" w:cs="Times New Roman"/>
          <w:b/>
          <w:bCs/>
          <w:szCs w:val="24"/>
        </w:rPr>
        <w:t>Karim S, Adams DH, Lalor PF.</w:t>
      </w:r>
      <w:r w:rsidRPr="00FF34E0">
        <w:rPr>
          <w:rFonts w:eastAsiaTheme="majorEastAsia" w:cstheme="majorBidi"/>
          <w:b/>
          <w:bCs/>
          <w:color w:val="365F91" w:themeColor="accent1" w:themeShade="BF"/>
          <w:szCs w:val="24"/>
        </w:rPr>
        <w:t xml:space="preserve"> </w:t>
      </w:r>
      <w:r w:rsidRPr="00FF34E0">
        <w:rPr>
          <w:rFonts w:eastAsia="Calibri" w:cs="Times New Roman"/>
          <w:szCs w:val="24"/>
        </w:rPr>
        <w:t xml:space="preserve">Hepatic expression and cellular distribution of the glucose transporter family. </w:t>
      </w:r>
      <w:r w:rsidRPr="00FF34E0">
        <w:rPr>
          <w:rFonts w:eastAsia="Calibri" w:cs="Times New Roman"/>
          <w:i/>
          <w:szCs w:val="24"/>
        </w:rPr>
        <w:t>World Journal of Gastroenterology</w:t>
      </w:r>
      <w:r w:rsidRPr="00FF34E0">
        <w:rPr>
          <w:rFonts w:eastAsia="Calibri" w:cs="Times New Roman"/>
          <w:szCs w:val="24"/>
        </w:rPr>
        <w:t xml:space="preserve"> 2012, 18 (46), 6771-6781.</w:t>
      </w:r>
    </w:p>
    <w:p w:rsidR="006F53C9" w:rsidRDefault="006F53C9" w:rsidP="004B5084">
      <w:pPr>
        <w:spacing w:before="120" w:after="240"/>
        <w:ind w:firstLine="0"/>
        <w:rPr>
          <w:rFonts w:eastAsia="Calibri" w:cs="Times New Roman"/>
          <w:szCs w:val="24"/>
        </w:rPr>
      </w:pPr>
      <w:r w:rsidRPr="00FF34E0">
        <w:rPr>
          <w:rFonts w:eastAsia="Calibri" w:cs="Times New Roman"/>
          <w:b/>
          <w:szCs w:val="24"/>
        </w:rPr>
        <w:t>Kato Y, Ozawa S, Miyamoto C, Maehata Y, Suzuki A, Maeda T.</w:t>
      </w:r>
      <w:r w:rsidRPr="00FF34E0">
        <w:rPr>
          <w:rFonts w:eastAsia="Calibri" w:cs="Times New Roman"/>
          <w:szCs w:val="24"/>
        </w:rPr>
        <w:t xml:space="preserve"> Acidic extracellular microenvironment and cancer. </w:t>
      </w:r>
      <w:r w:rsidRPr="00FF34E0">
        <w:rPr>
          <w:rFonts w:eastAsia="Calibri" w:cs="Times New Roman"/>
          <w:i/>
          <w:szCs w:val="24"/>
        </w:rPr>
        <w:t>Cancer Cell International</w:t>
      </w:r>
      <w:r w:rsidRPr="00FF34E0">
        <w:rPr>
          <w:rFonts w:eastAsia="Calibri" w:cs="Times New Roman"/>
          <w:szCs w:val="24"/>
        </w:rPr>
        <w:t xml:space="preserve"> 2013,13, 89.</w:t>
      </w:r>
    </w:p>
    <w:p w:rsidR="006F53C9" w:rsidRPr="00FF34E0" w:rsidRDefault="006F53C9" w:rsidP="004B5084">
      <w:pPr>
        <w:spacing w:before="120" w:after="240"/>
        <w:ind w:firstLine="0"/>
        <w:rPr>
          <w:rFonts w:eastAsia="Calibri" w:cs="Times New Roman"/>
          <w:szCs w:val="24"/>
        </w:rPr>
      </w:pPr>
      <w:r w:rsidRPr="00FF34E0">
        <w:rPr>
          <w:rFonts w:eastAsia="Calibri" w:cs="Times New Roman"/>
          <w:b/>
          <w:szCs w:val="24"/>
        </w:rPr>
        <w:t>Kato Y, Ozawa S, Tsukuda M, Kubota E, Miyazaki K, St-Pierre Y, Hata R.</w:t>
      </w:r>
      <w:r w:rsidRPr="00FF34E0">
        <w:rPr>
          <w:rFonts w:ascii="Calibri" w:eastAsia="Calibri" w:hAnsi="Calibri" w:cs="Times New Roman"/>
          <w:sz w:val="22"/>
        </w:rPr>
        <w:t xml:space="preserve"> </w:t>
      </w:r>
      <w:r w:rsidRPr="00FF34E0">
        <w:rPr>
          <w:rFonts w:eastAsia="Calibri" w:cs="Times New Roman"/>
          <w:szCs w:val="24"/>
        </w:rPr>
        <w:t>Acidic extracellular pH increases calcium influx-triggered phospholipase D activity along with acidic sphingomyelinase activation to induce matrix metalloproteinase-9 expression in mouse metastatic melanoma</w:t>
      </w:r>
      <w:r w:rsidRPr="00FF34E0">
        <w:rPr>
          <w:rFonts w:eastAsia="Calibri" w:cs="Times New Roman"/>
          <w:i/>
          <w:szCs w:val="24"/>
        </w:rPr>
        <w:t>. The FEBS Journal</w:t>
      </w:r>
      <w:r w:rsidRPr="00FF34E0">
        <w:rPr>
          <w:rFonts w:eastAsia="Calibri" w:cs="Times New Roman"/>
          <w:szCs w:val="24"/>
        </w:rPr>
        <w:t xml:space="preserve"> 2007, 274, 3171–3183. </w:t>
      </w:r>
    </w:p>
    <w:p w:rsidR="006F53C9" w:rsidRDefault="006F53C9" w:rsidP="004B5084">
      <w:pPr>
        <w:spacing w:before="120" w:after="240"/>
        <w:ind w:firstLine="0"/>
        <w:rPr>
          <w:rFonts w:eastAsia="Calibri" w:cs="Times New Roman"/>
          <w:szCs w:val="24"/>
        </w:rPr>
      </w:pPr>
      <w:r w:rsidRPr="00FF34E0">
        <w:rPr>
          <w:rFonts w:eastAsia="Calibri" w:cs="Times New Roman"/>
          <w:b/>
          <w:szCs w:val="24"/>
        </w:rPr>
        <w:t>Keller KE, Tan IS, Lee YS.</w:t>
      </w:r>
      <w:r w:rsidRPr="00FF34E0">
        <w:rPr>
          <w:rFonts w:ascii="Arial" w:eastAsia="Calibri" w:hAnsi="Arial" w:cs="Arial"/>
          <w:sz w:val="20"/>
          <w:szCs w:val="20"/>
          <w:shd w:val="clear" w:color="auto" w:fill="FFFFFF"/>
        </w:rPr>
        <w:t xml:space="preserve"> </w:t>
      </w:r>
      <w:r w:rsidRPr="00FF34E0">
        <w:rPr>
          <w:rFonts w:eastAsia="Calibri" w:cs="Times New Roman"/>
          <w:szCs w:val="24"/>
        </w:rPr>
        <w:t xml:space="preserve">SAICAR Stimulates Pyruvate Kinase Isoform M2 and Promotes Cancer Cell Survival in Glucose -Limited Conditions. </w:t>
      </w:r>
      <w:r w:rsidRPr="00FF34E0">
        <w:rPr>
          <w:rFonts w:eastAsia="Calibri" w:cs="Times New Roman"/>
          <w:i/>
          <w:szCs w:val="24"/>
        </w:rPr>
        <w:t>Science</w:t>
      </w:r>
      <w:r w:rsidRPr="00FF34E0">
        <w:rPr>
          <w:rFonts w:eastAsia="Calibri" w:cs="Times New Roman"/>
          <w:szCs w:val="24"/>
        </w:rPr>
        <w:t xml:space="preserve"> 2012, 338 (6110), 1069–1072. </w:t>
      </w:r>
    </w:p>
    <w:p w:rsidR="006F53C9" w:rsidRPr="00FF34E0" w:rsidRDefault="0037177D" w:rsidP="004B5084">
      <w:pPr>
        <w:spacing w:before="120" w:after="240"/>
        <w:ind w:firstLine="0"/>
        <w:rPr>
          <w:rFonts w:eastAsia="Calibri" w:cs="Times New Roman"/>
          <w:szCs w:val="24"/>
        </w:rPr>
      </w:pPr>
      <w:hyperlink r:id="rId431" w:history="1">
        <w:r w:rsidR="006F53C9" w:rsidRPr="00FF34E0">
          <w:rPr>
            <w:rFonts w:eastAsia="Calibri" w:cs="Times New Roman"/>
            <w:b/>
            <w:szCs w:val="24"/>
          </w:rPr>
          <w:t>Keshari KR</w:t>
        </w:r>
      </w:hyperlink>
      <w:r w:rsidR="006F53C9" w:rsidRPr="00FF34E0">
        <w:rPr>
          <w:rFonts w:eastAsia="Calibri" w:cs="Times New Roman"/>
          <w:b/>
          <w:szCs w:val="24"/>
        </w:rPr>
        <w:t>, </w:t>
      </w:r>
      <w:hyperlink r:id="rId432" w:history="1">
        <w:r w:rsidR="006F53C9" w:rsidRPr="00FF34E0">
          <w:rPr>
            <w:rFonts w:eastAsia="Calibri" w:cs="Times New Roman"/>
            <w:b/>
            <w:szCs w:val="24"/>
          </w:rPr>
          <w:t>Sriram R</w:t>
        </w:r>
      </w:hyperlink>
      <w:r w:rsidR="006F53C9" w:rsidRPr="00FF34E0">
        <w:rPr>
          <w:rFonts w:eastAsia="Calibri" w:cs="Times New Roman"/>
          <w:b/>
          <w:szCs w:val="24"/>
        </w:rPr>
        <w:t>, </w:t>
      </w:r>
      <w:hyperlink r:id="rId433" w:history="1">
        <w:r w:rsidR="006F53C9" w:rsidRPr="00FF34E0">
          <w:rPr>
            <w:rFonts w:eastAsia="Calibri" w:cs="Times New Roman"/>
            <w:b/>
            <w:szCs w:val="24"/>
          </w:rPr>
          <w:t>Van Criekinge M</w:t>
        </w:r>
      </w:hyperlink>
      <w:r w:rsidR="006F53C9" w:rsidRPr="00FF34E0">
        <w:rPr>
          <w:rFonts w:eastAsia="Calibri" w:cs="Times New Roman"/>
          <w:b/>
          <w:szCs w:val="24"/>
        </w:rPr>
        <w:t>, </w:t>
      </w:r>
      <w:hyperlink r:id="rId434" w:history="1">
        <w:r w:rsidR="006F53C9" w:rsidRPr="00FF34E0">
          <w:rPr>
            <w:rFonts w:eastAsia="Calibri" w:cs="Times New Roman"/>
            <w:b/>
            <w:szCs w:val="24"/>
          </w:rPr>
          <w:t>Wilson DM</w:t>
        </w:r>
      </w:hyperlink>
      <w:r w:rsidR="006F53C9" w:rsidRPr="00FF34E0">
        <w:rPr>
          <w:rFonts w:eastAsia="Calibri" w:cs="Times New Roman"/>
          <w:b/>
          <w:szCs w:val="24"/>
        </w:rPr>
        <w:t>, </w:t>
      </w:r>
      <w:hyperlink r:id="rId435" w:history="1">
        <w:r w:rsidR="006F53C9" w:rsidRPr="00FF34E0">
          <w:rPr>
            <w:rFonts w:eastAsia="Calibri" w:cs="Times New Roman"/>
            <w:b/>
            <w:szCs w:val="24"/>
          </w:rPr>
          <w:t>Wang ZJ</w:t>
        </w:r>
      </w:hyperlink>
      <w:r w:rsidR="006F53C9" w:rsidRPr="00FF34E0">
        <w:rPr>
          <w:rFonts w:eastAsia="Calibri" w:cs="Times New Roman"/>
          <w:b/>
          <w:szCs w:val="24"/>
        </w:rPr>
        <w:t>, </w:t>
      </w:r>
      <w:hyperlink r:id="rId436" w:history="1">
        <w:r w:rsidR="006F53C9" w:rsidRPr="00FF34E0">
          <w:rPr>
            <w:rFonts w:eastAsia="Calibri" w:cs="Times New Roman"/>
            <w:b/>
            <w:szCs w:val="24"/>
          </w:rPr>
          <w:t>Vigneron DB</w:t>
        </w:r>
      </w:hyperlink>
      <w:r w:rsidR="006F53C9" w:rsidRPr="00FF34E0">
        <w:rPr>
          <w:rFonts w:eastAsia="Calibri" w:cs="Times New Roman"/>
          <w:b/>
          <w:szCs w:val="24"/>
        </w:rPr>
        <w:t>, </w:t>
      </w:r>
      <w:hyperlink r:id="rId437" w:history="1">
        <w:r w:rsidR="006F53C9" w:rsidRPr="00FF34E0">
          <w:rPr>
            <w:rFonts w:eastAsia="Calibri" w:cs="Times New Roman"/>
            <w:b/>
            <w:szCs w:val="24"/>
          </w:rPr>
          <w:t>Peehl DM</w:t>
        </w:r>
      </w:hyperlink>
      <w:r w:rsidR="006F53C9" w:rsidRPr="00FF34E0">
        <w:rPr>
          <w:rFonts w:eastAsia="Calibri" w:cs="Times New Roman"/>
          <w:b/>
          <w:szCs w:val="24"/>
        </w:rPr>
        <w:t>, </w:t>
      </w:r>
      <w:hyperlink r:id="rId438" w:history="1">
        <w:r w:rsidR="006F53C9" w:rsidRPr="00FF34E0">
          <w:rPr>
            <w:rFonts w:eastAsia="Calibri" w:cs="Times New Roman"/>
            <w:b/>
            <w:szCs w:val="24"/>
          </w:rPr>
          <w:t>Kurhanewicz J</w:t>
        </w:r>
      </w:hyperlink>
      <w:r w:rsidR="006F53C9" w:rsidRPr="00FF34E0">
        <w:rPr>
          <w:rFonts w:eastAsia="Calibri" w:cs="Times New Roman"/>
          <w:b/>
          <w:szCs w:val="24"/>
        </w:rPr>
        <w:t>.</w:t>
      </w:r>
      <w:r w:rsidR="006F53C9" w:rsidRPr="00FF34E0">
        <w:rPr>
          <w:rFonts w:eastAsia="Calibri" w:cs="Times New Roman"/>
          <w:szCs w:val="24"/>
        </w:rPr>
        <w:t xml:space="preserve"> Metabolic reprogramming and validation of hyperpolarized 13C lactate as a prostate cancer biomarker using a human prostate tissue slice culture bioreactor. </w:t>
      </w:r>
      <w:r w:rsidR="006F53C9" w:rsidRPr="00FF34E0">
        <w:rPr>
          <w:rFonts w:eastAsia="Calibri" w:cs="Times New Roman"/>
          <w:i/>
          <w:szCs w:val="24"/>
        </w:rPr>
        <w:t>The Prostate</w:t>
      </w:r>
      <w:r w:rsidR="006F53C9" w:rsidRPr="00FF34E0">
        <w:rPr>
          <w:rFonts w:eastAsia="Calibri" w:cs="Times New Roman"/>
          <w:szCs w:val="24"/>
        </w:rPr>
        <w:t xml:space="preserve"> 2013, 73 (11), 1171-1181.</w:t>
      </w:r>
    </w:p>
    <w:p w:rsidR="006F53C9" w:rsidRPr="00FF34E0" w:rsidRDefault="006F53C9" w:rsidP="004B5084">
      <w:pPr>
        <w:autoSpaceDE w:val="0"/>
        <w:autoSpaceDN w:val="0"/>
        <w:adjustRightInd w:val="0"/>
        <w:spacing w:before="120" w:after="240"/>
        <w:ind w:firstLine="0"/>
        <w:rPr>
          <w:rFonts w:eastAsia="Calibri" w:cs="Times New Roman"/>
          <w:szCs w:val="24"/>
        </w:rPr>
      </w:pPr>
      <w:r w:rsidRPr="00FF34E0">
        <w:rPr>
          <w:rFonts w:eastAsia="Calibri" w:cs="Times New Roman"/>
          <w:b/>
          <w:szCs w:val="24"/>
        </w:rPr>
        <w:t xml:space="preserve">Khatri S, Yepiskoposyan H, Gallo CA, Tandon P, Plas DR. </w:t>
      </w:r>
      <w:r w:rsidRPr="00FF34E0">
        <w:rPr>
          <w:rFonts w:eastAsia="Calibri" w:cs="Times New Roman"/>
          <w:szCs w:val="24"/>
        </w:rPr>
        <w:t xml:space="preserve">FOXO3a regulates glycolysis via transcriptional control of tumor suppressor TSC1. </w:t>
      </w:r>
      <w:r w:rsidRPr="00FF34E0">
        <w:rPr>
          <w:rFonts w:eastAsia="Calibri" w:cs="Times New Roman"/>
          <w:i/>
          <w:szCs w:val="24"/>
        </w:rPr>
        <w:t>The</w:t>
      </w:r>
      <w:r w:rsidRPr="00FF34E0">
        <w:rPr>
          <w:rFonts w:eastAsia="Calibri" w:cs="Times New Roman"/>
          <w:szCs w:val="24"/>
        </w:rPr>
        <w:t xml:space="preserve"> </w:t>
      </w:r>
      <w:r w:rsidRPr="00FF34E0">
        <w:rPr>
          <w:rFonts w:eastAsia="Calibri" w:cs="Times New Roman"/>
          <w:i/>
          <w:szCs w:val="24"/>
        </w:rPr>
        <w:t>Journal of Biological Chemistry</w:t>
      </w:r>
      <w:r w:rsidRPr="00FF34E0">
        <w:rPr>
          <w:rFonts w:eastAsia="Calibri" w:cs="Times New Roman"/>
          <w:szCs w:val="24"/>
        </w:rPr>
        <w:t xml:space="preserve"> 2010, 285, 15960–15965.</w:t>
      </w:r>
    </w:p>
    <w:p w:rsidR="006F53C9" w:rsidRPr="00FF34E0" w:rsidRDefault="006F53C9" w:rsidP="004B5084">
      <w:pPr>
        <w:keepNext/>
        <w:keepLines/>
        <w:shd w:val="clear" w:color="auto" w:fill="FFFFFF"/>
        <w:spacing w:before="120" w:after="240"/>
        <w:ind w:firstLine="0"/>
        <w:outlineLvl w:val="0"/>
        <w:rPr>
          <w:rFonts w:eastAsia="Calibri" w:cs="Times New Roman"/>
          <w:szCs w:val="24"/>
        </w:rPr>
      </w:pPr>
      <w:r w:rsidRPr="00FF34E0">
        <w:rPr>
          <w:rFonts w:eastAsia="Calibri" w:cs="Times New Roman"/>
          <w:b/>
          <w:szCs w:val="24"/>
        </w:rPr>
        <w:t>Kim JW, Dang CV.</w:t>
      </w:r>
      <w:r w:rsidRPr="00FF34E0">
        <w:rPr>
          <w:rFonts w:eastAsia="Calibri" w:cs="Times New Roman"/>
          <w:szCs w:val="24"/>
        </w:rPr>
        <w:t xml:space="preserve"> Cancer's molecular sweet tooth and the Warburg effect. </w:t>
      </w:r>
      <w:r w:rsidRPr="00FF34E0">
        <w:rPr>
          <w:rFonts w:eastAsia="Calibri" w:cs="Times New Roman"/>
          <w:i/>
          <w:szCs w:val="24"/>
        </w:rPr>
        <w:t>Cancer research</w:t>
      </w:r>
      <w:r w:rsidRPr="00FF34E0">
        <w:rPr>
          <w:rFonts w:eastAsia="Calibri" w:cs="Times New Roman"/>
          <w:szCs w:val="24"/>
        </w:rPr>
        <w:t xml:space="preserve"> 2006, 66 (18), 8927-8930. </w:t>
      </w:r>
    </w:p>
    <w:p w:rsidR="006F53C9" w:rsidRPr="00FF34E0" w:rsidRDefault="006F53C9" w:rsidP="004B5084">
      <w:pPr>
        <w:keepNext/>
        <w:keepLines/>
        <w:shd w:val="clear" w:color="auto" w:fill="FFFFFF"/>
        <w:spacing w:before="120" w:after="240"/>
        <w:ind w:firstLine="0"/>
        <w:outlineLvl w:val="0"/>
        <w:rPr>
          <w:rFonts w:eastAsia="Calibri" w:cs="Times New Roman"/>
          <w:szCs w:val="24"/>
        </w:rPr>
      </w:pPr>
      <w:r w:rsidRPr="00FF34E0">
        <w:rPr>
          <w:rFonts w:eastAsia="Calibri" w:cs="Times New Roman"/>
          <w:b/>
          <w:szCs w:val="24"/>
        </w:rPr>
        <w:t>Kim JW, Zeller KI, Wang Y, Jegga AG, Aronow BJ, O’Donnell KA, Dang CV.</w:t>
      </w:r>
      <w:r w:rsidRPr="00FF34E0">
        <w:rPr>
          <w:rFonts w:asciiTheme="majorHAnsi" w:eastAsiaTheme="majorEastAsia" w:hAnsiTheme="majorHAnsi" w:cstheme="majorBidi"/>
          <w:b/>
          <w:bCs/>
          <w:color w:val="365F91" w:themeColor="accent1" w:themeShade="BF"/>
          <w:sz w:val="28"/>
          <w:szCs w:val="28"/>
        </w:rPr>
        <w:t xml:space="preserve"> </w:t>
      </w:r>
      <w:r w:rsidRPr="00FF34E0">
        <w:rPr>
          <w:rFonts w:eastAsia="Calibri" w:cs="Times New Roman"/>
          <w:szCs w:val="24"/>
        </w:rPr>
        <w:t xml:space="preserve">Evaluation of myc E-box phylogenetic footprints in glycolytic genes by chromatin immunoprecipitation assays. </w:t>
      </w:r>
      <w:r w:rsidRPr="00FF34E0">
        <w:rPr>
          <w:rFonts w:eastAsia="Calibri" w:cs="Times New Roman"/>
          <w:i/>
          <w:szCs w:val="24"/>
        </w:rPr>
        <w:t>Molecular and cellular biology</w:t>
      </w:r>
      <w:r w:rsidRPr="00FF34E0">
        <w:rPr>
          <w:rFonts w:eastAsia="Calibri" w:cs="Times New Roman"/>
          <w:szCs w:val="24"/>
        </w:rPr>
        <w:t xml:space="preserve"> 2004, 24 (13), 5923-5936. </w:t>
      </w:r>
    </w:p>
    <w:p w:rsidR="006F53C9" w:rsidRDefault="006F53C9" w:rsidP="004B5084">
      <w:pPr>
        <w:autoSpaceDE w:val="0"/>
        <w:autoSpaceDN w:val="0"/>
        <w:adjustRightInd w:val="0"/>
        <w:spacing w:before="120" w:after="240"/>
        <w:ind w:firstLine="0"/>
        <w:rPr>
          <w:rFonts w:eastAsia="Calibri" w:cs="Times New Roman"/>
          <w:szCs w:val="24"/>
        </w:rPr>
      </w:pPr>
      <w:r w:rsidRPr="00FF34E0">
        <w:rPr>
          <w:rFonts w:eastAsiaTheme="majorEastAsia" w:cs="Times New Roman"/>
          <w:b/>
          <w:bCs/>
          <w:szCs w:val="24"/>
        </w:rPr>
        <w:t>Kletzien RF, Harris PK, Foellmi LA.</w:t>
      </w:r>
      <w:r w:rsidRPr="00FF34E0">
        <w:rPr>
          <w:rFonts w:ascii="Calibri" w:eastAsia="Calibri" w:hAnsi="Calibri" w:cs="Times New Roman"/>
          <w:sz w:val="22"/>
        </w:rPr>
        <w:t xml:space="preserve"> </w:t>
      </w:r>
      <w:r w:rsidRPr="00FF34E0">
        <w:rPr>
          <w:rFonts w:eastAsia="Calibri" w:cs="Times New Roman"/>
          <w:szCs w:val="24"/>
        </w:rPr>
        <w:t xml:space="preserve">Glucose-6-phosphate dehydrogenase: a "housekeeping" enzyme subject to tissue specific regulation by hormones, nutrients, and oxidant stress. </w:t>
      </w:r>
      <w:r w:rsidRPr="00FF34E0">
        <w:rPr>
          <w:rFonts w:eastAsia="Calibri" w:cs="Times New Roman"/>
          <w:i/>
          <w:szCs w:val="24"/>
        </w:rPr>
        <w:t>FASEB Journal</w:t>
      </w:r>
      <w:r w:rsidRPr="00FF34E0">
        <w:rPr>
          <w:rFonts w:eastAsia="Calibri" w:cs="Times New Roman"/>
          <w:szCs w:val="24"/>
        </w:rPr>
        <w:t xml:space="preserve"> 1994, 8, 174-181.</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439" w:history="1">
        <w:r w:rsidR="006F53C9" w:rsidRPr="004C6CA7">
          <w:rPr>
            <w:rFonts w:eastAsia="Calibri" w:cs="Times New Roman"/>
            <w:b/>
            <w:szCs w:val="24"/>
          </w:rPr>
          <w:t>Kolev Y</w:t>
        </w:r>
      </w:hyperlink>
      <w:r w:rsidR="006F53C9" w:rsidRPr="004C6CA7">
        <w:rPr>
          <w:rFonts w:eastAsia="Calibri" w:cs="Times New Roman"/>
          <w:b/>
          <w:szCs w:val="24"/>
        </w:rPr>
        <w:t>, </w:t>
      </w:r>
      <w:hyperlink r:id="rId440" w:history="1">
        <w:r w:rsidR="006F53C9" w:rsidRPr="004C6CA7">
          <w:rPr>
            <w:rFonts w:eastAsia="Calibri" w:cs="Times New Roman"/>
            <w:b/>
            <w:szCs w:val="24"/>
          </w:rPr>
          <w:t>Uetake H</w:t>
        </w:r>
      </w:hyperlink>
      <w:r w:rsidR="006F53C9" w:rsidRPr="004C6CA7">
        <w:rPr>
          <w:rFonts w:eastAsia="Calibri" w:cs="Times New Roman"/>
          <w:b/>
          <w:szCs w:val="24"/>
        </w:rPr>
        <w:t>, </w:t>
      </w:r>
      <w:hyperlink r:id="rId441" w:history="1">
        <w:r w:rsidR="006F53C9" w:rsidRPr="004C6CA7">
          <w:rPr>
            <w:rFonts w:eastAsia="Calibri" w:cs="Times New Roman"/>
            <w:b/>
            <w:szCs w:val="24"/>
          </w:rPr>
          <w:t>Takagi Y</w:t>
        </w:r>
      </w:hyperlink>
      <w:r w:rsidR="006F53C9" w:rsidRPr="004C6CA7">
        <w:rPr>
          <w:rFonts w:eastAsia="Calibri" w:cs="Times New Roman"/>
          <w:b/>
          <w:szCs w:val="24"/>
        </w:rPr>
        <w:t>, </w:t>
      </w:r>
      <w:hyperlink r:id="rId442" w:history="1">
        <w:r w:rsidR="006F53C9" w:rsidRPr="004C6CA7">
          <w:rPr>
            <w:rFonts w:eastAsia="Calibri" w:cs="Times New Roman"/>
            <w:b/>
            <w:szCs w:val="24"/>
          </w:rPr>
          <w:t>Sugihara K</w:t>
        </w:r>
      </w:hyperlink>
      <w:r w:rsidR="006F53C9" w:rsidRPr="004C6CA7">
        <w:rPr>
          <w:rFonts w:eastAsia="Calibri" w:cs="Times New Roman"/>
          <w:b/>
          <w:szCs w:val="24"/>
        </w:rPr>
        <w:t>.</w:t>
      </w:r>
      <w:r w:rsidR="006F53C9" w:rsidRPr="004C6CA7">
        <w:rPr>
          <w:rFonts w:eastAsia="Calibri" w:cs="Times New Roman"/>
          <w:szCs w:val="24"/>
        </w:rPr>
        <w:t xml:space="preserve"> Lactate dehydrogenase-5 (LDH-5) expression in human gastric cancer: association with hypoxia-inducible factor (HIF-1alpha) pathway, angiogenic factors production and poor prognosis. </w:t>
      </w:r>
      <w:r w:rsidR="006F53C9" w:rsidRPr="004C6CA7">
        <w:rPr>
          <w:rFonts w:eastAsia="Calibri" w:cs="Times New Roman"/>
          <w:i/>
          <w:szCs w:val="24"/>
        </w:rPr>
        <w:t>Annals of Surgical Oncology</w:t>
      </w:r>
      <w:r w:rsidR="006F53C9" w:rsidRPr="004C6CA7">
        <w:rPr>
          <w:rFonts w:eastAsia="Calibri" w:cs="Times New Roman"/>
          <w:szCs w:val="24"/>
        </w:rPr>
        <w:t xml:space="preserve"> 2008, 15 (8), 2336-2344. </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443" w:history="1">
        <w:r w:rsidR="006F53C9" w:rsidRPr="004C6CA7">
          <w:rPr>
            <w:rFonts w:eastAsia="Calibri" w:cs="Times New Roman"/>
            <w:b/>
            <w:szCs w:val="24"/>
          </w:rPr>
          <w:t>Kondoh E</w:t>
        </w:r>
      </w:hyperlink>
      <w:r w:rsidR="006F53C9" w:rsidRPr="004C6CA7">
        <w:rPr>
          <w:rFonts w:eastAsia="Calibri" w:cs="Times New Roman"/>
          <w:b/>
          <w:szCs w:val="24"/>
        </w:rPr>
        <w:t>, </w:t>
      </w:r>
      <w:hyperlink r:id="rId444" w:history="1">
        <w:r w:rsidR="006F53C9" w:rsidRPr="004C6CA7">
          <w:rPr>
            <w:rFonts w:eastAsia="Calibri" w:cs="Times New Roman"/>
            <w:b/>
            <w:szCs w:val="24"/>
          </w:rPr>
          <w:t>Mori S</w:t>
        </w:r>
      </w:hyperlink>
      <w:r w:rsidR="006F53C9" w:rsidRPr="004C6CA7">
        <w:rPr>
          <w:rFonts w:eastAsia="Calibri" w:cs="Times New Roman"/>
          <w:b/>
          <w:szCs w:val="24"/>
        </w:rPr>
        <w:t>, </w:t>
      </w:r>
      <w:hyperlink r:id="rId445" w:history="1">
        <w:r w:rsidR="006F53C9" w:rsidRPr="004C6CA7">
          <w:rPr>
            <w:rFonts w:eastAsia="Calibri" w:cs="Times New Roman"/>
            <w:b/>
            <w:szCs w:val="24"/>
          </w:rPr>
          <w:t>Yamaguchi K</w:t>
        </w:r>
      </w:hyperlink>
      <w:r w:rsidR="006F53C9" w:rsidRPr="004C6CA7">
        <w:rPr>
          <w:rFonts w:eastAsia="Calibri" w:cs="Times New Roman"/>
          <w:b/>
          <w:szCs w:val="24"/>
        </w:rPr>
        <w:t>, </w:t>
      </w:r>
      <w:hyperlink r:id="rId446" w:history="1">
        <w:r w:rsidR="006F53C9" w:rsidRPr="004C6CA7">
          <w:rPr>
            <w:rFonts w:eastAsia="Calibri" w:cs="Times New Roman"/>
            <w:b/>
            <w:szCs w:val="24"/>
          </w:rPr>
          <w:t>Baba T</w:t>
        </w:r>
      </w:hyperlink>
      <w:r w:rsidR="006F53C9" w:rsidRPr="004C6CA7">
        <w:rPr>
          <w:rFonts w:eastAsia="Calibri" w:cs="Times New Roman"/>
          <w:b/>
          <w:szCs w:val="24"/>
        </w:rPr>
        <w:t>, </w:t>
      </w:r>
      <w:hyperlink r:id="rId447" w:history="1">
        <w:r w:rsidR="006F53C9" w:rsidRPr="004C6CA7">
          <w:rPr>
            <w:rFonts w:eastAsia="Calibri" w:cs="Times New Roman"/>
            <w:b/>
            <w:szCs w:val="24"/>
          </w:rPr>
          <w:t>Matsumura N</w:t>
        </w:r>
      </w:hyperlink>
      <w:r w:rsidR="006F53C9" w:rsidRPr="004C6CA7">
        <w:rPr>
          <w:rFonts w:eastAsia="Calibri" w:cs="Times New Roman"/>
          <w:b/>
          <w:szCs w:val="24"/>
        </w:rPr>
        <w:t>, </w:t>
      </w:r>
      <w:hyperlink r:id="rId448" w:history="1">
        <w:r w:rsidR="006F53C9" w:rsidRPr="004C6CA7">
          <w:rPr>
            <w:rFonts w:eastAsia="Calibri" w:cs="Times New Roman"/>
            <w:b/>
            <w:szCs w:val="24"/>
          </w:rPr>
          <w:t>Cory Barnett J</w:t>
        </w:r>
      </w:hyperlink>
      <w:r w:rsidR="006F53C9" w:rsidRPr="004C6CA7">
        <w:rPr>
          <w:rFonts w:eastAsia="Calibri" w:cs="Times New Roman"/>
          <w:b/>
          <w:szCs w:val="24"/>
        </w:rPr>
        <w:t>, </w:t>
      </w:r>
      <w:hyperlink r:id="rId449" w:history="1">
        <w:r w:rsidR="006F53C9" w:rsidRPr="004C6CA7">
          <w:rPr>
            <w:rFonts w:eastAsia="Calibri" w:cs="Times New Roman"/>
            <w:b/>
            <w:szCs w:val="24"/>
          </w:rPr>
          <w:t>Whitaker RS</w:t>
        </w:r>
      </w:hyperlink>
      <w:r w:rsidR="006F53C9" w:rsidRPr="004C6CA7">
        <w:rPr>
          <w:rFonts w:eastAsia="Calibri" w:cs="Times New Roman"/>
          <w:b/>
          <w:szCs w:val="24"/>
        </w:rPr>
        <w:t>, </w:t>
      </w:r>
      <w:hyperlink r:id="rId450" w:history="1">
        <w:r w:rsidR="006F53C9" w:rsidRPr="004C6CA7">
          <w:rPr>
            <w:rFonts w:eastAsia="Calibri" w:cs="Times New Roman"/>
            <w:b/>
            <w:szCs w:val="24"/>
          </w:rPr>
          <w:t>Konishi I</w:t>
        </w:r>
      </w:hyperlink>
      <w:r w:rsidR="006F53C9" w:rsidRPr="004C6CA7">
        <w:rPr>
          <w:rFonts w:eastAsia="Calibri" w:cs="Times New Roman"/>
          <w:b/>
          <w:szCs w:val="24"/>
        </w:rPr>
        <w:t>, </w:t>
      </w:r>
      <w:hyperlink r:id="rId451" w:history="1">
        <w:r w:rsidR="006F53C9" w:rsidRPr="004C6CA7">
          <w:rPr>
            <w:rFonts w:eastAsia="Calibri" w:cs="Times New Roman"/>
            <w:b/>
            <w:szCs w:val="24"/>
          </w:rPr>
          <w:t>Fujii S</w:t>
        </w:r>
      </w:hyperlink>
      <w:r w:rsidR="006F53C9" w:rsidRPr="004C6CA7">
        <w:rPr>
          <w:rFonts w:eastAsia="Calibri" w:cs="Times New Roman"/>
          <w:b/>
          <w:szCs w:val="24"/>
        </w:rPr>
        <w:t>, </w:t>
      </w:r>
      <w:hyperlink r:id="rId452" w:history="1">
        <w:r w:rsidR="006F53C9" w:rsidRPr="004C6CA7">
          <w:rPr>
            <w:rFonts w:eastAsia="Calibri" w:cs="Times New Roman"/>
            <w:b/>
            <w:szCs w:val="24"/>
          </w:rPr>
          <w:t>Berchuck A</w:t>
        </w:r>
      </w:hyperlink>
      <w:r w:rsidR="006F53C9" w:rsidRPr="004C6CA7">
        <w:rPr>
          <w:rFonts w:eastAsia="Calibri" w:cs="Times New Roman"/>
          <w:b/>
          <w:szCs w:val="24"/>
        </w:rPr>
        <w:t>, </w:t>
      </w:r>
      <w:hyperlink r:id="rId453" w:history="1">
        <w:r w:rsidR="006F53C9" w:rsidRPr="004C6CA7">
          <w:rPr>
            <w:rFonts w:eastAsia="Calibri" w:cs="Times New Roman"/>
            <w:b/>
            <w:szCs w:val="24"/>
          </w:rPr>
          <w:t>Murphy SK</w:t>
        </w:r>
      </w:hyperlink>
      <w:r w:rsidR="006F53C9" w:rsidRPr="004C6CA7">
        <w:rPr>
          <w:rFonts w:eastAsia="Calibri" w:cs="Times New Roman"/>
          <w:b/>
          <w:szCs w:val="24"/>
        </w:rPr>
        <w:t>.</w:t>
      </w:r>
      <w:r w:rsidR="006F53C9" w:rsidRPr="004C6CA7">
        <w:rPr>
          <w:rFonts w:eastAsia="Calibri" w:cs="Times New Roman"/>
          <w:szCs w:val="24"/>
        </w:rPr>
        <w:t xml:space="preserve"> Targeting slow-proliferating ovarian cancer cells. </w:t>
      </w:r>
      <w:r w:rsidR="006F53C9" w:rsidRPr="004C6CA7">
        <w:rPr>
          <w:rFonts w:eastAsia="Calibri" w:cs="Times New Roman"/>
          <w:i/>
          <w:szCs w:val="24"/>
        </w:rPr>
        <w:t>International Journal of Cancer</w:t>
      </w:r>
      <w:r w:rsidR="006F53C9" w:rsidRPr="004C6CA7">
        <w:rPr>
          <w:rFonts w:eastAsia="Calibri" w:cs="Times New Roman"/>
          <w:szCs w:val="24"/>
        </w:rPr>
        <w:t xml:space="preserve"> 2010, 126 (10), 2448-2256.</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Koshiji M, Kageyama Y, Pete EA, Horikawa I, Barrett JC, Huang LE.</w:t>
      </w:r>
      <w:r w:rsidRPr="004C6CA7">
        <w:rPr>
          <w:rFonts w:eastAsia="Calibri" w:cs="Times New Roman"/>
          <w:szCs w:val="24"/>
        </w:rPr>
        <w:t xml:space="preserve"> HIF-1 alpha induces cell cycle arrest by functionally counteracting Myc. </w:t>
      </w:r>
      <w:r w:rsidRPr="004C6CA7">
        <w:rPr>
          <w:rFonts w:eastAsia="Calibri" w:cs="Times New Roman"/>
          <w:i/>
          <w:szCs w:val="24"/>
        </w:rPr>
        <w:t>The EMBO Journal</w:t>
      </w:r>
      <w:r w:rsidRPr="004C6CA7">
        <w:rPr>
          <w:rFonts w:eastAsia="Calibri" w:cs="Times New Roman"/>
          <w:szCs w:val="24"/>
        </w:rPr>
        <w:t xml:space="preserve"> 2004, 23 (9), 1949–1956.</w:t>
      </w:r>
    </w:p>
    <w:p w:rsidR="006F53C9" w:rsidRPr="004C6CA7" w:rsidRDefault="006F53C9" w:rsidP="004B5084">
      <w:pPr>
        <w:keepNext/>
        <w:keepLines/>
        <w:shd w:val="clear" w:color="auto" w:fill="FFFFFF"/>
        <w:spacing w:before="120" w:after="240"/>
        <w:ind w:firstLine="0"/>
        <w:outlineLvl w:val="0"/>
        <w:rPr>
          <w:rFonts w:eastAsia="Calibri" w:cs="Times New Roman"/>
          <w:szCs w:val="24"/>
        </w:rPr>
      </w:pPr>
      <w:r w:rsidRPr="004C6CA7">
        <w:rPr>
          <w:rFonts w:eastAsia="Calibri" w:cs="Times New Roman"/>
          <w:b/>
          <w:szCs w:val="24"/>
        </w:rPr>
        <w:t>Koukourakis MI, Giatromanolaki A, Harris AL, Sivridis E.</w:t>
      </w:r>
      <w:r w:rsidRPr="004C6CA7">
        <w:rPr>
          <w:rFonts w:eastAsiaTheme="majorEastAsia" w:cstheme="majorBidi"/>
          <w:b/>
          <w:bCs/>
          <w:color w:val="365F91" w:themeColor="accent1" w:themeShade="BF"/>
          <w:szCs w:val="24"/>
        </w:rPr>
        <w:t xml:space="preserve"> </w:t>
      </w:r>
      <w:r w:rsidRPr="004C6CA7">
        <w:rPr>
          <w:rFonts w:eastAsia="Calibri" w:cs="Times New Roman"/>
          <w:szCs w:val="24"/>
        </w:rPr>
        <w:t xml:space="preserve">Comparison of metabolic pathways between cancer cells and stromal cells in colorectal carcinomas: a metabolic survival role for tumor-associated stroma. </w:t>
      </w:r>
      <w:r w:rsidRPr="004C6CA7">
        <w:rPr>
          <w:rFonts w:eastAsia="Calibri" w:cs="Times New Roman"/>
          <w:i/>
          <w:szCs w:val="24"/>
        </w:rPr>
        <w:t>Cancer Research</w:t>
      </w:r>
      <w:r w:rsidRPr="004C6CA7">
        <w:rPr>
          <w:rFonts w:eastAsia="Calibri" w:cs="Times New Roman"/>
          <w:szCs w:val="24"/>
        </w:rPr>
        <w:t xml:space="preserve"> 2006, 66 (2), 632-637.</w:t>
      </w:r>
    </w:p>
    <w:p w:rsidR="006F53C9" w:rsidRDefault="006F53C9" w:rsidP="004B5084">
      <w:pPr>
        <w:autoSpaceDE w:val="0"/>
        <w:autoSpaceDN w:val="0"/>
        <w:adjustRightInd w:val="0"/>
        <w:spacing w:before="120" w:after="240"/>
        <w:ind w:firstLine="0"/>
        <w:rPr>
          <w:rFonts w:eastAsia="Calibri" w:cs="Times New Roman"/>
          <w:szCs w:val="24"/>
        </w:rPr>
      </w:pPr>
      <w:r w:rsidRPr="004C6CA7">
        <w:rPr>
          <w:rFonts w:eastAsia="Calibri" w:cs="Times New Roman"/>
          <w:b/>
          <w:szCs w:val="24"/>
        </w:rPr>
        <w:t>Koukourakis MI, Giatromanolaki A, Sivridis E, Bougi</w:t>
      </w:r>
      <w:r>
        <w:rPr>
          <w:rFonts w:eastAsia="Calibri" w:cs="Times New Roman"/>
          <w:b/>
          <w:szCs w:val="24"/>
        </w:rPr>
        <w:t xml:space="preserve">oukas G, Didilis V, Gatter KC, </w:t>
      </w:r>
      <w:hyperlink r:id="rId454" w:history="1">
        <w:r w:rsidRPr="004C6CA7">
          <w:rPr>
            <w:rFonts w:eastAsia="Calibri" w:cs="Times New Roman"/>
            <w:b/>
            <w:szCs w:val="24"/>
          </w:rPr>
          <w:t>Harris AL</w:t>
        </w:r>
      </w:hyperlink>
      <w:r w:rsidRPr="004C6CA7">
        <w:rPr>
          <w:rFonts w:eastAsia="Calibri" w:cs="Times New Roman"/>
          <w:b/>
          <w:szCs w:val="24"/>
        </w:rPr>
        <w:t>.</w:t>
      </w:r>
      <w:r w:rsidRPr="004C6CA7">
        <w:rPr>
          <w:rFonts w:eastAsia="Calibri" w:cs="Times New Roman"/>
          <w:szCs w:val="24"/>
        </w:rPr>
        <w:t xml:space="preserve"> Lactate dehydrogenase-5 (LDH-5) overexpression in non-small-cell lung cancer tissues is linked to tumour hypoxia, angiogenic factor production and poor prognosis. </w:t>
      </w:r>
      <w:r w:rsidRPr="004C6CA7">
        <w:rPr>
          <w:rFonts w:eastAsia="Calibri" w:cs="Times New Roman"/>
          <w:i/>
          <w:szCs w:val="24"/>
        </w:rPr>
        <w:t>British Journal of Cancer</w:t>
      </w:r>
      <w:r w:rsidRPr="004C6CA7">
        <w:rPr>
          <w:rFonts w:eastAsia="Calibri" w:cs="Times New Roman"/>
          <w:szCs w:val="24"/>
        </w:rPr>
        <w:t xml:space="preserve"> 2003, 89 (5), 877–885.</w:t>
      </w:r>
    </w:p>
    <w:p w:rsidR="006F53C9" w:rsidRPr="004C6CA7" w:rsidRDefault="006F53C9" w:rsidP="004B5084">
      <w:pPr>
        <w:keepNext/>
        <w:keepLines/>
        <w:shd w:val="clear" w:color="auto" w:fill="FFFFFF"/>
        <w:spacing w:before="120" w:after="240"/>
        <w:ind w:firstLine="0"/>
        <w:outlineLvl w:val="0"/>
        <w:rPr>
          <w:rFonts w:eastAsia="Calibri" w:cs="Times New Roman"/>
          <w:szCs w:val="24"/>
        </w:rPr>
      </w:pPr>
      <w:r w:rsidRPr="004C6CA7">
        <w:rPr>
          <w:rFonts w:eastAsiaTheme="majorEastAsia" w:cs="Times New Roman"/>
          <w:b/>
          <w:bCs/>
          <w:szCs w:val="24"/>
        </w:rPr>
        <w:t>Kowalik MA, Columbano A, Perra A.</w:t>
      </w:r>
      <w:r w:rsidRPr="004C6CA7">
        <w:rPr>
          <w:rFonts w:asciiTheme="majorHAnsi" w:eastAsiaTheme="majorEastAsia" w:hAnsiTheme="majorHAnsi" w:cstheme="majorBidi"/>
          <w:b/>
          <w:bCs/>
          <w:color w:val="365F91" w:themeColor="accent1" w:themeShade="BF"/>
          <w:sz w:val="28"/>
          <w:szCs w:val="28"/>
        </w:rPr>
        <w:t xml:space="preserve"> </w:t>
      </w:r>
      <w:r w:rsidRPr="004C6CA7">
        <w:rPr>
          <w:rFonts w:eastAsia="Calibri" w:cs="Times New Roman"/>
          <w:szCs w:val="24"/>
        </w:rPr>
        <w:t xml:space="preserve">Emerging Role of the Pentose Phosphate Pathway in Hepatocellular Carcinoma. </w:t>
      </w:r>
      <w:r w:rsidRPr="004C6CA7">
        <w:rPr>
          <w:rFonts w:eastAsia="Calibri" w:cs="Times New Roman"/>
          <w:i/>
          <w:szCs w:val="24"/>
        </w:rPr>
        <w:t>Frontiers in Oncology</w:t>
      </w:r>
      <w:r w:rsidRPr="004C6CA7">
        <w:rPr>
          <w:rFonts w:eastAsia="Calibri" w:cs="Times New Roman"/>
          <w:szCs w:val="24"/>
        </w:rPr>
        <w:t xml:space="preserve"> 2017, 11 (7), 87.</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455" w:history="1">
        <w:r w:rsidR="006F53C9" w:rsidRPr="004C6CA7">
          <w:rPr>
            <w:rFonts w:eastAsia="Calibri" w:cs="Times New Roman"/>
            <w:b/>
            <w:szCs w:val="24"/>
          </w:rPr>
          <w:t>Kroemer G</w:t>
        </w:r>
      </w:hyperlink>
      <w:r w:rsidR="006F53C9" w:rsidRPr="004C6CA7">
        <w:rPr>
          <w:rFonts w:eastAsia="Calibri" w:cs="Times New Roman"/>
          <w:b/>
          <w:szCs w:val="24"/>
        </w:rPr>
        <w:t>, </w:t>
      </w:r>
      <w:hyperlink r:id="rId456" w:history="1">
        <w:r w:rsidR="006F53C9" w:rsidRPr="004C6CA7">
          <w:rPr>
            <w:rFonts w:eastAsia="Calibri" w:cs="Times New Roman"/>
            <w:b/>
            <w:szCs w:val="24"/>
          </w:rPr>
          <w:t>Pouyssegur J</w:t>
        </w:r>
      </w:hyperlink>
      <w:r w:rsidR="006F53C9" w:rsidRPr="004C6CA7">
        <w:rPr>
          <w:rFonts w:eastAsia="Calibri" w:cs="Times New Roman"/>
          <w:b/>
          <w:szCs w:val="24"/>
        </w:rPr>
        <w:t xml:space="preserve">. </w:t>
      </w:r>
      <w:r w:rsidR="006F53C9" w:rsidRPr="004C6CA7">
        <w:rPr>
          <w:rFonts w:eastAsia="Calibri" w:cs="Times New Roman"/>
          <w:szCs w:val="24"/>
        </w:rPr>
        <w:t xml:space="preserve">Tumor cell metabolism: cancer's Achilles' heel. </w:t>
      </w:r>
      <w:r w:rsidR="006F53C9" w:rsidRPr="004C6CA7">
        <w:rPr>
          <w:rFonts w:eastAsia="Calibri" w:cs="Times New Roman"/>
          <w:i/>
          <w:szCs w:val="24"/>
        </w:rPr>
        <w:t>Cancer Cell</w:t>
      </w:r>
      <w:r w:rsidR="006F53C9" w:rsidRPr="004C6CA7">
        <w:rPr>
          <w:rFonts w:eastAsia="Calibri" w:cs="Times New Roman"/>
          <w:szCs w:val="24"/>
        </w:rPr>
        <w:t xml:space="preserve"> 2008, 13 (6), 472-482. </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Le QT, Chen E, Salim A, Cao H, Kong CS, Whyte R, Donington J, Cannon W, Wakelee H, Tibshirani R, Mitchell JD, Richardson D, O'Byrne KJ, Koong AC,  Giaccia AJ.</w:t>
      </w:r>
      <w:r w:rsidRPr="004C6CA7">
        <w:rPr>
          <w:rFonts w:eastAsia="Calibri" w:cs="Times New Roman"/>
          <w:szCs w:val="24"/>
        </w:rPr>
        <w:t xml:space="preserve"> An evaluation of tumor oxygenation and gene expression in patients with early stage non-small cell lung cancers. </w:t>
      </w:r>
      <w:r w:rsidRPr="004C6CA7">
        <w:rPr>
          <w:rFonts w:eastAsia="Calibri" w:cs="Times New Roman"/>
          <w:i/>
          <w:szCs w:val="24"/>
        </w:rPr>
        <w:t>Clinical cancer research: an official journal of the American Association for Cancer Research</w:t>
      </w:r>
      <w:r w:rsidRPr="004C6CA7">
        <w:rPr>
          <w:rFonts w:eastAsia="Calibri" w:cs="Times New Roman"/>
          <w:szCs w:val="24"/>
        </w:rPr>
        <w:t xml:space="preserve"> 2006, 12,1507-1514. </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Leach RM, Treacher DF.</w:t>
      </w:r>
      <w:r w:rsidRPr="004C6CA7">
        <w:rPr>
          <w:rFonts w:eastAsia="Calibri" w:cs="Times New Roman"/>
          <w:szCs w:val="24"/>
        </w:rPr>
        <w:t xml:space="preserve"> Oxygen transport-2. Tissue hypoxia. </w:t>
      </w:r>
      <w:r w:rsidRPr="004C6CA7">
        <w:rPr>
          <w:rFonts w:eastAsia="Calibri" w:cs="Times New Roman"/>
          <w:i/>
          <w:szCs w:val="24"/>
        </w:rPr>
        <w:t>Bmj</w:t>
      </w:r>
      <w:r w:rsidRPr="004C6CA7">
        <w:rPr>
          <w:rFonts w:eastAsia="Calibri" w:cs="Times New Roman"/>
          <w:szCs w:val="24"/>
        </w:rPr>
        <w:t xml:space="preserve"> 1998, 317,1370-1373.</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lastRenderedPageBreak/>
        <w:t>Lee AV, Oesterreich S, Davidson NE.</w:t>
      </w:r>
      <w:r w:rsidRPr="004C6CA7">
        <w:rPr>
          <w:rFonts w:eastAsia="Calibri" w:cs="Times New Roman"/>
          <w:szCs w:val="24"/>
        </w:rPr>
        <w:t xml:space="preserve"> MCF-7 Cells—Changing the Course of Breast Cancer Research and Care for 45 Years. </w:t>
      </w:r>
      <w:r w:rsidRPr="004C6CA7">
        <w:rPr>
          <w:rFonts w:eastAsia="Calibri" w:cs="Times New Roman"/>
          <w:i/>
          <w:szCs w:val="24"/>
        </w:rPr>
        <w:t>Journal of the National Cancer Institute</w:t>
      </w:r>
      <w:r w:rsidRPr="004C6CA7">
        <w:rPr>
          <w:rFonts w:eastAsia="Calibri" w:cs="Times New Roman"/>
          <w:szCs w:val="24"/>
        </w:rPr>
        <w:t xml:space="preserve"> 2015, 107 (7).</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457" w:history="1">
        <w:r w:rsidR="006F53C9" w:rsidRPr="004C6CA7">
          <w:rPr>
            <w:rFonts w:eastAsia="Calibri" w:cs="Times New Roman"/>
            <w:b/>
            <w:szCs w:val="24"/>
          </w:rPr>
          <w:t>Lee DC</w:t>
        </w:r>
      </w:hyperlink>
      <w:r w:rsidR="006F53C9" w:rsidRPr="004C6CA7">
        <w:rPr>
          <w:rFonts w:eastAsia="Calibri" w:cs="Times New Roman"/>
          <w:b/>
          <w:szCs w:val="24"/>
        </w:rPr>
        <w:t>, </w:t>
      </w:r>
      <w:hyperlink r:id="rId458" w:history="1">
        <w:r w:rsidR="006F53C9" w:rsidRPr="004C6CA7">
          <w:rPr>
            <w:rFonts w:eastAsia="Calibri" w:cs="Times New Roman"/>
            <w:b/>
            <w:szCs w:val="24"/>
          </w:rPr>
          <w:t>Sohn HA</w:t>
        </w:r>
      </w:hyperlink>
      <w:r w:rsidR="006F53C9" w:rsidRPr="004C6CA7">
        <w:rPr>
          <w:rFonts w:eastAsia="Calibri" w:cs="Times New Roman"/>
          <w:b/>
          <w:szCs w:val="24"/>
        </w:rPr>
        <w:t>, </w:t>
      </w:r>
      <w:hyperlink r:id="rId459" w:history="1">
        <w:r w:rsidR="006F53C9" w:rsidRPr="004C6CA7">
          <w:rPr>
            <w:rFonts w:eastAsia="Calibri" w:cs="Times New Roman"/>
            <w:b/>
            <w:szCs w:val="24"/>
          </w:rPr>
          <w:t>Park ZY</w:t>
        </w:r>
      </w:hyperlink>
      <w:r w:rsidR="006F53C9" w:rsidRPr="004C6CA7">
        <w:rPr>
          <w:rFonts w:eastAsia="Calibri" w:cs="Times New Roman"/>
          <w:b/>
          <w:szCs w:val="24"/>
        </w:rPr>
        <w:t>, </w:t>
      </w:r>
      <w:hyperlink r:id="rId460" w:history="1">
        <w:r w:rsidR="006F53C9" w:rsidRPr="004C6CA7">
          <w:rPr>
            <w:rFonts w:eastAsia="Calibri" w:cs="Times New Roman"/>
            <w:b/>
            <w:szCs w:val="24"/>
          </w:rPr>
          <w:t>Oh S</w:t>
        </w:r>
      </w:hyperlink>
      <w:r w:rsidR="006F53C9" w:rsidRPr="004C6CA7">
        <w:rPr>
          <w:rFonts w:eastAsia="Calibri" w:cs="Times New Roman"/>
          <w:b/>
          <w:szCs w:val="24"/>
        </w:rPr>
        <w:t>, </w:t>
      </w:r>
      <w:hyperlink r:id="rId461" w:history="1">
        <w:r w:rsidR="006F53C9" w:rsidRPr="004C6CA7">
          <w:rPr>
            <w:rFonts w:eastAsia="Calibri" w:cs="Times New Roman"/>
            <w:b/>
            <w:szCs w:val="24"/>
          </w:rPr>
          <w:t>Kang YK</w:t>
        </w:r>
      </w:hyperlink>
      <w:r w:rsidR="006F53C9" w:rsidRPr="004C6CA7">
        <w:rPr>
          <w:rFonts w:eastAsia="Calibri" w:cs="Times New Roman"/>
          <w:b/>
          <w:szCs w:val="24"/>
        </w:rPr>
        <w:t>, </w:t>
      </w:r>
      <w:hyperlink r:id="rId462" w:history="1">
        <w:r w:rsidR="006F53C9" w:rsidRPr="004C6CA7">
          <w:rPr>
            <w:rFonts w:eastAsia="Calibri" w:cs="Times New Roman"/>
            <w:b/>
            <w:szCs w:val="24"/>
          </w:rPr>
          <w:t>Lee KM</w:t>
        </w:r>
      </w:hyperlink>
      <w:r w:rsidR="006F53C9" w:rsidRPr="004C6CA7">
        <w:rPr>
          <w:rFonts w:eastAsia="Calibri" w:cs="Times New Roman"/>
          <w:b/>
          <w:szCs w:val="24"/>
        </w:rPr>
        <w:t>, </w:t>
      </w:r>
      <w:hyperlink r:id="rId463" w:history="1">
        <w:r w:rsidR="006F53C9" w:rsidRPr="004C6CA7">
          <w:rPr>
            <w:rFonts w:eastAsia="Calibri" w:cs="Times New Roman"/>
            <w:b/>
            <w:szCs w:val="24"/>
          </w:rPr>
          <w:t>Kang M</w:t>
        </w:r>
      </w:hyperlink>
      <w:r w:rsidR="006F53C9" w:rsidRPr="004C6CA7">
        <w:rPr>
          <w:rFonts w:eastAsia="Calibri" w:cs="Times New Roman"/>
          <w:b/>
          <w:szCs w:val="24"/>
        </w:rPr>
        <w:t>, </w:t>
      </w:r>
      <w:hyperlink r:id="rId464" w:history="1">
        <w:r w:rsidR="006F53C9" w:rsidRPr="004C6CA7">
          <w:rPr>
            <w:rFonts w:eastAsia="Calibri" w:cs="Times New Roman"/>
            <w:b/>
            <w:szCs w:val="24"/>
          </w:rPr>
          <w:t>Jang YJ</w:t>
        </w:r>
      </w:hyperlink>
      <w:r w:rsidR="006F53C9" w:rsidRPr="004C6CA7">
        <w:rPr>
          <w:rFonts w:eastAsia="Calibri" w:cs="Times New Roman"/>
          <w:b/>
          <w:szCs w:val="24"/>
        </w:rPr>
        <w:t>, </w:t>
      </w:r>
      <w:hyperlink r:id="rId465" w:history="1">
        <w:r w:rsidR="006F53C9" w:rsidRPr="004C6CA7">
          <w:rPr>
            <w:rFonts w:eastAsia="Calibri" w:cs="Times New Roman"/>
            <w:b/>
            <w:szCs w:val="24"/>
          </w:rPr>
          <w:t>Yang SJ</w:t>
        </w:r>
      </w:hyperlink>
      <w:r w:rsidR="006F53C9" w:rsidRPr="004C6CA7">
        <w:rPr>
          <w:rFonts w:eastAsia="Calibri" w:cs="Times New Roman"/>
          <w:b/>
          <w:szCs w:val="24"/>
        </w:rPr>
        <w:t>, </w:t>
      </w:r>
      <w:hyperlink r:id="rId466" w:history="1">
        <w:r w:rsidR="006F53C9" w:rsidRPr="004C6CA7">
          <w:rPr>
            <w:rFonts w:eastAsia="Calibri" w:cs="Times New Roman"/>
            <w:b/>
            <w:szCs w:val="24"/>
          </w:rPr>
          <w:t>Hong YK</w:t>
        </w:r>
      </w:hyperlink>
      <w:r w:rsidR="006F53C9" w:rsidRPr="004C6CA7">
        <w:rPr>
          <w:rFonts w:eastAsia="Calibri" w:cs="Times New Roman"/>
          <w:b/>
          <w:szCs w:val="24"/>
        </w:rPr>
        <w:t>, </w:t>
      </w:r>
      <w:hyperlink r:id="rId467" w:history="1">
        <w:r w:rsidR="006F53C9" w:rsidRPr="004C6CA7">
          <w:rPr>
            <w:rFonts w:eastAsia="Calibri" w:cs="Times New Roman"/>
            <w:b/>
            <w:szCs w:val="24"/>
          </w:rPr>
          <w:t>Noh H</w:t>
        </w:r>
      </w:hyperlink>
      <w:r w:rsidR="006F53C9" w:rsidRPr="004C6CA7">
        <w:rPr>
          <w:rFonts w:eastAsia="Calibri" w:cs="Times New Roman"/>
          <w:b/>
          <w:szCs w:val="24"/>
        </w:rPr>
        <w:t>, </w:t>
      </w:r>
      <w:hyperlink r:id="rId468" w:history="1">
        <w:r w:rsidR="006F53C9" w:rsidRPr="004C6CA7">
          <w:rPr>
            <w:rFonts w:eastAsia="Calibri" w:cs="Times New Roman"/>
            <w:b/>
            <w:szCs w:val="24"/>
          </w:rPr>
          <w:t>Kim JA</w:t>
        </w:r>
      </w:hyperlink>
      <w:r w:rsidR="006F53C9" w:rsidRPr="004C6CA7">
        <w:rPr>
          <w:rFonts w:eastAsia="Calibri" w:cs="Times New Roman"/>
          <w:b/>
          <w:szCs w:val="24"/>
        </w:rPr>
        <w:t>, </w:t>
      </w:r>
      <w:hyperlink r:id="rId469" w:history="1">
        <w:r w:rsidR="006F53C9" w:rsidRPr="004C6CA7">
          <w:rPr>
            <w:rFonts w:eastAsia="Calibri" w:cs="Times New Roman"/>
            <w:b/>
            <w:szCs w:val="24"/>
          </w:rPr>
          <w:t>Kim DJ</w:t>
        </w:r>
      </w:hyperlink>
      <w:r w:rsidR="006F53C9" w:rsidRPr="004C6CA7">
        <w:rPr>
          <w:rFonts w:eastAsia="Calibri" w:cs="Times New Roman"/>
          <w:b/>
          <w:szCs w:val="24"/>
        </w:rPr>
        <w:t>, </w:t>
      </w:r>
      <w:hyperlink r:id="rId470" w:history="1">
        <w:r w:rsidR="006F53C9" w:rsidRPr="004C6CA7">
          <w:rPr>
            <w:rFonts w:eastAsia="Calibri" w:cs="Times New Roman"/>
            <w:b/>
            <w:szCs w:val="24"/>
          </w:rPr>
          <w:t>Bae KH</w:t>
        </w:r>
      </w:hyperlink>
      <w:r w:rsidR="006F53C9" w:rsidRPr="004C6CA7">
        <w:rPr>
          <w:rFonts w:eastAsia="Calibri" w:cs="Times New Roman"/>
          <w:b/>
          <w:szCs w:val="24"/>
        </w:rPr>
        <w:t>, </w:t>
      </w:r>
      <w:hyperlink r:id="rId471" w:history="1">
        <w:r w:rsidR="006F53C9" w:rsidRPr="004C6CA7">
          <w:rPr>
            <w:rFonts w:eastAsia="Calibri" w:cs="Times New Roman"/>
            <w:b/>
            <w:szCs w:val="24"/>
          </w:rPr>
          <w:t>Kim DM</w:t>
        </w:r>
      </w:hyperlink>
      <w:r w:rsidR="006F53C9" w:rsidRPr="004C6CA7">
        <w:rPr>
          <w:rFonts w:eastAsia="Calibri" w:cs="Times New Roman"/>
          <w:b/>
          <w:szCs w:val="24"/>
        </w:rPr>
        <w:t>, </w:t>
      </w:r>
      <w:hyperlink r:id="rId472" w:history="1">
        <w:r w:rsidR="006F53C9" w:rsidRPr="004C6CA7">
          <w:rPr>
            <w:rFonts w:eastAsia="Calibri" w:cs="Times New Roman"/>
            <w:b/>
            <w:szCs w:val="24"/>
          </w:rPr>
          <w:t>Chung SJ</w:t>
        </w:r>
      </w:hyperlink>
      <w:r w:rsidR="006F53C9" w:rsidRPr="004C6CA7">
        <w:rPr>
          <w:rFonts w:eastAsia="Calibri" w:cs="Times New Roman"/>
          <w:b/>
          <w:szCs w:val="24"/>
        </w:rPr>
        <w:t>, </w:t>
      </w:r>
      <w:hyperlink r:id="rId473" w:history="1">
        <w:r w:rsidR="006F53C9" w:rsidRPr="004C6CA7">
          <w:rPr>
            <w:rFonts w:eastAsia="Calibri" w:cs="Times New Roman"/>
            <w:b/>
            <w:szCs w:val="24"/>
          </w:rPr>
          <w:t>Yoo HS</w:t>
        </w:r>
      </w:hyperlink>
      <w:r w:rsidR="006F53C9" w:rsidRPr="004C6CA7">
        <w:rPr>
          <w:rFonts w:eastAsia="Calibri" w:cs="Times New Roman"/>
          <w:b/>
          <w:szCs w:val="24"/>
        </w:rPr>
        <w:t>, </w:t>
      </w:r>
      <w:hyperlink r:id="rId474" w:history="1">
        <w:r w:rsidR="006F53C9" w:rsidRPr="004C6CA7">
          <w:rPr>
            <w:rFonts w:eastAsia="Calibri" w:cs="Times New Roman"/>
            <w:b/>
            <w:szCs w:val="24"/>
          </w:rPr>
          <w:t>Yu DY</w:t>
        </w:r>
      </w:hyperlink>
      <w:r w:rsidR="006F53C9" w:rsidRPr="004C6CA7">
        <w:rPr>
          <w:rFonts w:eastAsia="Calibri" w:cs="Times New Roman"/>
          <w:b/>
          <w:szCs w:val="24"/>
        </w:rPr>
        <w:t>, </w:t>
      </w:r>
      <w:hyperlink r:id="rId475" w:history="1">
        <w:r w:rsidR="006F53C9" w:rsidRPr="004C6CA7">
          <w:rPr>
            <w:rFonts w:eastAsia="Calibri" w:cs="Times New Roman"/>
            <w:b/>
            <w:szCs w:val="24"/>
          </w:rPr>
          <w:t>Park KC</w:t>
        </w:r>
      </w:hyperlink>
      <w:r w:rsidR="006F53C9" w:rsidRPr="004C6CA7">
        <w:rPr>
          <w:rFonts w:eastAsia="Calibri" w:cs="Times New Roman"/>
          <w:b/>
          <w:szCs w:val="24"/>
        </w:rPr>
        <w:t>, </w:t>
      </w:r>
      <w:hyperlink r:id="rId476" w:history="1">
        <w:r w:rsidR="006F53C9" w:rsidRPr="004C6CA7">
          <w:rPr>
            <w:rFonts w:eastAsia="Calibri" w:cs="Times New Roman"/>
            <w:b/>
            <w:szCs w:val="24"/>
          </w:rPr>
          <w:t>Yeom YI</w:t>
        </w:r>
      </w:hyperlink>
      <w:r w:rsidR="006F53C9" w:rsidRPr="004C6CA7">
        <w:rPr>
          <w:rFonts w:eastAsia="Calibri" w:cs="Times New Roman"/>
          <w:b/>
          <w:szCs w:val="24"/>
        </w:rPr>
        <w:t>.</w:t>
      </w:r>
      <w:r w:rsidR="006F53C9" w:rsidRPr="004C6CA7">
        <w:rPr>
          <w:rFonts w:eastAsiaTheme="majorEastAsia" w:cstheme="majorBidi"/>
          <w:bCs/>
          <w:color w:val="365F91" w:themeColor="accent1" w:themeShade="BF"/>
          <w:szCs w:val="24"/>
        </w:rPr>
        <w:t xml:space="preserve"> </w:t>
      </w:r>
      <w:r w:rsidR="006F53C9" w:rsidRPr="004C6CA7">
        <w:rPr>
          <w:rFonts w:eastAsia="Calibri" w:cs="Times New Roman"/>
          <w:szCs w:val="24"/>
        </w:rPr>
        <w:t xml:space="preserve">A lactate-induced response to hypoxia. </w:t>
      </w:r>
      <w:r w:rsidR="006F53C9" w:rsidRPr="004C6CA7">
        <w:rPr>
          <w:rFonts w:eastAsia="Calibri" w:cs="Times New Roman"/>
          <w:i/>
          <w:szCs w:val="24"/>
        </w:rPr>
        <w:t xml:space="preserve">Cell </w:t>
      </w:r>
      <w:r w:rsidR="006F53C9" w:rsidRPr="004C6CA7">
        <w:rPr>
          <w:rFonts w:eastAsia="Calibri" w:cs="Times New Roman"/>
          <w:szCs w:val="24"/>
        </w:rPr>
        <w:t>2015, 161(3), 595-609.</w:t>
      </w:r>
    </w:p>
    <w:p w:rsidR="006F53C9" w:rsidRPr="005A477F" w:rsidRDefault="006F53C9" w:rsidP="004B5084">
      <w:pPr>
        <w:autoSpaceDE w:val="0"/>
        <w:autoSpaceDN w:val="0"/>
        <w:adjustRightInd w:val="0"/>
        <w:spacing w:before="120" w:after="240"/>
        <w:ind w:firstLine="0"/>
        <w:rPr>
          <w:rFonts w:eastAsia="Calibri" w:cs="Times New Roman"/>
          <w:szCs w:val="24"/>
        </w:rPr>
      </w:pPr>
      <w:r w:rsidRPr="005A477F">
        <w:rPr>
          <w:rFonts w:eastAsia="Calibri" w:cs="Times New Roman"/>
          <w:b/>
          <w:szCs w:val="24"/>
        </w:rPr>
        <w:t>Lenzen S</w:t>
      </w:r>
      <w:r w:rsidRPr="005A477F">
        <w:rPr>
          <w:rFonts w:eastAsia="Calibri" w:cs="Times New Roman"/>
          <w:szCs w:val="24"/>
        </w:rPr>
        <w:t xml:space="preserve">. A fresh view of glycolysis and glucokinase regulation: history and current status. </w:t>
      </w:r>
      <w:r w:rsidRPr="005A477F">
        <w:rPr>
          <w:rFonts w:eastAsia="Calibri" w:cs="Times New Roman"/>
          <w:i/>
          <w:szCs w:val="24"/>
        </w:rPr>
        <w:t>The Journal of Biological Chemistry</w:t>
      </w:r>
      <w:r w:rsidRPr="005A477F">
        <w:rPr>
          <w:rFonts w:eastAsia="Calibri" w:cs="Times New Roman"/>
          <w:szCs w:val="24"/>
        </w:rPr>
        <w:t xml:space="preserve"> 2014, 18, 12189-12194.</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477" w:history="1">
        <w:r w:rsidR="006F53C9" w:rsidRPr="004C6CA7">
          <w:rPr>
            <w:b/>
            <w:szCs w:val="24"/>
          </w:rPr>
          <w:t>Leontieva OV</w:t>
        </w:r>
      </w:hyperlink>
      <w:r w:rsidR="006F53C9" w:rsidRPr="004C6CA7">
        <w:rPr>
          <w:b/>
          <w:szCs w:val="24"/>
        </w:rPr>
        <w:t>, </w:t>
      </w:r>
      <w:hyperlink r:id="rId478" w:history="1">
        <w:r w:rsidR="006F53C9" w:rsidRPr="004C6CA7">
          <w:rPr>
            <w:b/>
            <w:szCs w:val="24"/>
          </w:rPr>
          <w:t>Demidenko ZN</w:t>
        </w:r>
      </w:hyperlink>
      <w:r w:rsidR="006F53C9" w:rsidRPr="004C6CA7">
        <w:rPr>
          <w:b/>
          <w:szCs w:val="24"/>
        </w:rPr>
        <w:t>, </w:t>
      </w:r>
      <w:hyperlink r:id="rId479" w:history="1">
        <w:r w:rsidR="006F53C9" w:rsidRPr="004C6CA7">
          <w:rPr>
            <w:b/>
            <w:szCs w:val="24"/>
          </w:rPr>
          <w:t>Blagosklonny MV</w:t>
        </w:r>
      </w:hyperlink>
      <w:r w:rsidR="006F53C9" w:rsidRPr="004C6CA7">
        <w:rPr>
          <w:b/>
          <w:szCs w:val="24"/>
        </w:rPr>
        <w:t>.</w:t>
      </w:r>
      <w:r w:rsidR="006F53C9" w:rsidRPr="004C6CA7">
        <w:rPr>
          <w:rFonts w:eastAsia="Calibri" w:cs="Times New Roman"/>
          <w:szCs w:val="24"/>
        </w:rPr>
        <w:t xml:space="preserve"> Rapamycin reverses insulin resistance (IR) in high-glucose medium without causing IR in normoglycemic medium. </w:t>
      </w:r>
      <w:r w:rsidR="006F53C9" w:rsidRPr="004C6CA7">
        <w:rPr>
          <w:rFonts w:eastAsia="Calibri" w:cs="Times New Roman"/>
          <w:i/>
          <w:szCs w:val="24"/>
        </w:rPr>
        <w:t>Cell Death&amp;Desease</w:t>
      </w:r>
      <w:r w:rsidR="006F53C9" w:rsidRPr="004C6CA7">
        <w:rPr>
          <w:rFonts w:eastAsia="Calibri" w:cs="Times New Roman"/>
          <w:szCs w:val="24"/>
        </w:rPr>
        <w:t xml:space="preserve"> 2014, 5(5), e1214.</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480" w:history="1">
        <w:r w:rsidR="006F53C9" w:rsidRPr="004C6CA7">
          <w:rPr>
            <w:rFonts w:eastAsia="Calibri" w:cs="Times New Roman"/>
            <w:b/>
            <w:szCs w:val="24"/>
          </w:rPr>
          <w:t>Levenson AS</w:t>
        </w:r>
      </w:hyperlink>
      <w:r w:rsidR="006F53C9" w:rsidRPr="004C6CA7">
        <w:rPr>
          <w:rFonts w:eastAsia="Calibri" w:cs="Times New Roman"/>
          <w:b/>
          <w:szCs w:val="24"/>
        </w:rPr>
        <w:t>, </w:t>
      </w:r>
      <w:hyperlink r:id="rId481" w:history="1">
        <w:r w:rsidR="006F53C9" w:rsidRPr="004C6CA7">
          <w:rPr>
            <w:rFonts w:eastAsia="Calibri" w:cs="Times New Roman"/>
            <w:b/>
            <w:szCs w:val="24"/>
          </w:rPr>
          <w:t>Jordan VC</w:t>
        </w:r>
      </w:hyperlink>
      <w:r w:rsidR="006F53C9" w:rsidRPr="004C6CA7">
        <w:rPr>
          <w:rFonts w:eastAsia="Calibri" w:cs="Times New Roman"/>
          <w:b/>
          <w:szCs w:val="24"/>
        </w:rPr>
        <w:t>.</w:t>
      </w:r>
      <w:r w:rsidR="006F53C9" w:rsidRPr="004C6CA7">
        <w:rPr>
          <w:rFonts w:eastAsia="Calibri" w:cs="Times New Roman"/>
          <w:szCs w:val="24"/>
        </w:rPr>
        <w:t xml:space="preserve"> MCF-7: the first hormone-responsive breast cancer cell line. </w:t>
      </w:r>
      <w:r w:rsidR="006F53C9" w:rsidRPr="004C6CA7">
        <w:rPr>
          <w:rFonts w:eastAsia="Calibri" w:cs="Times New Roman"/>
          <w:i/>
          <w:szCs w:val="24"/>
        </w:rPr>
        <w:t>Cancer Research</w:t>
      </w:r>
      <w:r w:rsidR="006F53C9" w:rsidRPr="004C6CA7">
        <w:rPr>
          <w:rFonts w:eastAsia="Calibri" w:cs="Times New Roman"/>
          <w:szCs w:val="24"/>
        </w:rPr>
        <w:t xml:space="preserve"> 1997, 57(15), 3071-3078. </w:t>
      </w:r>
    </w:p>
    <w:p w:rsidR="006F53C9" w:rsidRPr="004C6CA7" w:rsidRDefault="006F53C9" w:rsidP="004B5084">
      <w:pPr>
        <w:autoSpaceDE w:val="0"/>
        <w:autoSpaceDN w:val="0"/>
        <w:adjustRightInd w:val="0"/>
        <w:spacing w:before="120" w:after="240"/>
        <w:ind w:firstLine="0"/>
        <w:rPr>
          <w:rFonts w:eastAsia="Calibri" w:cs="Times New Roman"/>
          <w:szCs w:val="24"/>
        </w:rPr>
      </w:pPr>
      <w:r w:rsidRPr="004C6CA7">
        <w:rPr>
          <w:rFonts w:eastAsia="Calibri" w:cs="Times New Roman"/>
          <w:b/>
          <w:szCs w:val="24"/>
        </w:rPr>
        <w:t>Levine AJ, Puzio-Kuter AM.</w:t>
      </w:r>
      <w:r w:rsidRPr="004C6CA7">
        <w:rPr>
          <w:rFonts w:eastAsia="Calibri" w:cs="Times New Roman"/>
          <w:szCs w:val="24"/>
        </w:rPr>
        <w:t xml:space="preserve"> The control of the metabolic switch in cancers by oncogenes and tumor suppressor genes. </w:t>
      </w:r>
      <w:r w:rsidRPr="004C6CA7">
        <w:rPr>
          <w:rFonts w:eastAsia="Calibri" w:cs="Times New Roman"/>
          <w:i/>
          <w:szCs w:val="24"/>
        </w:rPr>
        <w:t>Science</w:t>
      </w:r>
      <w:r w:rsidRPr="004C6CA7">
        <w:rPr>
          <w:rFonts w:eastAsia="Calibri" w:cs="Times New Roman"/>
          <w:szCs w:val="24"/>
        </w:rPr>
        <w:t xml:space="preserve"> 2010, 330 (6009), 1340-1344.</w:t>
      </w:r>
    </w:p>
    <w:p w:rsidR="006F53C9" w:rsidRPr="004C6CA7" w:rsidRDefault="006F53C9" w:rsidP="004B5084">
      <w:pPr>
        <w:keepNext/>
        <w:keepLines/>
        <w:shd w:val="clear" w:color="auto" w:fill="FFFFFF"/>
        <w:spacing w:before="120" w:after="240"/>
        <w:ind w:firstLine="0"/>
        <w:outlineLvl w:val="0"/>
        <w:rPr>
          <w:rFonts w:eastAsia="Calibri" w:cs="Times New Roman"/>
          <w:szCs w:val="24"/>
        </w:rPr>
      </w:pPr>
      <w:r w:rsidRPr="004C6CA7">
        <w:rPr>
          <w:rFonts w:eastAsia="Calibri" w:cs="Times New Roman"/>
          <w:b/>
          <w:szCs w:val="24"/>
        </w:rPr>
        <w:t>Li F, Wang Y, Zeller KI, Potter JJ, Wonsey DR, O’Donnell KA, Kim JW, Yustein JT, Lee LA, Dang CV.</w:t>
      </w:r>
      <w:r w:rsidRPr="004C6CA7">
        <w:rPr>
          <w:rFonts w:eastAsia="Calibri" w:cs="Times New Roman"/>
          <w:szCs w:val="24"/>
        </w:rPr>
        <w:t xml:space="preserve"> Myc stimulates nuclearly encoded mitochondrial genes and mitochondrial biogenesis. </w:t>
      </w:r>
      <w:r w:rsidRPr="004C6CA7">
        <w:rPr>
          <w:rFonts w:eastAsia="Calibri" w:cs="Times New Roman"/>
          <w:i/>
          <w:szCs w:val="24"/>
        </w:rPr>
        <w:t>Molecular and cellular biology</w:t>
      </w:r>
      <w:r w:rsidRPr="004C6CA7">
        <w:rPr>
          <w:rFonts w:eastAsia="Calibri" w:cs="Times New Roman"/>
          <w:szCs w:val="24"/>
        </w:rPr>
        <w:t xml:space="preserve"> 2005, 25 (14), 6225-6234. </w:t>
      </w:r>
    </w:p>
    <w:p w:rsidR="006F53C9" w:rsidRPr="006F53C9" w:rsidRDefault="0037177D" w:rsidP="004B5084">
      <w:pPr>
        <w:keepNext/>
        <w:keepLines/>
        <w:shd w:val="clear" w:color="auto" w:fill="FFFFFF"/>
        <w:spacing w:before="120" w:after="240"/>
        <w:ind w:firstLine="0"/>
        <w:outlineLvl w:val="0"/>
        <w:rPr>
          <w:rFonts w:eastAsia="Calibri" w:cs="Times New Roman"/>
          <w:szCs w:val="24"/>
        </w:rPr>
      </w:pPr>
      <w:hyperlink r:id="rId482" w:history="1">
        <w:r w:rsidR="006F53C9" w:rsidRPr="006F53C9">
          <w:rPr>
            <w:rFonts w:eastAsia="Calibri" w:cs="Times New Roman"/>
            <w:b/>
            <w:szCs w:val="24"/>
          </w:rPr>
          <w:t>Li H</w:t>
        </w:r>
      </w:hyperlink>
      <w:r w:rsidR="006F53C9" w:rsidRPr="006F53C9">
        <w:rPr>
          <w:rFonts w:eastAsia="Calibri" w:cs="Times New Roman"/>
          <w:b/>
          <w:szCs w:val="24"/>
        </w:rPr>
        <w:t>, </w:t>
      </w:r>
      <w:hyperlink r:id="rId483" w:history="1">
        <w:r w:rsidR="006F53C9" w:rsidRPr="006F53C9">
          <w:rPr>
            <w:rFonts w:eastAsia="Calibri" w:cs="Times New Roman"/>
            <w:b/>
            <w:szCs w:val="24"/>
          </w:rPr>
          <w:t>Xu H</w:t>
        </w:r>
      </w:hyperlink>
      <w:r w:rsidR="006F53C9" w:rsidRPr="006F53C9">
        <w:rPr>
          <w:rFonts w:eastAsia="Calibri" w:cs="Times New Roman"/>
          <w:b/>
          <w:szCs w:val="24"/>
        </w:rPr>
        <w:t>, </w:t>
      </w:r>
      <w:hyperlink r:id="rId484" w:history="1">
        <w:r w:rsidR="006F53C9" w:rsidRPr="006F53C9">
          <w:rPr>
            <w:rFonts w:eastAsia="Calibri" w:cs="Times New Roman"/>
            <w:b/>
            <w:szCs w:val="24"/>
          </w:rPr>
          <w:t>Xing R</w:t>
        </w:r>
      </w:hyperlink>
      <w:r w:rsidR="006F53C9" w:rsidRPr="006F53C9">
        <w:rPr>
          <w:rFonts w:eastAsia="Calibri" w:cs="Times New Roman"/>
          <w:b/>
          <w:szCs w:val="24"/>
        </w:rPr>
        <w:t>, </w:t>
      </w:r>
      <w:hyperlink r:id="rId485" w:history="1">
        <w:r w:rsidR="006F53C9" w:rsidRPr="006F53C9">
          <w:rPr>
            <w:rFonts w:eastAsia="Calibri" w:cs="Times New Roman"/>
            <w:b/>
            <w:szCs w:val="24"/>
          </w:rPr>
          <w:t>Pan Y</w:t>
        </w:r>
      </w:hyperlink>
      <w:r w:rsidR="006F53C9" w:rsidRPr="006F53C9">
        <w:rPr>
          <w:rFonts w:eastAsia="Calibri" w:cs="Times New Roman"/>
          <w:b/>
          <w:szCs w:val="24"/>
        </w:rPr>
        <w:t>, </w:t>
      </w:r>
      <w:hyperlink r:id="rId486" w:history="1">
        <w:r w:rsidR="006F53C9" w:rsidRPr="006F53C9">
          <w:rPr>
            <w:rFonts w:eastAsia="Calibri" w:cs="Times New Roman"/>
            <w:b/>
            <w:szCs w:val="24"/>
          </w:rPr>
          <w:t>Li W</w:t>
        </w:r>
      </w:hyperlink>
      <w:r w:rsidR="006F53C9" w:rsidRPr="006F53C9">
        <w:rPr>
          <w:rFonts w:eastAsia="Calibri" w:cs="Times New Roman"/>
          <w:b/>
          <w:szCs w:val="24"/>
        </w:rPr>
        <w:t>, </w:t>
      </w:r>
      <w:hyperlink r:id="rId487" w:history="1">
        <w:r w:rsidR="006F53C9" w:rsidRPr="006F53C9">
          <w:rPr>
            <w:rFonts w:eastAsia="Calibri" w:cs="Times New Roman"/>
            <w:b/>
            <w:szCs w:val="24"/>
          </w:rPr>
          <w:t>Cui J</w:t>
        </w:r>
      </w:hyperlink>
      <w:r w:rsidR="006F53C9" w:rsidRPr="006F53C9">
        <w:rPr>
          <w:rFonts w:eastAsia="Calibri" w:cs="Times New Roman"/>
          <w:b/>
          <w:szCs w:val="24"/>
        </w:rPr>
        <w:t>, </w:t>
      </w:r>
      <w:hyperlink r:id="rId488" w:history="1">
        <w:r w:rsidR="006F53C9" w:rsidRPr="006F53C9">
          <w:rPr>
            <w:rFonts w:eastAsia="Calibri" w:cs="Times New Roman"/>
            <w:b/>
            <w:szCs w:val="24"/>
          </w:rPr>
          <w:t>Lu Y</w:t>
        </w:r>
      </w:hyperlink>
      <w:r w:rsidR="006F53C9" w:rsidRPr="006F53C9">
        <w:rPr>
          <w:rFonts w:eastAsia="Calibri" w:cs="Times New Roman"/>
          <w:b/>
          <w:szCs w:val="24"/>
        </w:rPr>
        <w:t xml:space="preserve">. </w:t>
      </w:r>
      <w:r w:rsidR="006F53C9" w:rsidRPr="006F53C9">
        <w:rPr>
          <w:rFonts w:eastAsia="Calibri" w:cs="Times New Roman"/>
          <w:szCs w:val="24"/>
        </w:rPr>
        <w:t xml:space="preserve">Pyruvate kinase M2 contributes to cell growth in gastric cancer via aerobic glycolysis. </w:t>
      </w:r>
      <w:r w:rsidR="006F53C9" w:rsidRPr="006F53C9">
        <w:rPr>
          <w:rFonts w:eastAsia="Calibri" w:cs="Times New Roman"/>
          <w:i/>
          <w:szCs w:val="24"/>
        </w:rPr>
        <w:t>Pathology, research and practice</w:t>
      </w:r>
      <w:r w:rsidR="006F53C9" w:rsidRPr="006F53C9">
        <w:rPr>
          <w:rFonts w:eastAsia="Calibri" w:cs="Times New Roman"/>
          <w:szCs w:val="24"/>
        </w:rPr>
        <w:t xml:space="preserve"> 2019, 215(6), 152409.</w:t>
      </w:r>
    </w:p>
    <w:p w:rsidR="006F53C9" w:rsidRPr="004C6CA7" w:rsidRDefault="006F53C9" w:rsidP="004B5084">
      <w:pPr>
        <w:keepNext/>
        <w:keepLines/>
        <w:shd w:val="clear" w:color="auto" w:fill="FFFFFF"/>
        <w:spacing w:before="120" w:after="240"/>
        <w:ind w:firstLine="0"/>
        <w:outlineLvl w:val="0"/>
        <w:rPr>
          <w:rFonts w:eastAsia="Calibri" w:cs="Times New Roman"/>
          <w:szCs w:val="24"/>
        </w:rPr>
      </w:pPr>
      <w:r w:rsidRPr="004C6CA7">
        <w:rPr>
          <w:rFonts w:eastAsia="Calibri" w:cs="Times New Roman"/>
          <w:b/>
          <w:szCs w:val="24"/>
        </w:rPr>
        <w:t>Li J, Han X.</w:t>
      </w:r>
      <w:r w:rsidRPr="004C6CA7">
        <w:rPr>
          <w:rFonts w:asciiTheme="majorHAnsi" w:eastAsiaTheme="majorEastAsia" w:hAnsiTheme="majorHAnsi" w:cstheme="majorBidi"/>
          <w:b/>
          <w:bCs/>
          <w:color w:val="365F91" w:themeColor="accent1" w:themeShade="BF"/>
          <w:sz w:val="28"/>
          <w:szCs w:val="28"/>
        </w:rPr>
        <w:t xml:space="preserve"> </w:t>
      </w:r>
      <w:r w:rsidRPr="004C6CA7">
        <w:rPr>
          <w:rFonts w:eastAsia="Calibri" w:cs="Times New Roman"/>
          <w:szCs w:val="24"/>
        </w:rPr>
        <w:t>Adipocytokines and breast cancer</w:t>
      </w:r>
      <w:r w:rsidRPr="004C6CA7">
        <w:rPr>
          <w:rFonts w:eastAsia="Calibri" w:cs="Times New Roman"/>
          <w:i/>
          <w:szCs w:val="24"/>
        </w:rPr>
        <w:t>. Current Problems in Cancer</w:t>
      </w:r>
      <w:r w:rsidRPr="004C6CA7">
        <w:rPr>
          <w:rFonts w:eastAsia="Calibri" w:cs="Times New Roman"/>
          <w:szCs w:val="24"/>
        </w:rPr>
        <w:t xml:space="preserve"> 2018, 42, 208-214. </w:t>
      </w:r>
    </w:p>
    <w:p w:rsidR="00193A10" w:rsidRDefault="006F53C9" w:rsidP="004B5084">
      <w:pPr>
        <w:spacing w:before="120" w:after="240"/>
        <w:ind w:firstLine="0"/>
        <w:rPr>
          <w:rFonts w:eastAsia="Calibri" w:cs="Times New Roman"/>
          <w:szCs w:val="24"/>
        </w:rPr>
      </w:pPr>
      <w:r w:rsidRPr="004C6CA7">
        <w:rPr>
          <w:rFonts w:eastAsia="Calibri" w:cs="Times New Roman"/>
          <w:b/>
          <w:szCs w:val="24"/>
        </w:rPr>
        <w:t>Li N, Tan W, Li J, Li P, Lee S, Wang Y, Gong Y</w:t>
      </w:r>
      <w:r w:rsidRPr="004C6CA7">
        <w:rPr>
          <w:rFonts w:eastAsia="Calibri" w:cs="Times New Roman"/>
          <w:szCs w:val="24"/>
        </w:rPr>
        <w:t xml:space="preserve">. Glucose Metabolism in Breast Cancer and Its Implication in Cancer Therapy. </w:t>
      </w:r>
      <w:r w:rsidRPr="004C6CA7">
        <w:rPr>
          <w:rFonts w:eastAsia="Calibri" w:cs="Times New Roman"/>
          <w:i/>
          <w:szCs w:val="24"/>
        </w:rPr>
        <w:t>International Journal of Clinical Medicine</w:t>
      </w:r>
      <w:r w:rsidRPr="004C6CA7">
        <w:rPr>
          <w:rFonts w:eastAsia="Calibri" w:cs="Times New Roman"/>
          <w:szCs w:val="24"/>
        </w:rPr>
        <w:t xml:space="preserve"> 2011, 2, 110-128.</w:t>
      </w:r>
    </w:p>
    <w:p w:rsidR="006F53C9" w:rsidRPr="004C6CA7" w:rsidRDefault="0037177D" w:rsidP="004B5084">
      <w:pPr>
        <w:spacing w:before="120" w:after="240"/>
        <w:ind w:firstLine="0"/>
        <w:rPr>
          <w:rFonts w:eastAsia="Calibri" w:cs="Times New Roman"/>
          <w:szCs w:val="24"/>
        </w:rPr>
      </w:pPr>
      <w:hyperlink r:id="rId489" w:history="1">
        <w:r w:rsidR="006F53C9" w:rsidRPr="004C6CA7">
          <w:rPr>
            <w:rFonts w:eastAsia="Calibri" w:cs="Times New Roman"/>
            <w:b/>
            <w:szCs w:val="24"/>
          </w:rPr>
          <w:t>Li W</w:t>
        </w:r>
      </w:hyperlink>
      <w:r w:rsidR="006F53C9" w:rsidRPr="004C6CA7">
        <w:rPr>
          <w:rFonts w:eastAsia="Calibri" w:cs="Times New Roman"/>
          <w:b/>
          <w:szCs w:val="24"/>
        </w:rPr>
        <w:t>, </w:t>
      </w:r>
      <w:hyperlink r:id="rId490" w:history="1">
        <w:r w:rsidR="006F53C9" w:rsidRPr="004C6CA7">
          <w:rPr>
            <w:rFonts w:eastAsia="Calibri" w:cs="Times New Roman"/>
            <w:b/>
            <w:szCs w:val="24"/>
          </w:rPr>
          <w:t>Liu H</w:t>
        </w:r>
      </w:hyperlink>
      <w:r w:rsidR="006F53C9" w:rsidRPr="004C6CA7">
        <w:rPr>
          <w:rFonts w:eastAsia="Calibri" w:cs="Times New Roman"/>
          <w:b/>
          <w:szCs w:val="24"/>
        </w:rPr>
        <w:t>, </w:t>
      </w:r>
      <w:hyperlink r:id="rId491" w:history="1">
        <w:r w:rsidR="006F53C9" w:rsidRPr="004C6CA7">
          <w:rPr>
            <w:rFonts w:eastAsia="Calibri" w:cs="Times New Roman"/>
            <w:b/>
            <w:szCs w:val="24"/>
          </w:rPr>
          <w:t>Qian W</w:t>
        </w:r>
      </w:hyperlink>
      <w:r w:rsidR="006F53C9" w:rsidRPr="004C6CA7">
        <w:rPr>
          <w:rFonts w:eastAsia="Calibri" w:cs="Times New Roman"/>
          <w:b/>
          <w:szCs w:val="24"/>
        </w:rPr>
        <w:t>, </w:t>
      </w:r>
      <w:hyperlink r:id="rId492" w:history="1">
        <w:r w:rsidR="006F53C9" w:rsidRPr="004C6CA7">
          <w:rPr>
            <w:rFonts w:eastAsia="Calibri" w:cs="Times New Roman"/>
            <w:b/>
            <w:szCs w:val="24"/>
          </w:rPr>
          <w:t>Cheng L</w:t>
        </w:r>
      </w:hyperlink>
      <w:r w:rsidR="006F53C9" w:rsidRPr="004C6CA7">
        <w:rPr>
          <w:rFonts w:eastAsia="Calibri" w:cs="Times New Roman"/>
          <w:b/>
          <w:szCs w:val="24"/>
        </w:rPr>
        <w:t>, </w:t>
      </w:r>
      <w:hyperlink r:id="rId493" w:history="1">
        <w:r w:rsidR="006F53C9" w:rsidRPr="004C6CA7">
          <w:rPr>
            <w:rFonts w:eastAsia="Calibri" w:cs="Times New Roman"/>
            <w:b/>
            <w:szCs w:val="24"/>
          </w:rPr>
          <w:t>Yan B</w:t>
        </w:r>
      </w:hyperlink>
      <w:r w:rsidR="006F53C9" w:rsidRPr="004C6CA7">
        <w:rPr>
          <w:rFonts w:eastAsia="Calibri" w:cs="Times New Roman"/>
          <w:b/>
          <w:szCs w:val="24"/>
        </w:rPr>
        <w:t>, </w:t>
      </w:r>
      <w:hyperlink r:id="rId494" w:history="1">
        <w:r w:rsidR="006F53C9" w:rsidRPr="004C6CA7">
          <w:rPr>
            <w:rFonts w:eastAsia="Calibri" w:cs="Times New Roman"/>
            <w:b/>
            <w:szCs w:val="24"/>
          </w:rPr>
          <w:t>Han L</w:t>
        </w:r>
      </w:hyperlink>
      <w:r w:rsidR="006F53C9" w:rsidRPr="004C6CA7">
        <w:rPr>
          <w:rFonts w:eastAsia="Calibri" w:cs="Times New Roman"/>
          <w:b/>
          <w:szCs w:val="24"/>
        </w:rPr>
        <w:t>, </w:t>
      </w:r>
      <w:hyperlink r:id="rId495" w:history="1">
        <w:r w:rsidR="006F53C9" w:rsidRPr="004C6CA7">
          <w:rPr>
            <w:rFonts w:eastAsia="Calibri" w:cs="Times New Roman"/>
            <w:b/>
            <w:szCs w:val="24"/>
          </w:rPr>
          <w:t>Xu Q</w:t>
        </w:r>
      </w:hyperlink>
      <w:r w:rsidR="006F53C9" w:rsidRPr="004C6CA7">
        <w:rPr>
          <w:rFonts w:eastAsia="Calibri" w:cs="Times New Roman"/>
          <w:b/>
          <w:szCs w:val="24"/>
        </w:rPr>
        <w:t>, </w:t>
      </w:r>
      <w:hyperlink r:id="rId496" w:history="1">
        <w:r w:rsidR="006F53C9" w:rsidRPr="004C6CA7">
          <w:rPr>
            <w:rFonts w:eastAsia="Calibri" w:cs="Times New Roman"/>
            <w:b/>
            <w:szCs w:val="24"/>
          </w:rPr>
          <w:t>Ma Q</w:t>
        </w:r>
      </w:hyperlink>
      <w:r w:rsidR="006F53C9" w:rsidRPr="004C6CA7">
        <w:rPr>
          <w:rFonts w:eastAsia="Calibri" w:cs="Times New Roman"/>
          <w:b/>
          <w:szCs w:val="24"/>
        </w:rPr>
        <w:t>, </w:t>
      </w:r>
      <w:hyperlink r:id="rId497" w:history="1">
        <w:r w:rsidR="006F53C9" w:rsidRPr="004C6CA7">
          <w:rPr>
            <w:rFonts w:eastAsia="Calibri" w:cs="Times New Roman"/>
            <w:b/>
            <w:szCs w:val="24"/>
          </w:rPr>
          <w:t>Ma J</w:t>
        </w:r>
      </w:hyperlink>
      <w:r w:rsidR="006F53C9" w:rsidRPr="004C6CA7">
        <w:rPr>
          <w:rFonts w:eastAsia="Calibri" w:cs="Times New Roman"/>
          <w:b/>
          <w:szCs w:val="24"/>
        </w:rPr>
        <w:t>.</w:t>
      </w:r>
      <w:r w:rsidR="006F53C9" w:rsidRPr="004C6CA7">
        <w:rPr>
          <w:rFonts w:eastAsia="Calibri" w:cs="Times New Roman"/>
          <w:szCs w:val="24"/>
        </w:rPr>
        <w:t xml:space="preserve"> Hyperglycemia aggravates microenvironment hypoxia and promotes the metastatic ability of pancreatic cancer. </w:t>
      </w:r>
      <w:r w:rsidR="006F53C9" w:rsidRPr="004C6CA7">
        <w:rPr>
          <w:rFonts w:eastAsia="Calibri" w:cs="Times New Roman"/>
          <w:i/>
          <w:szCs w:val="24"/>
        </w:rPr>
        <w:t>Computational and Structural Biotechnology Journal</w:t>
      </w:r>
      <w:r w:rsidR="006F53C9" w:rsidRPr="004C6CA7">
        <w:rPr>
          <w:rFonts w:eastAsia="Calibri" w:cs="Times New Roman"/>
          <w:szCs w:val="24"/>
        </w:rPr>
        <w:t xml:space="preserve"> 2018, 16, 479-487.</w:t>
      </w:r>
    </w:p>
    <w:p w:rsidR="005A477F" w:rsidRDefault="006F53C9" w:rsidP="005A477F">
      <w:pPr>
        <w:spacing w:before="120" w:after="240"/>
        <w:ind w:firstLine="0"/>
        <w:rPr>
          <w:rFonts w:eastAsia="Calibri" w:cs="Times New Roman"/>
          <w:szCs w:val="24"/>
        </w:rPr>
      </w:pPr>
      <w:r w:rsidRPr="004C6CA7">
        <w:rPr>
          <w:rFonts w:eastAsia="Calibri" w:cs="Times New Roman"/>
          <w:b/>
          <w:szCs w:val="24"/>
        </w:rPr>
        <w:t>Liberti MV, Dai Z, Wardell SE, Baccile JA, Liu X, Gao X, Baldi R, Mehrmohamadi M, Johnson MO, Madhukar NS,  </w:t>
      </w:r>
      <w:hyperlink r:id="rId498" w:history="1">
        <w:r w:rsidRPr="004C6CA7">
          <w:rPr>
            <w:rFonts w:eastAsia="Calibri" w:cs="Times New Roman"/>
            <w:b/>
            <w:szCs w:val="24"/>
          </w:rPr>
          <w:t>Shestov AA</w:t>
        </w:r>
      </w:hyperlink>
      <w:r w:rsidRPr="004C6CA7">
        <w:rPr>
          <w:rFonts w:eastAsia="Calibri" w:cs="Times New Roman"/>
          <w:b/>
          <w:szCs w:val="24"/>
        </w:rPr>
        <w:t>, </w:t>
      </w:r>
      <w:hyperlink r:id="rId499" w:history="1">
        <w:r w:rsidRPr="004C6CA7">
          <w:rPr>
            <w:rFonts w:eastAsia="Calibri" w:cs="Times New Roman"/>
            <w:b/>
            <w:szCs w:val="24"/>
          </w:rPr>
          <w:t>Chio IIC</w:t>
        </w:r>
      </w:hyperlink>
      <w:r w:rsidRPr="004C6CA7">
        <w:rPr>
          <w:rFonts w:eastAsia="Calibri" w:cs="Times New Roman"/>
          <w:b/>
          <w:szCs w:val="24"/>
        </w:rPr>
        <w:t>, </w:t>
      </w:r>
      <w:hyperlink r:id="rId500" w:history="1">
        <w:r w:rsidRPr="004C6CA7">
          <w:rPr>
            <w:rFonts w:eastAsia="Calibri" w:cs="Times New Roman"/>
            <w:b/>
            <w:szCs w:val="24"/>
          </w:rPr>
          <w:t>Elemento O</w:t>
        </w:r>
      </w:hyperlink>
      <w:r w:rsidRPr="004C6CA7">
        <w:rPr>
          <w:rFonts w:eastAsia="Calibri" w:cs="Times New Roman"/>
          <w:b/>
          <w:szCs w:val="24"/>
        </w:rPr>
        <w:t>, </w:t>
      </w:r>
      <w:hyperlink r:id="rId501" w:history="1">
        <w:r w:rsidRPr="004C6CA7">
          <w:rPr>
            <w:rFonts w:eastAsia="Calibri" w:cs="Times New Roman"/>
            <w:b/>
            <w:szCs w:val="24"/>
          </w:rPr>
          <w:t>Rathmell JC</w:t>
        </w:r>
      </w:hyperlink>
      <w:r w:rsidRPr="004C6CA7">
        <w:rPr>
          <w:rFonts w:eastAsia="Calibri" w:cs="Times New Roman"/>
          <w:b/>
          <w:szCs w:val="24"/>
        </w:rPr>
        <w:t>, </w:t>
      </w:r>
      <w:hyperlink r:id="rId502" w:history="1">
        <w:r w:rsidRPr="004C6CA7">
          <w:rPr>
            <w:rFonts w:eastAsia="Calibri" w:cs="Times New Roman"/>
            <w:b/>
            <w:szCs w:val="24"/>
          </w:rPr>
          <w:t>Schroeder FC</w:t>
        </w:r>
      </w:hyperlink>
      <w:r w:rsidRPr="004C6CA7">
        <w:rPr>
          <w:rFonts w:eastAsia="Calibri" w:cs="Times New Roman"/>
          <w:b/>
          <w:szCs w:val="24"/>
        </w:rPr>
        <w:t>, </w:t>
      </w:r>
      <w:hyperlink r:id="rId503" w:history="1">
        <w:r w:rsidRPr="004C6CA7">
          <w:rPr>
            <w:rFonts w:eastAsia="Calibri" w:cs="Times New Roman"/>
            <w:b/>
            <w:szCs w:val="24"/>
          </w:rPr>
          <w:t>McDonnell DP</w:t>
        </w:r>
      </w:hyperlink>
      <w:r w:rsidRPr="004C6CA7">
        <w:rPr>
          <w:rFonts w:eastAsia="Calibri" w:cs="Times New Roman"/>
          <w:b/>
          <w:szCs w:val="24"/>
        </w:rPr>
        <w:t>, </w:t>
      </w:r>
      <w:hyperlink r:id="rId504" w:history="1">
        <w:r w:rsidRPr="004C6CA7">
          <w:rPr>
            <w:rFonts w:eastAsia="Calibri" w:cs="Times New Roman"/>
            <w:b/>
            <w:szCs w:val="24"/>
          </w:rPr>
          <w:t>Locasale JW</w:t>
        </w:r>
      </w:hyperlink>
      <w:r w:rsidRPr="004C6CA7">
        <w:rPr>
          <w:rFonts w:eastAsia="Calibri" w:cs="Times New Roman"/>
          <w:b/>
          <w:szCs w:val="24"/>
        </w:rPr>
        <w:t>.</w:t>
      </w:r>
      <w:r w:rsidRPr="004C6CA7">
        <w:rPr>
          <w:rFonts w:eastAsia="Calibri" w:cs="Times New Roman"/>
          <w:szCs w:val="24"/>
        </w:rPr>
        <w:t xml:space="preserve"> A Predictive Model for Selective Targeting of the Warburg Effect through GAPDH Inhibition with a Natural Product. </w:t>
      </w:r>
      <w:r w:rsidRPr="004C6CA7">
        <w:rPr>
          <w:rFonts w:eastAsia="Calibri" w:cs="Times New Roman"/>
          <w:i/>
          <w:szCs w:val="24"/>
        </w:rPr>
        <w:t>Cell Metabolism</w:t>
      </w:r>
      <w:r w:rsidRPr="004C6CA7">
        <w:rPr>
          <w:rFonts w:eastAsia="Calibri" w:cs="Times New Roman"/>
          <w:szCs w:val="24"/>
        </w:rPr>
        <w:t xml:space="preserve"> 2017, 26, 648–659 e648.</w:t>
      </w:r>
    </w:p>
    <w:p w:rsidR="005A477F" w:rsidRDefault="0037177D" w:rsidP="005A477F">
      <w:pPr>
        <w:spacing w:before="120" w:after="240"/>
        <w:ind w:firstLine="0"/>
        <w:rPr>
          <w:rFonts w:eastAsia="Calibri" w:cs="Times New Roman"/>
          <w:szCs w:val="24"/>
        </w:rPr>
      </w:pPr>
      <w:hyperlink r:id="rId505" w:history="1">
        <w:r w:rsidR="006F53C9" w:rsidRPr="004C6CA7">
          <w:rPr>
            <w:rFonts w:eastAsia="Calibri" w:cs="Times New Roman"/>
            <w:b/>
            <w:szCs w:val="24"/>
          </w:rPr>
          <w:t>Liberti MV</w:t>
        </w:r>
      </w:hyperlink>
      <w:r w:rsidR="006F53C9" w:rsidRPr="004C6CA7">
        <w:rPr>
          <w:rFonts w:eastAsia="Calibri" w:cs="Times New Roman"/>
          <w:b/>
          <w:szCs w:val="24"/>
        </w:rPr>
        <w:t>, </w:t>
      </w:r>
      <w:hyperlink r:id="rId506" w:history="1">
        <w:r w:rsidR="006F53C9" w:rsidRPr="004C6CA7">
          <w:rPr>
            <w:rFonts w:eastAsia="Calibri" w:cs="Times New Roman"/>
            <w:b/>
            <w:szCs w:val="24"/>
          </w:rPr>
          <w:t>Locasale JW</w:t>
        </w:r>
      </w:hyperlink>
      <w:r w:rsidR="006F53C9" w:rsidRPr="004C6CA7">
        <w:rPr>
          <w:rFonts w:eastAsia="Calibri" w:cs="Times New Roman"/>
          <w:b/>
          <w:szCs w:val="24"/>
        </w:rPr>
        <w:t xml:space="preserve">. </w:t>
      </w:r>
      <w:r w:rsidR="006F53C9" w:rsidRPr="004C6CA7">
        <w:rPr>
          <w:rFonts w:eastAsia="Calibri" w:cs="Times New Roman"/>
          <w:szCs w:val="24"/>
        </w:rPr>
        <w:t xml:space="preserve">The Warburg Effect: How Does it Benefit Cancer Cells? </w:t>
      </w:r>
      <w:r w:rsidR="006F53C9" w:rsidRPr="004C6CA7">
        <w:rPr>
          <w:rFonts w:eastAsia="Calibri" w:cs="Times New Roman"/>
          <w:i/>
          <w:szCs w:val="24"/>
        </w:rPr>
        <w:t>Trends in biochemical sciences</w:t>
      </w:r>
      <w:r w:rsidR="006F53C9" w:rsidRPr="004C6CA7">
        <w:rPr>
          <w:rFonts w:eastAsia="Calibri" w:cs="Times New Roman"/>
          <w:szCs w:val="24"/>
        </w:rPr>
        <w:t xml:space="preserve"> 2016, 41 (3), 211-218. </w:t>
      </w:r>
    </w:p>
    <w:p w:rsidR="005A477F" w:rsidRDefault="006F53C9" w:rsidP="005A477F">
      <w:pPr>
        <w:spacing w:before="120" w:after="240"/>
        <w:ind w:firstLine="0"/>
        <w:rPr>
          <w:rFonts w:eastAsia="Calibri" w:cs="Times New Roman"/>
          <w:szCs w:val="24"/>
        </w:rPr>
      </w:pPr>
      <w:r w:rsidRPr="004C6CA7">
        <w:rPr>
          <w:rFonts w:eastAsiaTheme="majorEastAsia" w:cs="Times New Roman"/>
          <w:b/>
          <w:bCs/>
          <w:szCs w:val="24"/>
        </w:rPr>
        <w:t>Lincet H, Icard P.</w:t>
      </w:r>
      <w:r w:rsidRPr="004C6CA7">
        <w:rPr>
          <w:rFonts w:eastAsiaTheme="majorEastAsia" w:cstheme="majorBidi"/>
          <w:b/>
          <w:bCs/>
          <w:color w:val="365F91" w:themeColor="accent1" w:themeShade="BF"/>
          <w:szCs w:val="24"/>
        </w:rPr>
        <w:t xml:space="preserve"> </w:t>
      </w:r>
      <w:r w:rsidRPr="004C6CA7">
        <w:rPr>
          <w:rFonts w:eastAsia="Calibri" w:cs="Times New Roman"/>
          <w:szCs w:val="24"/>
        </w:rPr>
        <w:t xml:space="preserve">How do glycolytic enzymes favour cancer cell proliferation by nonmetabolic functions? </w:t>
      </w:r>
      <w:r w:rsidRPr="004C6CA7">
        <w:rPr>
          <w:rFonts w:eastAsia="Calibri" w:cs="Times New Roman"/>
          <w:i/>
          <w:szCs w:val="24"/>
        </w:rPr>
        <w:t>Oncogene</w:t>
      </w:r>
      <w:r w:rsidRPr="004C6CA7">
        <w:rPr>
          <w:rFonts w:eastAsia="Calibri" w:cs="Times New Roman"/>
          <w:szCs w:val="24"/>
        </w:rPr>
        <w:t xml:space="preserve"> 2015, 34 (29),  3751-3759. </w:t>
      </w:r>
    </w:p>
    <w:p w:rsidR="006F53C9" w:rsidRPr="005A477F" w:rsidRDefault="0037177D" w:rsidP="005A477F">
      <w:pPr>
        <w:spacing w:before="120" w:after="240"/>
        <w:ind w:firstLine="0"/>
        <w:rPr>
          <w:rFonts w:eastAsia="Calibri" w:cs="Times New Roman"/>
          <w:szCs w:val="24"/>
        </w:rPr>
      </w:pPr>
      <w:hyperlink r:id="rId507" w:history="1">
        <w:r w:rsidR="006F53C9" w:rsidRPr="006F53C9">
          <w:rPr>
            <w:rFonts w:eastAsia="Calibri" w:cs="Times New Roman"/>
            <w:b/>
            <w:bCs/>
            <w:szCs w:val="24"/>
          </w:rPr>
          <w:t>Lis P</w:t>
        </w:r>
      </w:hyperlink>
      <w:r w:rsidR="006F53C9" w:rsidRPr="006F53C9">
        <w:rPr>
          <w:rFonts w:eastAsia="Calibri" w:cs="Times New Roman"/>
          <w:b/>
          <w:bCs/>
          <w:szCs w:val="24"/>
        </w:rPr>
        <w:t>, </w:t>
      </w:r>
      <w:hyperlink r:id="rId508" w:history="1">
        <w:r w:rsidR="006F53C9" w:rsidRPr="006F53C9">
          <w:rPr>
            <w:rFonts w:eastAsia="Calibri" w:cs="Times New Roman"/>
            <w:b/>
            <w:bCs/>
            <w:szCs w:val="24"/>
          </w:rPr>
          <w:t>Dyląg M</w:t>
        </w:r>
      </w:hyperlink>
      <w:r w:rsidR="006F53C9" w:rsidRPr="006F53C9">
        <w:rPr>
          <w:rFonts w:eastAsia="Calibri" w:cs="Times New Roman"/>
          <w:b/>
          <w:bCs/>
          <w:szCs w:val="24"/>
        </w:rPr>
        <w:t>, </w:t>
      </w:r>
      <w:hyperlink r:id="rId509" w:history="1">
        <w:r w:rsidR="006F53C9" w:rsidRPr="006F53C9">
          <w:rPr>
            <w:rFonts w:eastAsia="Calibri" w:cs="Times New Roman"/>
            <w:b/>
            <w:bCs/>
            <w:szCs w:val="24"/>
          </w:rPr>
          <w:t>Niedźwiecka K</w:t>
        </w:r>
      </w:hyperlink>
      <w:r w:rsidR="006F53C9" w:rsidRPr="006F53C9">
        <w:rPr>
          <w:rFonts w:eastAsia="Calibri" w:cs="Times New Roman"/>
          <w:b/>
          <w:bCs/>
          <w:szCs w:val="24"/>
        </w:rPr>
        <w:t>, </w:t>
      </w:r>
      <w:hyperlink r:id="rId510" w:history="1">
        <w:r w:rsidR="006F53C9" w:rsidRPr="006F53C9">
          <w:rPr>
            <w:rFonts w:eastAsia="Calibri" w:cs="Times New Roman"/>
            <w:b/>
            <w:bCs/>
            <w:szCs w:val="24"/>
          </w:rPr>
          <w:t>Ko YH</w:t>
        </w:r>
      </w:hyperlink>
      <w:r w:rsidR="006F53C9" w:rsidRPr="006F53C9">
        <w:rPr>
          <w:rFonts w:eastAsia="Calibri" w:cs="Times New Roman"/>
          <w:b/>
          <w:bCs/>
          <w:szCs w:val="24"/>
        </w:rPr>
        <w:t>, </w:t>
      </w:r>
      <w:hyperlink r:id="rId511" w:history="1">
        <w:r w:rsidR="006F53C9" w:rsidRPr="006F53C9">
          <w:rPr>
            <w:rFonts w:eastAsia="Calibri" w:cs="Times New Roman"/>
            <w:b/>
            <w:bCs/>
            <w:szCs w:val="24"/>
          </w:rPr>
          <w:t>Pedersen PL</w:t>
        </w:r>
      </w:hyperlink>
      <w:r w:rsidR="006F53C9" w:rsidRPr="006F53C9">
        <w:rPr>
          <w:rFonts w:eastAsia="Calibri" w:cs="Times New Roman"/>
          <w:b/>
          <w:bCs/>
          <w:szCs w:val="24"/>
        </w:rPr>
        <w:t>, </w:t>
      </w:r>
      <w:hyperlink r:id="rId512" w:history="1">
        <w:r w:rsidR="006F53C9" w:rsidRPr="006F53C9">
          <w:rPr>
            <w:rFonts w:eastAsia="Calibri" w:cs="Times New Roman"/>
            <w:b/>
            <w:bCs/>
            <w:szCs w:val="24"/>
          </w:rPr>
          <w:t>Goffeau A</w:t>
        </w:r>
      </w:hyperlink>
      <w:r w:rsidR="006F53C9" w:rsidRPr="006F53C9">
        <w:rPr>
          <w:rFonts w:eastAsia="Calibri" w:cs="Times New Roman"/>
          <w:b/>
          <w:bCs/>
          <w:szCs w:val="24"/>
        </w:rPr>
        <w:t>, </w:t>
      </w:r>
      <w:hyperlink r:id="rId513" w:history="1">
        <w:r w:rsidR="006F53C9" w:rsidRPr="006F53C9">
          <w:rPr>
            <w:rFonts w:eastAsia="Calibri" w:cs="Times New Roman"/>
            <w:b/>
            <w:bCs/>
            <w:szCs w:val="24"/>
          </w:rPr>
          <w:t>Ułaszewski S</w:t>
        </w:r>
      </w:hyperlink>
      <w:r w:rsidR="006F53C9" w:rsidRPr="006F53C9">
        <w:rPr>
          <w:rFonts w:eastAsia="Calibri" w:cs="Times New Roman"/>
          <w:b/>
          <w:bCs/>
          <w:szCs w:val="24"/>
        </w:rPr>
        <w:t>.</w:t>
      </w:r>
      <w:r w:rsidR="006F53C9" w:rsidRPr="006F53C9">
        <w:rPr>
          <w:rFonts w:eastAsia="Calibri" w:cs="Times New Roman"/>
          <w:bCs/>
          <w:szCs w:val="24"/>
        </w:rPr>
        <w:t xml:space="preserve"> The HK2 Dependent "Warburg Effect" and Mitochondrial Oxidative Phosphorylation in Cancer: Targets for Effective Therapy with 3-Bromopyruvate. </w:t>
      </w:r>
      <w:r w:rsidR="006F53C9" w:rsidRPr="006F53C9">
        <w:rPr>
          <w:rFonts w:eastAsia="Calibri" w:cs="Times New Roman"/>
          <w:bCs/>
          <w:i/>
          <w:szCs w:val="24"/>
        </w:rPr>
        <w:t>Molecules (Basel, Switzerland)</w:t>
      </w:r>
      <w:r w:rsidR="006F53C9" w:rsidRPr="006F53C9">
        <w:rPr>
          <w:rFonts w:eastAsia="Calibri" w:cs="Times New Roman"/>
          <w:bCs/>
          <w:szCs w:val="24"/>
        </w:rPr>
        <w:t xml:space="preserve"> 2016, 15, 21(12). </w:t>
      </w:r>
    </w:p>
    <w:p w:rsidR="006F53C9" w:rsidRDefault="006F53C9" w:rsidP="004B5084">
      <w:pPr>
        <w:spacing w:before="120" w:after="240"/>
        <w:ind w:firstLine="0"/>
        <w:rPr>
          <w:rFonts w:eastAsia="Calibri" w:cs="Times New Roman"/>
          <w:szCs w:val="24"/>
        </w:rPr>
      </w:pPr>
      <w:r w:rsidRPr="004C6CA7">
        <w:rPr>
          <w:rFonts w:eastAsia="Calibri" w:cs="Times New Roman"/>
          <w:b/>
          <w:szCs w:val="24"/>
        </w:rPr>
        <w:t>Liu H, Ma Q, Li J.</w:t>
      </w:r>
      <w:r w:rsidRPr="004C6CA7">
        <w:rPr>
          <w:rFonts w:eastAsia="Calibri" w:cs="Times New Roman"/>
          <w:szCs w:val="24"/>
        </w:rPr>
        <w:t xml:space="preserve"> High glucose promotes cell proliferation and enhances GDNF and RET expression in pancreatic cancer cells. </w:t>
      </w:r>
      <w:r w:rsidRPr="004C6CA7">
        <w:rPr>
          <w:rFonts w:eastAsia="Calibri" w:cs="Times New Roman"/>
          <w:i/>
          <w:szCs w:val="24"/>
        </w:rPr>
        <w:t>Molecular and Cellular Biochemistry</w:t>
      </w:r>
      <w:r w:rsidRPr="004C6CA7">
        <w:rPr>
          <w:rFonts w:eastAsia="Calibri" w:cs="Times New Roman"/>
          <w:szCs w:val="24"/>
        </w:rPr>
        <w:t xml:space="preserve"> 2011, 347(1–2), 95–101.</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514" w:history="1">
        <w:r w:rsidR="006F53C9" w:rsidRPr="004C6CA7">
          <w:rPr>
            <w:rFonts w:eastAsiaTheme="majorEastAsia" w:cs="Times New Roman"/>
            <w:b/>
            <w:bCs/>
            <w:szCs w:val="24"/>
          </w:rPr>
          <w:t>Liu H</w:t>
        </w:r>
      </w:hyperlink>
      <w:r w:rsidR="006F53C9" w:rsidRPr="004C6CA7">
        <w:rPr>
          <w:rFonts w:eastAsiaTheme="majorEastAsia" w:cs="Times New Roman"/>
          <w:b/>
          <w:bCs/>
          <w:szCs w:val="24"/>
        </w:rPr>
        <w:t>, </w:t>
      </w:r>
      <w:hyperlink r:id="rId515" w:history="1">
        <w:r w:rsidR="006F53C9" w:rsidRPr="004C6CA7">
          <w:rPr>
            <w:rFonts w:eastAsiaTheme="majorEastAsia" w:cs="Times New Roman"/>
            <w:b/>
            <w:bCs/>
            <w:szCs w:val="24"/>
          </w:rPr>
          <w:t>Hu YP</w:t>
        </w:r>
      </w:hyperlink>
      <w:r w:rsidR="006F53C9" w:rsidRPr="004C6CA7">
        <w:rPr>
          <w:rFonts w:eastAsiaTheme="majorEastAsia" w:cs="Times New Roman"/>
          <w:b/>
          <w:bCs/>
          <w:szCs w:val="24"/>
        </w:rPr>
        <w:t>, </w:t>
      </w:r>
      <w:hyperlink r:id="rId516" w:history="1">
        <w:r w:rsidR="006F53C9" w:rsidRPr="004C6CA7">
          <w:rPr>
            <w:rFonts w:eastAsiaTheme="majorEastAsia" w:cs="Times New Roman"/>
            <w:b/>
            <w:bCs/>
            <w:szCs w:val="24"/>
          </w:rPr>
          <w:t>Savaraj N</w:t>
        </w:r>
      </w:hyperlink>
      <w:r w:rsidR="006F53C9" w:rsidRPr="004C6CA7">
        <w:rPr>
          <w:rFonts w:eastAsiaTheme="majorEastAsia" w:cs="Times New Roman"/>
          <w:b/>
          <w:bCs/>
          <w:szCs w:val="24"/>
        </w:rPr>
        <w:t>, </w:t>
      </w:r>
      <w:hyperlink r:id="rId517" w:history="1">
        <w:r w:rsidR="006F53C9" w:rsidRPr="004C6CA7">
          <w:rPr>
            <w:rFonts w:eastAsiaTheme="majorEastAsia" w:cs="Times New Roman"/>
            <w:b/>
            <w:bCs/>
            <w:szCs w:val="24"/>
          </w:rPr>
          <w:t>Priebe W</w:t>
        </w:r>
      </w:hyperlink>
      <w:r w:rsidR="006F53C9" w:rsidRPr="004C6CA7">
        <w:rPr>
          <w:rFonts w:eastAsiaTheme="majorEastAsia" w:cs="Times New Roman"/>
          <w:b/>
          <w:bCs/>
          <w:szCs w:val="24"/>
        </w:rPr>
        <w:t>, </w:t>
      </w:r>
      <w:hyperlink r:id="rId518" w:history="1">
        <w:r w:rsidR="006F53C9" w:rsidRPr="004C6CA7">
          <w:rPr>
            <w:rFonts w:eastAsiaTheme="majorEastAsia" w:cs="Times New Roman"/>
            <w:b/>
            <w:bCs/>
            <w:szCs w:val="24"/>
          </w:rPr>
          <w:t>Lampidis TJ</w:t>
        </w:r>
      </w:hyperlink>
      <w:r w:rsidR="006F53C9" w:rsidRPr="004C6CA7">
        <w:rPr>
          <w:rFonts w:eastAsiaTheme="majorEastAsia" w:cs="Times New Roman"/>
          <w:b/>
          <w:bCs/>
          <w:szCs w:val="24"/>
        </w:rPr>
        <w:t>.</w:t>
      </w:r>
      <w:r w:rsidR="006F53C9" w:rsidRPr="004C6CA7">
        <w:rPr>
          <w:rFonts w:eastAsia="Calibri" w:cs="Times New Roman"/>
          <w:szCs w:val="24"/>
        </w:rPr>
        <w:t xml:space="preserve"> Hypersensitization of tumor cells to glycolytic inhibitors. </w:t>
      </w:r>
      <w:r w:rsidR="006F53C9" w:rsidRPr="004C6CA7">
        <w:rPr>
          <w:rFonts w:eastAsia="Calibri" w:cs="Times New Roman"/>
          <w:i/>
          <w:szCs w:val="24"/>
        </w:rPr>
        <w:t xml:space="preserve">Biochemistry </w:t>
      </w:r>
      <w:r w:rsidR="006F53C9" w:rsidRPr="004C6CA7">
        <w:rPr>
          <w:rFonts w:eastAsia="Calibri" w:cs="Times New Roman"/>
          <w:szCs w:val="24"/>
        </w:rPr>
        <w:t>2001, 40(18), 5542-5547.</w:t>
      </w:r>
    </w:p>
    <w:p w:rsidR="006F53C9" w:rsidRDefault="0037177D" w:rsidP="004B5084">
      <w:pPr>
        <w:spacing w:before="120" w:after="240"/>
        <w:ind w:firstLine="0"/>
        <w:rPr>
          <w:rFonts w:eastAsia="Calibri" w:cs="Times New Roman"/>
          <w:szCs w:val="24"/>
        </w:rPr>
      </w:pPr>
      <w:hyperlink r:id="rId519" w:history="1">
        <w:r w:rsidR="006F53C9" w:rsidRPr="004C6CA7">
          <w:rPr>
            <w:b/>
            <w:bCs/>
            <w:szCs w:val="24"/>
          </w:rPr>
          <w:t>Liu T</w:t>
        </w:r>
      </w:hyperlink>
      <w:r w:rsidR="006F53C9" w:rsidRPr="004C6CA7">
        <w:rPr>
          <w:b/>
          <w:bCs/>
          <w:szCs w:val="24"/>
        </w:rPr>
        <w:t>, </w:t>
      </w:r>
      <w:hyperlink r:id="rId520" w:history="1">
        <w:r w:rsidR="006F53C9" w:rsidRPr="004C6CA7">
          <w:rPr>
            <w:b/>
            <w:bCs/>
            <w:szCs w:val="24"/>
          </w:rPr>
          <w:t>Yin H</w:t>
        </w:r>
      </w:hyperlink>
      <w:r w:rsidR="006F53C9" w:rsidRPr="004C6CA7">
        <w:rPr>
          <w:b/>
          <w:bCs/>
          <w:szCs w:val="24"/>
        </w:rPr>
        <w:t>.</w:t>
      </w:r>
      <w:r w:rsidR="006F53C9" w:rsidRPr="004C6CA7">
        <w:rPr>
          <w:rFonts w:asciiTheme="majorHAnsi" w:hAnsiTheme="majorHAnsi"/>
          <w:bCs/>
          <w:color w:val="365F91" w:themeColor="accent1" w:themeShade="BF"/>
          <w:sz w:val="28"/>
          <w:szCs w:val="28"/>
        </w:rPr>
        <w:t xml:space="preserve"> </w:t>
      </w:r>
      <w:r w:rsidR="006F53C9" w:rsidRPr="004C6CA7">
        <w:rPr>
          <w:rFonts w:eastAsia="Calibri" w:cs="Times New Roman"/>
          <w:szCs w:val="24"/>
        </w:rPr>
        <w:t xml:space="preserve">PDK1 promotes tumor cell proliferation and migration by enhancing the Warburg effect in non-small cell lung cancer. </w:t>
      </w:r>
      <w:r w:rsidR="006F53C9" w:rsidRPr="004C6CA7">
        <w:rPr>
          <w:rFonts w:eastAsia="Calibri" w:cs="Times New Roman"/>
          <w:i/>
          <w:szCs w:val="24"/>
        </w:rPr>
        <w:t>Oncology Reports</w:t>
      </w:r>
      <w:r w:rsidR="006F53C9" w:rsidRPr="004C6CA7">
        <w:rPr>
          <w:rFonts w:eastAsia="Calibri" w:cs="Times New Roman"/>
          <w:szCs w:val="24"/>
        </w:rPr>
        <w:t xml:space="preserve"> 2017, 37(1), 193-200. </w:t>
      </w:r>
    </w:p>
    <w:p w:rsidR="006F53C9" w:rsidRDefault="006F53C9" w:rsidP="004B5084">
      <w:pPr>
        <w:spacing w:before="120" w:after="240"/>
        <w:ind w:firstLine="0"/>
        <w:rPr>
          <w:rFonts w:eastAsia="Calibri" w:cs="Times New Roman"/>
          <w:szCs w:val="24"/>
        </w:rPr>
      </w:pPr>
      <w:r w:rsidRPr="004C6CA7">
        <w:rPr>
          <w:rFonts w:eastAsiaTheme="majorEastAsia" w:cs="Times New Roman"/>
          <w:b/>
          <w:bCs/>
          <w:szCs w:val="24"/>
        </w:rPr>
        <w:t>Liu WR, Tian MX, Yang LX,  </w:t>
      </w:r>
      <w:hyperlink r:id="rId521" w:history="1">
        <w:r w:rsidRPr="004C6CA7">
          <w:rPr>
            <w:rFonts w:eastAsiaTheme="majorEastAsia" w:cs="Times New Roman"/>
            <w:b/>
            <w:bCs/>
            <w:szCs w:val="24"/>
          </w:rPr>
          <w:t>Lin YL</w:t>
        </w:r>
      </w:hyperlink>
      <w:r w:rsidRPr="004C6CA7">
        <w:rPr>
          <w:rFonts w:eastAsiaTheme="majorEastAsia" w:cs="Times New Roman"/>
          <w:b/>
          <w:bCs/>
          <w:szCs w:val="24"/>
        </w:rPr>
        <w:t>, </w:t>
      </w:r>
      <w:hyperlink r:id="rId522" w:history="1">
        <w:r w:rsidRPr="004C6CA7">
          <w:rPr>
            <w:rFonts w:eastAsiaTheme="majorEastAsia" w:cs="Times New Roman"/>
            <w:b/>
            <w:bCs/>
            <w:szCs w:val="24"/>
          </w:rPr>
          <w:t>Jin L</w:t>
        </w:r>
      </w:hyperlink>
      <w:r w:rsidRPr="004C6CA7">
        <w:rPr>
          <w:rFonts w:eastAsiaTheme="majorEastAsia" w:cs="Times New Roman"/>
          <w:b/>
          <w:bCs/>
          <w:szCs w:val="24"/>
        </w:rPr>
        <w:t>, </w:t>
      </w:r>
      <w:hyperlink r:id="rId523" w:history="1">
        <w:r w:rsidRPr="004C6CA7">
          <w:rPr>
            <w:rFonts w:eastAsiaTheme="majorEastAsia" w:cs="Times New Roman"/>
            <w:b/>
            <w:bCs/>
            <w:szCs w:val="24"/>
          </w:rPr>
          <w:t>Ding ZB</w:t>
        </w:r>
      </w:hyperlink>
      <w:r w:rsidRPr="004C6CA7">
        <w:rPr>
          <w:rFonts w:eastAsiaTheme="majorEastAsia" w:cs="Times New Roman"/>
          <w:b/>
          <w:bCs/>
          <w:szCs w:val="24"/>
        </w:rPr>
        <w:t>, </w:t>
      </w:r>
      <w:hyperlink r:id="rId524" w:history="1">
        <w:r w:rsidRPr="004C6CA7">
          <w:rPr>
            <w:rFonts w:eastAsiaTheme="majorEastAsia" w:cs="Times New Roman"/>
            <w:b/>
            <w:bCs/>
            <w:szCs w:val="24"/>
          </w:rPr>
          <w:t>Shen YH</w:t>
        </w:r>
      </w:hyperlink>
      <w:r w:rsidRPr="004C6CA7">
        <w:rPr>
          <w:rFonts w:eastAsiaTheme="majorEastAsia" w:cs="Times New Roman"/>
          <w:b/>
          <w:bCs/>
          <w:szCs w:val="24"/>
        </w:rPr>
        <w:t>, </w:t>
      </w:r>
      <w:hyperlink r:id="rId525" w:history="1">
        <w:r w:rsidRPr="004C6CA7">
          <w:rPr>
            <w:rFonts w:eastAsiaTheme="majorEastAsia" w:cs="Times New Roman"/>
            <w:b/>
            <w:bCs/>
            <w:szCs w:val="24"/>
          </w:rPr>
          <w:t>Peng YF</w:t>
        </w:r>
      </w:hyperlink>
      <w:r w:rsidRPr="004C6CA7">
        <w:rPr>
          <w:rFonts w:eastAsiaTheme="majorEastAsia" w:cs="Times New Roman"/>
          <w:b/>
          <w:bCs/>
          <w:szCs w:val="24"/>
        </w:rPr>
        <w:t>, </w:t>
      </w:r>
      <w:hyperlink r:id="rId526" w:history="1">
        <w:r w:rsidRPr="004C6CA7">
          <w:rPr>
            <w:rFonts w:eastAsiaTheme="majorEastAsia" w:cs="Times New Roman"/>
            <w:b/>
            <w:bCs/>
            <w:szCs w:val="24"/>
          </w:rPr>
          <w:t>Gao DM</w:t>
        </w:r>
      </w:hyperlink>
      <w:r w:rsidRPr="004C6CA7">
        <w:rPr>
          <w:rFonts w:eastAsiaTheme="majorEastAsia" w:cs="Times New Roman"/>
          <w:b/>
          <w:bCs/>
          <w:szCs w:val="24"/>
        </w:rPr>
        <w:t>, </w:t>
      </w:r>
      <w:hyperlink r:id="rId527" w:history="1">
        <w:r w:rsidRPr="004C6CA7">
          <w:rPr>
            <w:rFonts w:eastAsiaTheme="majorEastAsia" w:cs="Times New Roman"/>
            <w:b/>
            <w:bCs/>
            <w:szCs w:val="24"/>
          </w:rPr>
          <w:t>Zhou J</w:t>
        </w:r>
      </w:hyperlink>
      <w:r w:rsidRPr="004C6CA7">
        <w:rPr>
          <w:rFonts w:eastAsiaTheme="majorEastAsia" w:cs="Times New Roman"/>
          <w:b/>
          <w:bCs/>
          <w:szCs w:val="24"/>
        </w:rPr>
        <w:t>, </w:t>
      </w:r>
      <w:hyperlink r:id="rId528" w:history="1">
        <w:r w:rsidRPr="004C6CA7">
          <w:rPr>
            <w:rFonts w:eastAsiaTheme="majorEastAsia" w:cs="Times New Roman"/>
            <w:b/>
            <w:bCs/>
            <w:szCs w:val="24"/>
          </w:rPr>
          <w:t>Qiu SJ</w:t>
        </w:r>
      </w:hyperlink>
      <w:r w:rsidRPr="004C6CA7">
        <w:rPr>
          <w:rFonts w:eastAsiaTheme="majorEastAsia" w:cs="Times New Roman"/>
          <w:b/>
          <w:bCs/>
          <w:szCs w:val="24"/>
        </w:rPr>
        <w:t>, </w:t>
      </w:r>
      <w:hyperlink r:id="rId529" w:history="1">
        <w:r w:rsidRPr="004C6CA7">
          <w:rPr>
            <w:rFonts w:eastAsiaTheme="majorEastAsia" w:cs="Times New Roman"/>
            <w:b/>
            <w:bCs/>
            <w:szCs w:val="24"/>
          </w:rPr>
          <w:t>Dai Z</w:t>
        </w:r>
      </w:hyperlink>
      <w:r w:rsidRPr="004C6CA7">
        <w:rPr>
          <w:rFonts w:eastAsiaTheme="majorEastAsia" w:cs="Times New Roman"/>
          <w:b/>
          <w:bCs/>
          <w:szCs w:val="24"/>
        </w:rPr>
        <w:t>, </w:t>
      </w:r>
      <w:hyperlink r:id="rId530" w:history="1">
        <w:r w:rsidRPr="004C6CA7">
          <w:rPr>
            <w:rFonts w:eastAsiaTheme="majorEastAsia" w:cs="Times New Roman"/>
            <w:b/>
            <w:bCs/>
            <w:szCs w:val="24"/>
          </w:rPr>
          <w:t>He R</w:t>
        </w:r>
      </w:hyperlink>
      <w:r w:rsidRPr="004C6CA7">
        <w:rPr>
          <w:rFonts w:eastAsiaTheme="majorEastAsia" w:cs="Times New Roman"/>
          <w:b/>
          <w:bCs/>
          <w:szCs w:val="24"/>
        </w:rPr>
        <w:t>, </w:t>
      </w:r>
      <w:hyperlink r:id="rId531" w:history="1">
        <w:r w:rsidRPr="004C6CA7">
          <w:rPr>
            <w:rFonts w:eastAsiaTheme="majorEastAsia" w:cs="Times New Roman"/>
            <w:b/>
            <w:bCs/>
            <w:szCs w:val="24"/>
          </w:rPr>
          <w:t>Fan J</w:t>
        </w:r>
      </w:hyperlink>
      <w:r w:rsidRPr="004C6CA7">
        <w:rPr>
          <w:rFonts w:eastAsiaTheme="majorEastAsia" w:cs="Times New Roman"/>
          <w:b/>
          <w:bCs/>
          <w:szCs w:val="24"/>
        </w:rPr>
        <w:t>, </w:t>
      </w:r>
      <w:hyperlink r:id="rId532" w:history="1">
        <w:r w:rsidRPr="004C6CA7">
          <w:rPr>
            <w:rFonts w:eastAsiaTheme="majorEastAsia" w:cs="Times New Roman"/>
            <w:b/>
            <w:bCs/>
            <w:szCs w:val="24"/>
          </w:rPr>
          <w:t>Shi YH</w:t>
        </w:r>
      </w:hyperlink>
      <w:r w:rsidRPr="004C6CA7">
        <w:rPr>
          <w:rFonts w:eastAsiaTheme="majorEastAsia" w:cs="Times New Roman"/>
          <w:b/>
          <w:bCs/>
          <w:szCs w:val="24"/>
        </w:rPr>
        <w:t>.</w:t>
      </w:r>
      <w:r w:rsidRPr="004C6CA7">
        <w:rPr>
          <w:rFonts w:eastAsia="Calibri" w:cs="Times New Roman"/>
          <w:szCs w:val="24"/>
        </w:rPr>
        <w:t xml:space="preserve"> PKM2 promotes metastasis by recruiting myeloid-derived suppressor cells and indicates poor prognosis for hepatocellular carcinoma. </w:t>
      </w:r>
      <w:r w:rsidRPr="004C6CA7">
        <w:rPr>
          <w:rFonts w:eastAsia="Calibri" w:cs="Times New Roman"/>
          <w:i/>
          <w:szCs w:val="24"/>
        </w:rPr>
        <w:t>Oncotarget</w:t>
      </w:r>
      <w:r w:rsidRPr="004C6CA7">
        <w:rPr>
          <w:rFonts w:eastAsia="Calibri" w:cs="Times New Roman"/>
          <w:szCs w:val="24"/>
        </w:rPr>
        <w:t xml:space="preserve"> 2015, 6, 846-861.</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533" w:history="1">
        <w:r w:rsidR="006F53C9" w:rsidRPr="004C6CA7">
          <w:rPr>
            <w:rFonts w:eastAsia="Calibri" w:cs="Times New Roman"/>
            <w:b/>
            <w:szCs w:val="24"/>
          </w:rPr>
          <w:t>Liu XS</w:t>
        </w:r>
      </w:hyperlink>
      <w:r w:rsidR="006F53C9" w:rsidRPr="004C6CA7">
        <w:rPr>
          <w:rFonts w:eastAsia="Calibri" w:cs="Times New Roman"/>
          <w:b/>
          <w:szCs w:val="24"/>
        </w:rPr>
        <w:t>, </w:t>
      </w:r>
      <w:hyperlink r:id="rId534" w:history="1">
        <w:r w:rsidR="006F53C9" w:rsidRPr="004C6CA7">
          <w:rPr>
            <w:rFonts w:eastAsia="Calibri" w:cs="Times New Roman"/>
            <w:b/>
            <w:szCs w:val="24"/>
          </w:rPr>
          <w:t>Little JB</w:t>
        </w:r>
      </w:hyperlink>
      <w:r w:rsidR="006F53C9" w:rsidRPr="004C6CA7">
        <w:rPr>
          <w:rFonts w:eastAsia="Calibri" w:cs="Times New Roman"/>
          <w:b/>
          <w:szCs w:val="24"/>
        </w:rPr>
        <w:t>, </w:t>
      </w:r>
      <w:hyperlink r:id="rId535" w:history="1">
        <w:r w:rsidR="006F53C9" w:rsidRPr="004C6CA7">
          <w:rPr>
            <w:rFonts w:eastAsia="Calibri" w:cs="Times New Roman"/>
            <w:b/>
            <w:szCs w:val="24"/>
          </w:rPr>
          <w:t>Yuan ZM</w:t>
        </w:r>
      </w:hyperlink>
      <w:r w:rsidR="006F53C9" w:rsidRPr="004C6CA7">
        <w:rPr>
          <w:rFonts w:eastAsia="Calibri" w:cs="Times New Roman"/>
          <w:b/>
          <w:szCs w:val="24"/>
        </w:rPr>
        <w:t xml:space="preserve">. </w:t>
      </w:r>
      <w:r w:rsidR="006F53C9" w:rsidRPr="004C6CA7">
        <w:rPr>
          <w:rFonts w:eastAsia="Calibri" w:cs="Times New Roman"/>
          <w:szCs w:val="24"/>
        </w:rPr>
        <w:t xml:space="preserve">Glycolytic metabolism influences global chromatin structure. </w:t>
      </w:r>
      <w:r w:rsidR="006F53C9" w:rsidRPr="004C6CA7">
        <w:rPr>
          <w:rFonts w:eastAsia="Calibri" w:cs="Times New Roman"/>
          <w:i/>
          <w:szCs w:val="24"/>
        </w:rPr>
        <w:t xml:space="preserve">Oncotarget </w:t>
      </w:r>
      <w:r w:rsidR="006F53C9" w:rsidRPr="004C6CA7">
        <w:rPr>
          <w:rFonts w:eastAsia="Calibri" w:cs="Times New Roman"/>
          <w:szCs w:val="24"/>
        </w:rPr>
        <w:t>2015, 6 (6),4214-4225.</w:t>
      </w:r>
    </w:p>
    <w:p w:rsidR="006F53C9" w:rsidRPr="004C6CA7" w:rsidRDefault="006F53C9" w:rsidP="004B5084">
      <w:pPr>
        <w:keepNext/>
        <w:keepLines/>
        <w:spacing w:before="120" w:after="240"/>
        <w:ind w:firstLine="0"/>
        <w:outlineLvl w:val="0"/>
        <w:rPr>
          <w:rFonts w:eastAsia="Calibri" w:cs="Times New Roman"/>
          <w:szCs w:val="24"/>
        </w:rPr>
      </w:pPr>
      <w:r w:rsidRPr="004C6CA7">
        <w:rPr>
          <w:rFonts w:eastAsia="Calibri" w:cs="Times New Roman"/>
          <w:b/>
          <w:szCs w:val="24"/>
        </w:rPr>
        <w:t>Liu Y, Huo Y, Wang D, Tai Y, Lie J, Pang D, Zhang Y, Zhao W, Du N.</w:t>
      </w:r>
      <w:r w:rsidRPr="004C6CA7">
        <w:rPr>
          <w:rFonts w:eastAsiaTheme="majorEastAsia" w:cstheme="majorBidi"/>
          <w:bCs/>
          <w:color w:val="365F91" w:themeColor="accent1" w:themeShade="BF"/>
          <w:szCs w:val="24"/>
        </w:rPr>
        <w:t xml:space="preserve"> </w:t>
      </w:r>
      <w:r w:rsidRPr="004C6CA7">
        <w:rPr>
          <w:rFonts w:eastAsia="Calibri" w:cs="Times New Roman"/>
          <w:szCs w:val="24"/>
        </w:rPr>
        <w:t xml:space="preserve">MiR-216a-5p/Hexokinase 2 axis regulates uveal melanoma growth through modulation of Warburg effect. </w:t>
      </w:r>
      <w:r w:rsidRPr="004C6CA7">
        <w:rPr>
          <w:rFonts w:eastAsia="Calibri" w:cs="Times New Roman"/>
          <w:i/>
          <w:szCs w:val="24"/>
        </w:rPr>
        <w:t>Biochemical and Biophysical Research Communications</w:t>
      </w:r>
      <w:r w:rsidRPr="004C6CA7">
        <w:rPr>
          <w:rFonts w:eastAsia="Calibri" w:cs="Times New Roman"/>
          <w:szCs w:val="24"/>
        </w:rPr>
        <w:t xml:space="preserve"> 2018, 501, 885-892.  </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536" w:history="1">
        <w:r w:rsidR="006F53C9" w:rsidRPr="004C6CA7">
          <w:rPr>
            <w:b/>
            <w:szCs w:val="24"/>
          </w:rPr>
          <w:t>Liu Z</w:t>
        </w:r>
      </w:hyperlink>
      <w:r w:rsidR="006F53C9" w:rsidRPr="004C6CA7">
        <w:rPr>
          <w:b/>
          <w:szCs w:val="24"/>
        </w:rPr>
        <w:t>, </w:t>
      </w:r>
      <w:hyperlink r:id="rId537" w:history="1">
        <w:r w:rsidR="006F53C9" w:rsidRPr="004C6CA7">
          <w:rPr>
            <w:b/>
            <w:szCs w:val="24"/>
          </w:rPr>
          <w:t>Jia X</w:t>
        </w:r>
      </w:hyperlink>
      <w:r w:rsidR="006F53C9" w:rsidRPr="004C6CA7">
        <w:rPr>
          <w:b/>
          <w:szCs w:val="24"/>
        </w:rPr>
        <w:t>, </w:t>
      </w:r>
      <w:hyperlink r:id="rId538" w:history="1">
        <w:r w:rsidR="006F53C9" w:rsidRPr="004C6CA7">
          <w:rPr>
            <w:b/>
            <w:szCs w:val="24"/>
          </w:rPr>
          <w:t>Duan Y</w:t>
        </w:r>
      </w:hyperlink>
      <w:r w:rsidR="006F53C9" w:rsidRPr="004C6CA7">
        <w:rPr>
          <w:b/>
          <w:szCs w:val="24"/>
        </w:rPr>
        <w:t>, </w:t>
      </w:r>
      <w:hyperlink r:id="rId539" w:history="1">
        <w:r w:rsidR="006F53C9" w:rsidRPr="004C6CA7">
          <w:rPr>
            <w:b/>
            <w:szCs w:val="24"/>
          </w:rPr>
          <w:t>Xiao H</w:t>
        </w:r>
      </w:hyperlink>
      <w:r w:rsidR="006F53C9" w:rsidRPr="004C6CA7">
        <w:rPr>
          <w:b/>
          <w:szCs w:val="24"/>
        </w:rPr>
        <w:t>, </w:t>
      </w:r>
      <w:hyperlink r:id="rId540" w:history="1">
        <w:r w:rsidR="006F53C9" w:rsidRPr="004C6CA7">
          <w:rPr>
            <w:b/>
            <w:szCs w:val="24"/>
          </w:rPr>
          <w:t>Sundqvist KG</w:t>
        </w:r>
      </w:hyperlink>
      <w:r w:rsidR="006F53C9" w:rsidRPr="004C6CA7">
        <w:rPr>
          <w:b/>
          <w:szCs w:val="24"/>
        </w:rPr>
        <w:t>, </w:t>
      </w:r>
      <w:hyperlink r:id="rId541" w:history="1">
        <w:r w:rsidR="006F53C9" w:rsidRPr="004C6CA7">
          <w:rPr>
            <w:b/>
            <w:szCs w:val="24"/>
          </w:rPr>
          <w:t>Permert J</w:t>
        </w:r>
      </w:hyperlink>
      <w:r w:rsidR="006F53C9" w:rsidRPr="004C6CA7">
        <w:rPr>
          <w:b/>
          <w:szCs w:val="24"/>
        </w:rPr>
        <w:t>, </w:t>
      </w:r>
      <w:hyperlink r:id="rId542" w:history="1">
        <w:r w:rsidR="006F53C9" w:rsidRPr="004C6CA7">
          <w:rPr>
            <w:b/>
            <w:szCs w:val="24"/>
          </w:rPr>
          <w:t>Wang F</w:t>
        </w:r>
      </w:hyperlink>
      <w:r w:rsidR="006F53C9" w:rsidRPr="004C6CA7">
        <w:rPr>
          <w:b/>
          <w:szCs w:val="24"/>
        </w:rPr>
        <w:t xml:space="preserve">. </w:t>
      </w:r>
      <w:r w:rsidR="006F53C9" w:rsidRPr="004C6CA7">
        <w:rPr>
          <w:rFonts w:eastAsia="Calibri" w:cs="Times New Roman"/>
          <w:szCs w:val="24"/>
        </w:rPr>
        <w:t xml:space="preserve">Excess glucose induces hypoxia-inducible factor-1α in pancreatic cancer cells and stimulates glucose metabolism and cell migration. </w:t>
      </w:r>
      <w:r w:rsidR="006F53C9" w:rsidRPr="004C6CA7">
        <w:rPr>
          <w:rFonts w:eastAsia="Calibri" w:cs="Times New Roman"/>
          <w:i/>
          <w:szCs w:val="24"/>
        </w:rPr>
        <w:t>Cancer Biology&amp;Therapy</w:t>
      </w:r>
      <w:r w:rsidR="006F53C9" w:rsidRPr="004C6CA7">
        <w:rPr>
          <w:rFonts w:eastAsia="Calibri" w:cs="Times New Roman"/>
          <w:szCs w:val="24"/>
        </w:rPr>
        <w:t xml:space="preserve"> 2013, 14 (5), 428-435.</w:t>
      </w:r>
    </w:p>
    <w:p w:rsidR="006F53C9" w:rsidRPr="006F53C9" w:rsidRDefault="0037177D" w:rsidP="004B5084">
      <w:pPr>
        <w:keepNext/>
        <w:keepLines/>
        <w:shd w:val="clear" w:color="auto" w:fill="FFFFFF"/>
        <w:spacing w:before="120" w:after="240"/>
        <w:ind w:firstLine="0"/>
        <w:outlineLvl w:val="0"/>
        <w:rPr>
          <w:rFonts w:eastAsia="Calibri" w:cs="Times New Roman"/>
          <w:szCs w:val="24"/>
        </w:rPr>
      </w:pPr>
      <w:hyperlink r:id="rId543" w:history="1">
        <w:r w:rsidR="006F53C9" w:rsidRPr="006F53C9">
          <w:rPr>
            <w:b/>
            <w:szCs w:val="24"/>
          </w:rPr>
          <w:t>Liu Z</w:t>
        </w:r>
      </w:hyperlink>
      <w:r w:rsidR="006F53C9" w:rsidRPr="006F53C9">
        <w:rPr>
          <w:b/>
          <w:szCs w:val="24"/>
        </w:rPr>
        <w:t>, </w:t>
      </w:r>
      <w:hyperlink r:id="rId544" w:history="1">
        <w:r w:rsidR="006F53C9" w:rsidRPr="006F53C9">
          <w:rPr>
            <w:b/>
            <w:szCs w:val="24"/>
          </w:rPr>
          <w:t>Jia X</w:t>
        </w:r>
      </w:hyperlink>
      <w:r w:rsidR="006F53C9" w:rsidRPr="006F53C9">
        <w:rPr>
          <w:b/>
          <w:szCs w:val="24"/>
        </w:rPr>
        <w:t>, </w:t>
      </w:r>
      <w:hyperlink r:id="rId545" w:history="1">
        <w:r w:rsidR="006F53C9" w:rsidRPr="006F53C9">
          <w:rPr>
            <w:b/>
            <w:szCs w:val="24"/>
          </w:rPr>
          <w:t>Duan Y</w:t>
        </w:r>
      </w:hyperlink>
      <w:r w:rsidR="006F53C9" w:rsidRPr="006F53C9">
        <w:rPr>
          <w:b/>
          <w:szCs w:val="24"/>
        </w:rPr>
        <w:t>, </w:t>
      </w:r>
      <w:hyperlink r:id="rId546" w:history="1">
        <w:r w:rsidR="006F53C9" w:rsidRPr="006F53C9">
          <w:rPr>
            <w:b/>
            <w:szCs w:val="24"/>
          </w:rPr>
          <w:t>Xiao H</w:t>
        </w:r>
      </w:hyperlink>
      <w:r w:rsidR="006F53C9" w:rsidRPr="006F53C9">
        <w:rPr>
          <w:b/>
          <w:szCs w:val="24"/>
        </w:rPr>
        <w:t>, </w:t>
      </w:r>
      <w:hyperlink r:id="rId547" w:history="1">
        <w:r w:rsidR="006F53C9" w:rsidRPr="006F53C9">
          <w:rPr>
            <w:b/>
            <w:szCs w:val="24"/>
          </w:rPr>
          <w:t>Sundqvist KG</w:t>
        </w:r>
      </w:hyperlink>
      <w:r w:rsidR="006F53C9" w:rsidRPr="006F53C9">
        <w:rPr>
          <w:b/>
          <w:szCs w:val="24"/>
        </w:rPr>
        <w:t>, </w:t>
      </w:r>
      <w:hyperlink r:id="rId548" w:history="1">
        <w:r w:rsidR="006F53C9" w:rsidRPr="006F53C9">
          <w:rPr>
            <w:b/>
            <w:szCs w:val="24"/>
          </w:rPr>
          <w:t>Permert J</w:t>
        </w:r>
      </w:hyperlink>
      <w:r w:rsidR="006F53C9" w:rsidRPr="006F53C9">
        <w:rPr>
          <w:b/>
          <w:szCs w:val="24"/>
        </w:rPr>
        <w:t>, </w:t>
      </w:r>
      <w:hyperlink r:id="rId549" w:history="1">
        <w:r w:rsidR="006F53C9" w:rsidRPr="006F53C9">
          <w:rPr>
            <w:b/>
            <w:szCs w:val="24"/>
          </w:rPr>
          <w:t>Wang F</w:t>
        </w:r>
      </w:hyperlink>
      <w:r w:rsidR="006F53C9" w:rsidRPr="006F53C9">
        <w:rPr>
          <w:b/>
          <w:szCs w:val="24"/>
        </w:rPr>
        <w:t xml:space="preserve">. </w:t>
      </w:r>
      <w:r w:rsidR="006F53C9" w:rsidRPr="006F53C9">
        <w:rPr>
          <w:rFonts w:eastAsia="Calibri" w:cs="Times New Roman"/>
          <w:szCs w:val="24"/>
        </w:rPr>
        <w:t xml:space="preserve">Excess glucose induces hypoxia-inducible factor-1α in pancreatic cancer cells and stimulates glucose metabolism and cell migration. </w:t>
      </w:r>
      <w:r w:rsidR="006F53C9" w:rsidRPr="006F53C9">
        <w:rPr>
          <w:rFonts w:eastAsia="Calibri" w:cs="Times New Roman"/>
          <w:i/>
          <w:szCs w:val="24"/>
        </w:rPr>
        <w:t>Cancer Biology&amp;Therapy</w:t>
      </w:r>
      <w:r w:rsidR="006F53C9" w:rsidRPr="006F53C9">
        <w:rPr>
          <w:rFonts w:eastAsia="Calibri" w:cs="Times New Roman"/>
          <w:szCs w:val="24"/>
        </w:rPr>
        <w:t xml:space="preserve"> 2013, 14 (5), 428-435.</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Locasale JW, Cantley LC.</w:t>
      </w:r>
      <w:r w:rsidRPr="004C6CA7">
        <w:rPr>
          <w:rFonts w:eastAsia="Calibri" w:cs="Times New Roman"/>
          <w:szCs w:val="24"/>
        </w:rPr>
        <w:t xml:space="preserve"> Altered metabolism in cancer. </w:t>
      </w:r>
      <w:r w:rsidRPr="004C6CA7">
        <w:rPr>
          <w:rFonts w:eastAsia="Calibri" w:cs="Times New Roman"/>
          <w:i/>
          <w:szCs w:val="24"/>
        </w:rPr>
        <w:t>BMC Biology</w:t>
      </w:r>
      <w:r w:rsidRPr="004C6CA7">
        <w:rPr>
          <w:rFonts w:eastAsia="Calibri" w:cs="Times New Roman"/>
          <w:szCs w:val="24"/>
        </w:rPr>
        <w:t xml:space="preserve"> 2010, 8, 88. </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Locasale JW.</w:t>
      </w:r>
      <w:r w:rsidRPr="004C6CA7">
        <w:rPr>
          <w:rFonts w:eastAsia="Calibri" w:cs="Times New Roman"/>
          <w:szCs w:val="24"/>
        </w:rPr>
        <w:t xml:space="preserve"> New concepts in feedback regulation of glucose metabolism. </w:t>
      </w:r>
      <w:r w:rsidRPr="004C6CA7">
        <w:rPr>
          <w:rFonts w:eastAsia="Calibri" w:cs="Times New Roman"/>
          <w:i/>
          <w:szCs w:val="24"/>
        </w:rPr>
        <w:t>Current Opinion in Systems Biology</w:t>
      </w:r>
      <w:r w:rsidRPr="004C6CA7">
        <w:rPr>
          <w:rFonts w:eastAsia="Calibri" w:cs="Times New Roman"/>
          <w:szCs w:val="24"/>
        </w:rPr>
        <w:t xml:space="preserve"> 2018, 8, 32–38.</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Lu J, Tan M, Cai Q.</w:t>
      </w:r>
      <w:r w:rsidRPr="004C6CA7">
        <w:rPr>
          <w:rFonts w:eastAsia="Calibri" w:cs="Times New Roman"/>
          <w:szCs w:val="24"/>
        </w:rPr>
        <w:t xml:space="preserve"> The Warburg effect in tumor progression: Mitochondrial oxidativemetabolism as an anti-metastasis mechanism. </w:t>
      </w:r>
      <w:r w:rsidRPr="004C6CA7">
        <w:rPr>
          <w:rFonts w:eastAsia="Calibri" w:cs="Times New Roman"/>
          <w:i/>
          <w:szCs w:val="24"/>
        </w:rPr>
        <w:t>Cancer Letters</w:t>
      </w:r>
      <w:r w:rsidRPr="004C6CA7">
        <w:rPr>
          <w:rFonts w:eastAsia="Calibri" w:cs="Times New Roman"/>
          <w:szCs w:val="24"/>
        </w:rPr>
        <w:t xml:space="preserve"> 2015, 356, 156-164. </w:t>
      </w:r>
    </w:p>
    <w:p w:rsidR="006F53C9" w:rsidRPr="004C6CA7" w:rsidRDefault="006F53C9" w:rsidP="004B5084">
      <w:pPr>
        <w:autoSpaceDE w:val="0"/>
        <w:autoSpaceDN w:val="0"/>
        <w:adjustRightInd w:val="0"/>
        <w:spacing w:before="120" w:after="240"/>
        <w:ind w:firstLine="0"/>
        <w:rPr>
          <w:rFonts w:eastAsia="Calibri" w:cs="Times New Roman"/>
          <w:szCs w:val="24"/>
        </w:rPr>
      </w:pPr>
      <w:r w:rsidRPr="004C6CA7">
        <w:rPr>
          <w:rFonts w:eastAsia="Calibri" w:cs="Times New Roman"/>
          <w:b/>
          <w:szCs w:val="24"/>
        </w:rPr>
        <w:t>Lu R, Jiang M, Chen Z, Xu X, Hu H, Zhao X, Gao X, Guo L.</w:t>
      </w:r>
      <w:r w:rsidRPr="004C6CA7">
        <w:rPr>
          <w:rFonts w:eastAsia="Calibri" w:cs="Times New Roman"/>
          <w:szCs w:val="24"/>
        </w:rPr>
        <w:t xml:space="preserve"> Lactate dehydrogenase 5 expression in Non-Hodgkin lymphoma is associated with the induced hypoxia regulated protein and poor prognosis. </w:t>
      </w:r>
      <w:r w:rsidRPr="004C6CA7">
        <w:rPr>
          <w:rFonts w:eastAsia="Calibri" w:cs="Times New Roman"/>
          <w:i/>
          <w:szCs w:val="24"/>
        </w:rPr>
        <w:t>PLoS ONE</w:t>
      </w:r>
      <w:r w:rsidRPr="004C6CA7">
        <w:rPr>
          <w:rFonts w:eastAsia="Calibri" w:cs="Times New Roman"/>
          <w:szCs w:val="24"/>
        </w:rPr>
        <w:t xml:space="preserve"> 2013, 8, e74853.</w:t>
      </w:r>
    </w:p>
    <w:p w:rsidR="004B5084" w:rsidRDefault="006F53C9" w:rsidP="004B5084">
      <w:pPr>
        <w:spacing w:before="120" w:after="240"/>
        <w:ind w:firstLine="0"/>
        <w:rPr>
          <w:rFonts w:eastAsia="Calibri" w:cs="Times New Roman"/>
          <w:szCs w:val="24"/>
        </w:rPr>
      </w:pPr>
      <w:r w:rsidRPr="004C6CA7">
        <w:rPr>
          <w:rFonts w:eastAsia="Calibri" w:cs="Times New Roman"/>
          <w:b/>
          <w:szCs w:val="24"/>
        </w:rPr>
        <w:t>Luo W, Hu H, Chang R, Zhong J, Knabel M, O’Meally R, Cole RN, Pandey A, Semenza GL.</w:t>
      </w:r>
      <w:r w:rsidRPr="004C6CA7">
        <w:rPr>
          <w:rFonts w:ascii="Arial" w:eastAsia="Calibri" w:hAnsi="Arial" w:cs="Arial"/>
          <w:color w:val="505050"/>
          <w:sz w:val="22"/>
          <w:shd w:val="clear" w:color="auto" w:fill="FFFFFF"/>
        </w:rPr>
        <w:t xml:space="preserve"> </w:t>
      </w:r>
      <w:r w:rsidRPr="004C6CA7">
        <w:rPr>
          <w:rFonts w:eastAsia="Calibri" w:cs="Times New Roman"/>
          <w:szCs w:val="24"/>
        </w:rPr>
        <w:t xml:space="preserve">Pyruvate kinase M2 is a PHD3-stimulated coactivator for hypoxia-inducible factor 1. </w:t>
      </w:r>
      <w:r w:rsidRPr="004C6CA7">
        <w:rPr>
          <w:rFonts w:eastAsia="Calibri" w:cs="Times New Roman"/>
          <w:i/>
          <w:szCs w:val="24"/>
        </w:rPr>
        <w:t>Cell</w:t>
      </w:r>
      <w:r w:rsidRPr="004C6CA7">
        <w:rPr>
          <w:rFonts w:eastAsia="Calibri" w:cs="Times New Roman"/>
          <w:szCs w:val="24"/>
        </w:rPr>
        <w:t xml:space="preserve"> 2011, 145, 732–744.</w:t>
      </w:r>
    </w:p>
    <w:p w:rsidR="004B5084" w:rsidRDefault="006F53C9" w:rsidP="004B5084">
      <w:pPr>
        <w:spacing w:before="120" w:after="240"/>
        <w:ind w:firstLine="0"/>
        <w:rPr>
          <w:rFonts w:eastAsia="Calibri" w:cs="Times New Roman"/>
          <w:szCs w:val="24"/>
        </w:rPr>
      </w:pPr>
      <w:r w:rsidRPr="006F53C9">
        <w:rPr>
          <w:rFonts w:eastAsia="Calibri" w:cs="Times New Roman"/>
          <w:b/>
          <w:szCs w:val="24"/>
        </w:rPr>
        <w:t>Luo W, Semenza GL.</w:t>
      </w:r>
      <w:r w:rsidRPr="006F53C9">
        <w:rPr>
          <w:rFonts w:eastAsia="Calibri" w:cs="Times New Roman"/>
          <w:szCs w:val="24"/>
        </w:rPr>
        <w:t xml:space="preserve"> Pyruvate kinase M2 regulates glucose metabolism by functioning as a coactivator for hypoxia-inducible factor 1 in cancer cells. </w:t>
      </w:r>
      <w:r w:rsidRPr="006F53C9">
        <w:rPr>
          <w:rFonts w:eastAsia="Calibri" w:cs="Times New Roman"/>
          <w:i/>
          <w:szCs w:val="24"/>
        </w:rPr>
        <w:t>Oncotarget</w:t>
      </w:r>
      <w:r w:rsidRPr="006F53C9">
        <w:rPr>
          <w:rFonts w:eastAsia="Calibri" w:cs="Times New Roman"/>
          <w:szCs w:val="24"/>
        </w:rPr>
        <w:t xml:space="preserve"> 2011, 2 (7), 551–556.</w:t>
      </w:r>
    </w:p>
    <w:p w:rsidR="00193A10" w:rsidRDefault="006F53C9" w:rsidP="004B5084">
      <w:pPr>
        <w:spacing w:before="120" w:after="240"/>
        <w:ind w:firstLine="0"/>
        <w:rPr>
          <w:rFonts w:eastAsia="Calibri" w:cs="Times New Roman"/>
          <w:szCs w:val="24"/>
        </w:rPr>
      </w:pPr>
      <w:r w:rsidRPr="004C6CA7">
        <w:rPr>
          <w:rFonts w:eastAsia="Calibri" w:cs="Times New Roman"/>
          <w:b/>
          <w:szCs w:val="24"/>
        </w:rPr>
        <w:t>Maekawa M.</w:t>
      </w:r>
      <w:r w:rsidRPr="004C6CA7">
        <w:rPr>
          <w:rFonts w:eastAsia="Calibri" w:cs="Times New Roman"/>
          <w:szCs w:val="24"/>
        </w:rPr>
        <w:t xml:space="preserve"> Lactate dehydrogenase isoenzymes</w:t>
      </w:r>
      <w:r w:rsidRPr="004C6CA7">
        <w:rPr>
          <w:rFonts w:eastAsia="Calibri" w:cs="Times New Roman"/>
          <w:i/>
          <w:szCs w:val="24"/>
        </w:rPr>
        <w:t xml:space="preserve">. </w:t>
      </w:r>
      <w:hyperlink r:id="rId550" w:tooltip="Go to Journal of Chromatography B: Biomedical Sciences and Applications on ScienceDirect" w:history="1">
        <w:r w:rsidRPr="004C6CA7">
          <w:rPr>
            <w:rFonts w:eastAsia="Calibri" w:cs="Times New Roman"/>
            <w:i/>
            <w:szCs w:val="24"/>
          </w:rPr>
          <w:t>Journal of Chromatography B: Biomedical Sciences and Applications</w:t>
        </w:r>
      </w:hyperlink>
      <w:r w:rsidRPr="004C6CA7">
        <w:rPr>
          <w:rFonts w:eastAsia="Calibri" w:cs="Times New Roman"/>
          <w:szCs w:val="24"/>
        </w:rPr>
        <w:t xml:space="preserve"> 1988, 429, 373-398. </w:t>
      </w:r>
    </w:p>
    <w:p w:rsidR="006F53C9" w:rsidRPr="00193A10" w:rsidRDefault="006F53C9" w:rsidP="004B5084">
      <w:pPr>
        <w:spacing w:before="120" w:after="240"/>
        <w:ind w:firstLine="0"/>
        <w:rPr>
          <w:rFonts w:eastAsia="Calibri" w:cs="Times New Roman"/>
          <w:szCs w:val="24"/>
        </w:rPr>
      </w:pPr>
      <w:r w:rsidRPr="004C6CA7">
        <w:rPr>
          <w:rFonts w:eastAsia="Calibri" w:cs="Times New Roman"/>
          <w:b/>
          <w:bCs/>
          <w:szCs w:val="24"/>
        </w:rPr>
        <w:lastRenderedPageBreak/>
        <w:t>Marín-Hernández A, Gallardo-Perez JC, Ralph SJ, Rodr</w:t>
      </w:r>
      <w:r w:rsidRPr="004C6CA7">
        <w:rPr>
          <w:rFonts w:eastAsia="Calibri" w:cs="Times New Roman" w:hint="eastAsia"/>
          <w:b/>
          <w:bCs/>
          <w:szCs w:val="24"/>
        </w:rPr>
        <w:t>í</w:t>
      </w:r>
      <w:r w:rsidRPr="004C6CA7">
        <w:rPr>
          <w:rFonts w:eastAsia="Calibri" w:cs="Times New Roman"/>
          <w:b/>
          <w:bCs/>
          <w:szCs w:val="24"/>
        </w:rPr>
        <w:t>guez- Enr</w:t>
      </w:r>
      <w:r w:rsidRPr="004C6CA7">
        <w:rPr>
          <w:rFonts w:eastAsia="Calibri" w:cs="Times New Roman" w:hint="eastAsia"/>
          <w:b/>
          <w:bCs/>
          <w:szCs w:val="24"/>
        </w:rPr>
        <w:t>í</w:t>
      </w:r>
      <w:r w:rsidRPr="004C6CA7">
        <w:rPr>
          <w:rFonts w:eastAsia="Calibri" w:cs="Times New Roman"/>
          <w:b/>
          <w:bCs/>
          <w:szCs w:val="24"/>
        </w:rPr>
        <w:t>quez S, Moreno-S</w:t>
      </w:r>
      <w:r w:rsidRPr="004C6CA7">
        <w:rPr>
          <w:rFonts w:eastAsia="Calibri" w:cs="Times New Roman" w:hint="eastAsia"/>
          <w:b/>
          <w:bCs/>
          <w:szCs w:val="24"/>
        </w:rPr>
        <w:t>á</w:t>
      </w:r>
      <w:r w:rsidRPr="004C6CA7">
        <w:rPr>
          <w:rFonts w:eastAsia="Calibri" w:cs="Times New Roman"/>
          <w:b/>
          <w:bCs/>
          <w:szCs w:val="24"/>
        </w:rPr>
        <w:t>nchez R</w:t>
      </w:r>
      <w:r w:rsidRPr="004C6CA7">
        <w:rPr>
          <w:rFonts w:eastAsia="Calibri" w:cs="Times New Roman"/>
          <w:bCs/>
          <w:szCs w:val="24"/>
        </w:rPr>
        <w:t xml:space="preserve">. HIF-1 alpha modulates energy metabolism in cancer cells by inducing over-expression of specific glycolytic isoforms. </w:t>
      </w:r>
      <w:r w:rsidRPr="004C6CA7">
        <w:rPr>
          <w:rFonts w:eastAsia="Calibri" w:cs="Times New Roman"/>
          <w:bCs/>
          <w:i/>
          <w:szCs w:val="24"/>
        </w:rPr>
        <w:t>Mini Reviews in Medicine Chemstry</w:t>
      </w:r>
      <w:r w:rsidRPr="004C6CA7">
        <w:rPr>
          <w:rFonts w:eastAsia="Calibri" w:cs="Times New Roman"/>
          <w:bCs/>
          <w:szCs w:val="24"/>
        </w:rPr>
        <w:t xml:space="preserve"> 2009, 9 (9), 1084-1101.</w:t>
      </w:r>
    </w:p>
    <w:p w:rsidR="006F53C9" w:rsidRPr="004C6CA7" w:rsidRDefault="006F53C9" w:rsidP="004B5084">
      <w:pPr>
        <w:keepNext/>
        <w:keepLines/>
        <w:shd w:val="clear" w:color="auto" w:fill="FFFFFF"/>
        <w:spacing w:before="120" w:after="240"/>
        <w:ind w:firstLine="0"/>
        <w:jc w:val="left"/>
        <w:outlineLvl w:val="1"/>
        <w:rPr>
          <w:rFonts w:eastAsia="Calibri" w:cs="Times New Roman"/>
          <w:szCs w:val="24"/>
        </w:rPr>
      </w:pPr>
      <w:r w:rsidRPr="004C6CA7">
        <w:rPr>
          <w:rFonts w:eastAsiaTheme="majorEastAsia" w:cs="Times New Roman"/>
          <w:b/>
          <w:bCs/>
          <w:szCs w:val="24"/>
        </w:rPr>
        <w:t xml:space="preserve">Marín-Hernández A, Rodríguez-Enríquez S, Vital-González PA, Flores- Rodríguez FL, Macías-Silva M, Sossa Garrocho M, Moreno-Sánchez R. </w:t>
      </w:r>
      <w:r w:rsidRPr="004C6CA7">
        <w:rPr>
          <w:rFonts w:eastAsia="Calibri" w:cs="Times New Roman"/>
          <w:szCs w:val="24"/>
        </w:rPr>
        <w:t xml:space="preserve">Determining and understanding the control of glycolysis in fast‐growth tumor cells. </w:t>
      </w:r>
      <w:r w:rsidRPr="004C6CA7">
        <w:rPr>
          <w:rFonts w:eastAsia="Calibri" w:cs="Times New Roman"/>
          <w:i/>
          <w:szCs w:val="24"/>
        </w:rPr>
        <w:t>The FEBS Journal</w:t>
      </w:r>
      <w:r w:rsidRPr="004C6CA7">
        <w:rPr>
          <w:rFonts w:eastAsia="Calibri" w:cs="Times New Roman"/>
          <w:szCs w:val="24"/>
        </w:rPr>
        <w:t xml:space="preserve"> 2006, 273 (9), 1975-1988. </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551" w:history="1">
        <w:r w:rsidR="006F53C9" w:rsidRPr="004C6CA7">
          <w:rPr>
            <w:b/>
            <w:szCs w:val="24"/>
          </w:rPr>
          <w:t>Marín-Hernández Á</w:t>
        </w:r>
      </w:hyperlink>
      <w:r w:rsidR="006F53C9" w:rsidRPr="004C6CA7">
        <w:rPr>
          <w:b/>
          <w:szCs w:val="24"/>
        </w:rPr>
        <w:t>, </w:t>
      </w:r>
      <w:hyperlink r:id="rId552" w:history="1">
        <w:r w:rsidR="006F53C9" w:rsidRPr="004C6CA7">
          <w:rPr>
            <w:b/>
            <w:szCs w:val="24"/>
          </w:rPr>
          <w:t>Gallardo-Pérez JC</w:t>
        </w:r>
      </w:hyperlink>
      <w:r w:rsidR="006F53C9" w:rsidRPr="004C6CA7">
        <w:rPr>
          <w:b/>
          <w:szCs w:val="24"/>
        </w:rPr>
        <w:t>, </w:t>
      </w:r>
      <w:hyperlink r:id="rId553" w:history="1">
        <w:r w:rsidR="006F53C9" w:rsidRPr="004C6CA7">
          <w:rPr>
            <w:b/>
            <w:szCs w:val="24"/>
          </w:rPr>
          <w:t>Hernández-Reséndiz I</w:t>
        </w:r>
      </w:hyperlink>
      <w:r w:rsidR="006F53C9" w:rsidRPr="004C6CA7">
        <w:rPr>
          <w:b/>
          <w:szCs w:val="24"/>
        </w:rPr>
        <w:t>, </w:t>
      </w:r>
      <w:hyperlink r:id="rId554" w:history="1">
        <w:r w:rsidR="006F53C9" w:rsidRPr="004C6CA7">
          <w:rPr>
            <w:b/>
            <w:szCs w:val="24"/>
          </w:rPr>
          <w:t>Del Mazo-Monsalvo I</w:t>
        </w:r>
      </w:hyperlink>
      <w:r w:rsidR="006F53C9" w:rsidRPr="004C6CA7">
        <w:rPr>
          <w:b/>
          <w:szCs w:val="24"/>
        </w:rPr>
        <w:t>, </w:t>
      </w:r>
      <w:hyperlink r:id="rId555" w:history="1">
        <w:r w:rsidR="006F53C9" w:rsidRPr="004C6CA7">
          <w:rPr>
            <w:b/>
            <w:szCs w:val="24"/>
          </w:rPr>
          <w:t>Robledo-Cadena DX</w:t>
        </w:r>
      </w:hyperlink>
      <w:r w:rsidR="006F53C9" w:rsidRPr="004C6CA7">
        <w:rPr>
          <w:b/>
          <w:szCs w:val="24"/>
        </w:rPr>
        <w:t>, </w:t>
      </w:r>
      <w:hyperlink r:id="rId556" w:history="1">
        <w:r w:rsidR="006F53C9" w:rsidRPr="004C6CA7">
          <w:rPr>
            <w:b/>
            <w:szCs w:val="24"/>
          </w:rPr>
          <w:t>Moreno-Sánchez R</w:t>
        </w:r>
      </w:hyperlink>
      <w:r w:rsidR="006F53C9" w:rsidRPr="004C6CA7">
        <w:rPr>
          <w:b/>
          <w:szCs w:val="24"/>
        </w:rPr>
        <w:t>, </w:t>
      </w:r>
      <w:hyperlink r:id="rId557" w:history="1">
        <w:r w:rsidR="006F53C9" w:rsidRPr="004C6CA7">
          <w:rPr>
            <w:b/>
            <w:szCs w:val="24"/>
          </w:rPr>
          <w:t>Rodríguez-Enríquez S</w:t>
        </w:r>
      </w:hyperlink>
      <w:r w:rsidR="006F53C9" w:rsidRPr="004C6CA7">
        <w:rPr>
          <w:b/>
          <w:szCs w:val="24"/>
        </w:rPr>
        <w:t>.</w:t>
      </w:r>
      <w:r w:rsidR="006F53C9" w:rsidRPr="004C6CA7">
        <w:rPr>
          <w:rFonts w:eastAsia="Calibri" w:cs="Times New Roman"/>
          <w:szCs w:val="24"/>
        </w:rPr>
        <w:t xml:space="preserve"> Hypoglycemia Enhances Epithelial-Mesenchymal Transition and Invasiveness, and Restrains the Warburg Phenotype, in Hypoxic HeLa Cell Cultures and Microspheroids. </w:t>
      </w:r>
      <w:r w:rsidR="006F53C9" w:rsidRPr="004C6CA7">
        <w:rPr>
          <w:rFonts w:eastAsia="Calibri" w:cs="Times New Roman"/>
          <w:i/>
          <w:szCs w:val="24"/>
        </w:rPr>
        <w:t>Journal of Cellular Physiology</w:t>
      </w:r>
      <w:r w:rsidR="006F53C9" w:rsidRPr="004C6CA7">
        <w:rPr>
          <w:rFonts w:eastAsia="Calibri" w:cs="Times New Roman"/>
          <w:szCs w:val="24"/>
        </w:rPr>
        <w:t xml:space="preserve"> 2016, 232(6), 1346-1359. </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558" w:history="1">
        <w:r w:rsidR="006F53C9" w:rsidRPr="004C6CA7">
          <w:rPr>
            <w:b/>
            <w:szCs w:val="24"/>
          </w:rPr>
          <w:t>Marín-Hernández A</w:t>
        </w:r>
      </w:hyperlink>
      <w:r w:rsidR="006F53C9" w:rsidRPr="004C6CA7">
        <w:rPr>
          <w:b/>
          <w:szCs w:val="24"/>
        </w:rPr>
        <w:t>, </w:t>
      </w:r>
      <w:hyperlink r:id="rId559" w:history="1">
        <w:r w:rsidR="006F53C9" w:rsidRPr="004C6CA7">
          <w:rPr>
            <w:b/>
            <w:szCs w:val="24"/>
          </w:rPr>
          <w:t>Gallardo-Pérez JC</w:t>
        </w:r>
      </w:hyperlink>
      <w:r w:rsidR="006F53C9" w:rsidRPr="004C6CA7">
        <w:rPr>
          <w:b/>
          <w:szCs w:val="24"/>
        </w:rPr>
        <w:t>, </w:t>
      </w:r>
      <w:hyperlink r:id="rId560" w:history="1">
        <w:r w:rsidR="006F53C9" w:rsidRPr="004C6CA7">
          <w:rPr>
            <w:b/>
            <w:szCs w:val="24"/>
          </w:rPr>
          <w:t>Rodríguez-Enríquez S</w:t>
        </w:r>
      </w:hyperlink>
      <w:r w:rsidR="006F53C9" w:rsidRPr="004C6CA7">
        <w:rPr>
          <w:b/>
          <w:szCs w:val="24"/>
        </w:rPr>
        <w:t>, </w:t>
      </w:r>
      <w:hyperlink r:id="rId561" w:history="1">
        <w:r w:rsidR="006F53C9" w:rsidRPr="004C6CA7">
          <w:rPr>
            <w:b/>
            <w:szCs w:val="24"/>
          </w:rPr>
          <w:t>Encalada R</w:t>
        </w:r>
      </w:hyperlink>
      <w:r w:rsidR="006F53C9" w:rsidRPr="004C6CA7">
        <w:rPr>
          <w:b/>
          <w:szCs w:val="24"/>
        </w:rPr>
        <w:t>, </w:t>
      </w:r>
      <w:hyperlink r:id="rId562" w:history="1">
        <w:r w:rsidR="006F53C9" w:rsidRPr="004C6CA7">
          <w:rPr>
            <w:b/>
            <w:szCs w:val="24"/>
          </w:rPr>
          <w:t>Moreno-Sánchez R</w:t>
        </w:r>
      </w:hyperlink>
      <w:r w:rsidR="006F53C9" w:rsidRPr="004C6CA7">
        <w:rPr>
          <w:b/>
          <w:szCs w:val="24"/>
        </w:rPr>
        <w:t>, </w:t>
      </w:r>
      <w:hyperlink r:id="rId563" w:history="1">
        <w:r w:rsidR="006F53C9" w:rsidRPr="004C6CA7">
          <w:rPr>
            <w:b/>
            <w:szCs w:val="24"/>
          </w:rPr>
          <w:t>Saavedra E</w:t>
        </w:r>
      </w:hyperlink>
      <w:r w:rsidR="006F53C9" w:rsidRPr="004C6CA7">
        <w:rPr>
          <w:b/>
          <w:szCs w:val="24"/>
        </w:rPr>
        <w:t>.</w:t>
      </w:r>
      <w:r w:rsidR="006F53C9" w:rsidRPr="004C6CA7">
        <w:rPr>
          <w:rFonts w:eastAsia="Calibri" w:cs="Times New Roman"/>
          <w:szCs w:val="24"/>
        </w:rPr>
        <w:t xml:space="preserve"> Modeling cancer glycolysis. </w:t>
      </w:r>
      <w:r w:rsidR="006F53C9" w:rsidRPr="004C6CA7">
        <w:rPr>
          <w:rFonts w:eastAsia="Calibri" w:cs="Times New Roman"/>
          <w:i/>
          <w:szCs w:val="24"/>
        </w:rPr>
        <w:t>Biochimica et Biophysica Acta</w:t>
      </w:r>
      <w:r w:rsidR="006F53C9" w:rsidRPr="004C6CA7">
        <w:rPr>
          <w:rFonts w:eastAsia="Calibri" w:cs="Times New Roman"/>
          <w:szCs w:val="24"/>
        </w:rPr>
        <w:t xml:space="preserve"> 2011, 1807(6),755-767. </w:t>
      </w:r>
    </w:p>
    <w:p w:rsidR="004B5084" w:rsidRDefault="0037177D" w:rsidP="004B5084">
      <w:pPr>
        <w:spacing w:before="120" w:after="240"/>
        <w:ind w:firstLine="0"/>
        <w:rPr>
          <w:rFonts w:eastAsia="Calibri" w:cs="Times New Roman"/>
          <w:bCs/>
          <w:szCs w:val="24"/>
        </w:rPr>
      </w:pPr>
      <w:hyperlink r:id="rId564" w:history="1">
        <w:r w:rsidR="006F53C9" w:rsidRPr="004C6CA7">
          <w:rPr>
            <w:b/>
            <w:bCs/>
            <w:szCs w:val="24"/>
          </w:rPr>
          <w:t>Marín-Hernández A</w:t>
        </w:r>
      </w:hyperlink>
      <w:r w:rsidR="006F53C9" w:rsidRPr="004C6CA7">
        <w:rPr>
          <w:b/>
          <w:bCs/>
          <w:szCs w:val="24"/>
        </w:rPr>
        <w:t>, </w:t>
      </w:r>
      <w:hyperlink r:id="rId565" w:history="1">
        <w:r w:rsidR="006F53C9" w:rsidRPr="004C6CA7">
          <w:rPr>
            <w:b/>
            <w:bCs/>
            <w:szCs w:val="24"/>
          </w:rPr>
          <w:t>López-Ramírez SY</w:t>
        </w:r>
      </w:hyperlink>
      <w:r w:rsidR="006F53C9" w:rsidRPr="004C6CA7">
        <w:rPr>
          <w:b/>
          <w:bCs/>
          <w:szCs w:val="24"/>
        </w:rPr>
        <w:t>, </w:t>
      </w:r>
      <w:hyperlink r:id="rId566" w:history="1">
        <w:r w:rsidR="006F53C9" w:rsidRPr="004C6CA7">
          <w:rPr>
            <w:b/>
            <w:bCs/>
            <w:szCs w:val="24"/>
          </w:rPr>
          <w:t>Del Mazo-Monsalvo I</w:t>
        </w:r>
      </w:hyperlink>
      <w:r w:rsidR="006F53C9" w:rsidRPr="004C6CA7">
        <w:rPr>
          <w:b/>
          <w:bCs/>
          <w:szCs w:val="24"/>
        </w:rPr>
        <w:t>, </w:t>
      </w:r>
      <w:hyperlink r:id="rId567" w:history="1">
        <w:r w:rsidR="006F53C9" w:rsidRPr="004C6CA7">
          <w:rPr>
            <w:b/>
            <w:bCs/>
            <w:szCs w:val="24"/>
          </w:rPr>
          <w:t>Gallardo-Pérez JC</w:t>
        </w:r>
      </w:hyperlink>
      <w:r w:rsidR="006F53C9" w:rsidRPr="004C6CA7">
        <w:rPr>
          <w:b/>
          <w:bCs/>
          <w:szCs w:val="24"/>
        </w:rPr>
        <w:t>, </w:t>
      </w:r>
      <w:hyperlink r:id="rId568" w:history="1">
        <w:r w:rsidR="006F53C9" w:rsidRPr="004C6CA7">
          <w:rPr>
            <w:b/>
            <w:bCs/>
            <w:szCs w:val="24"/>
          </w:rPr>
          <w:t>Rodríguez-Enríquez S</w:t>
        </w:r>
      </w:hyperlink>
      <w:r w:rsidR="006F53C9" w:rsidRPr="004C6CA7">
        <w:rPr>
          <w:b/>
          <w:bCs/>
          <w:szCs w:val="24"/>
        </w:rPr>
        <w:t>, </w:t>
      </w:r>
      <w:hyperlink r:id="rId569" w:history="1">
        <w:r w:rsidR="006F53C9" w:rsidRPr="004C6CA7">
          <w:rPr>
            <w:b/>
            <w:bCs/>
            <w:szCs w:val="24"/>
          </w:rPr>
          <w:t>Moreno-Sánchez R</w:t>
        </w:r>
      </w:hyperlink>
      <w:r w:rsidR="006F53C9" w:rsidRPr="004C6CA7">
        <w:rPr>
          <w:b/>
          <w:bCs/>
          <w:szCs w:val="24"/>
        </w:rPr>
        <w:t>, </w:t>
      </w:r>
      <w:hyperlink r:id="rId570" w:history="1">
        <w:r w:rsidR="006F53C9" w:rsidRPr="004C6CA7">
          <w:rPr>
            <w:b/>
            <w:bCs/>
            <w:szCs w:val="24"/>
          </w:rPr>
          <w:t>Saavedra E</w:t>
        </w:r>
      </w:hyperlink>
      <w:r w:rsidR="006F53C9" w:rsidRPr="004C6CA7">
        <w:rPr>
          <w:bCs/>
          <w:szCs w:val="24"/>
        </w:rPr>
        <w:t xml:space="preserve">. </w:t>
      </w:r>
      <w:r w:rsidR="006F53C9" w:rsidRPr="004C6CA7">
        <w:rPr>
          <w:rFonts w:eastAsia="Calibri" w:cs="Times New Roman"/>
          <w:b/>
          <w:szCs w:val="24"/>
        </w:rPr>
        <w:t xml:space="preserve"> </w:t>
      </w:r>
      <w:r w:rsidR="006F53C9" w:rsidRPr="004C6CA7">
        <w:rPr>
          <w:rFonts w:eastAsia="Calibri" w:cs="Times New Roman"/>
          <w:bCs/>
          <w:szCs w:val="24"/>
        </w:rPr>
        <w:t xml:space="preserve">Modeling cancer glycolysis under hypoglycemia, and the role played by the differential expression of glycolytic isoforms. </w:t>
      </w:r>
      <w:r w:rsidR="006F53C9" w:rsidRPr="004C6CA7">
        <w:rPr>
          <w:rFonts w:eastAsia="Calibri" w:cs="Times New Roman"/>
          <w:bCs/>
          <w:i/>
          <w:szCs w:val="24"/>
        </w:rPr>
        <w:t>The FEBS Journal</w:t>
      </w:r>
      <w:r w:rsidR="006F53C9" w:rsidRPr="004C6CA7">
        <w:rPr>
          <w:rFonts w:eastAsia="Calibri" w:cs="Times New Roman"/>
          <w:bCs/>
          <w:szCs w:val="24"/>
        </w:rPr>
        <w:t xml:space="preserve"> 2014, 281(15), 3325-3345.</w:t>
      </w:r>
    </w:p>
    <w:p w:rsidR="004B5084" w:rsidRDefault="0037177D" w:rsidP="004B5084">
      <w:pPr>
        <w:spacing w:before="120" w:after="240"/>
        <w:ind w:firstLine="0"/>
        <w:rPr>
          <w:rFonts w:eastAsia="Calibri" w:cs="Times New Roman"/>
          <w:szCs w:val="24"/>
        </w:rPr>
      </w:pPr>
      <w:hyperlink r:id="rId571" w:history="1">
        <w:r w:rsidR="006F53C9" w:rsidRPr="004C6CA7">
          <w:rPr>
            <w:rFonts w:eastAsiaTheme="majorEastAsia" w:cs="Times New Roman"/>
            <w:b/>
            <w:bCs/>
            <w:szCs w:val="24"/>
          </w:rPr>
          <w:t>Marinho-Carvalho MM</w:t>
        </w:r>
      </w:hyperlink>
      <w:r w:rsidR="006F53C9" w:rsidRPr="004C6CA7">
        <w:rPr>
          <w:rFonts w:eastAsiaTheme="majorEastAsia" w:cs="Times New Roman"/>
          <w:b/>
          <w:bCs/>
          <w:szCs w:val="24"/>
        </w:rPr>
        <w:t>, </w:t>
      </w:r>
      <w:hyperlink r:id="rId572" w:history="1">
        <w:r w:rsidR="006F53C9" w:rsidRPr="004C6CA7">
          <w:rPr>
            <w:rFonts w:eastAsiaTheme="majorEastAsia" w:cs="Times New Roman"/>
            <w:b/>
            <w:bCs/>
            <w:szCs w:val="24"/>
          </w:rPr>
          <w:t>Costa-Mattos PV</w:t>
        </w:r>
      </w:hyperlink>
      <w:r w:rsidR="006F53C9" w:rsidRPr="004C6CA7">
        <w:rPr>
          <w:rFonts w:eastAsiaTheme="majorEastAsia" w:cs="Times New Roman"/>
          <w:b/>
          <w:bCs/>
          <w:szCs w:val="24"/>
        </w:rPr>
        <w:t>, </w:t>
      </w:r>
      <w:hyperlink r:id="rId573" w:history="1">
        <w:r w:rsidR="006F53C9" w:rsidRPr="004C6CA7">
          <w:rPr>
            <w:rFonts w:eastAsiaTheme="majorEastAsia" w:cs="Times New Roman"/>
            <w:b/>
            <w:bCs/>
            <w:szCs w:val="24"/>
          </w:rPr>
          <w:t>Spitz GA</w:t>
        </w:r>
      </w:hyperlink>
      <w:r w:rsidR="006F53C9" w:rsidRPr="004C6CA7">
        <w:rPr>
          <w:rFonts w:eastAsiaTheme="majorEastAsia" w:cs="Times New Roman"/>
          <w:b/>
          <w:bCs/>
          <w:szCs w:val="24"/>
        </w:rPr>
        <w:t>, </w:t>
      </w:r>
      <w:hyperlink r:id="rId574" w:history="1">
        <w:r w:rsidR="006F53C9" w:rsidRPr="004C6CA7">
          <w:rPr>
            <w:rFonts w:eastAsiaTheme="majorEastAsia" w:cs="Times New Roman"/>
            <w:b/>
            <w:bCs/>
            <w:szCs w:val="24"/>
          </w:rPr>
          <w:t>Zancan P</w:t>
        </w:r>
      </w:hyperlink>
      <w:r w:rsidR="006F53C9" w:rsidRPr="004C6CA7">
        <w:rPr>
          <w:rFonts w:eastAsiaTheme="majorEastAsia" w:cs="Times New Roman"/>
          <w:b/>
          <w:bCs/>
          <w:szCs w:val="24"/>
        </w:rPr>
        <w:t>, </w:t>
      </w:r>
      <w:hyperlink r:id="rId575" w:history="1">
        <w:r w:rsidR="006F53C9" w:rsidRPr="004C6CA7">
          <w:rPr>
            <w:rFonts w:eastAsiaTheme="majorEastAsia" w:cs="Times New Roman"/>
            <w:b/>
            <w:bCs/>
            <w:szCs w:val="24"/>
          </w:rPr>
          <w:t>Sola-Penna M</w:t>
        </w:r>
      </w:hyperlink>
      <w:r w:rsidR="006F53C9" w:rsidRPr="004C6CA7">
        <w:rPr>
          <w:rFonts w:eastAsiaTheme="majorEastAsia" w:cs="Times New Roman"/>
          <w:b/>
          <w:bCs/>
          <w:szCs w:val="24"/>
        </w:rPr>
        <w:t xml:space="preserve">. </w:t>
      </w:r>
      <w:r w:rsidR="006F53C9" w:rsidRPr="004C6CA7">
        <w:rPr>
          <w:rFonts w:eastAsia="Calibri" w:cs="Times New Roman"/>
          <w:szCs w:val="24"/>
        </w:rPr>
        <w:t xml:space="preserve">Calmodulin upregulates skeletal muscle 6-phosphofructo-1-kinase reversing the inhibitory effects of allosteric modulators. </w:t>
      </w:r>
      <w:r w:rsidR="006F53C9" w:rsidRPr="004C6CA7">
        <w:rPr>
          <w:rFonts w:eastAsia="Calibri" w:cs="Times New Roman"/>
          <w:i/>
          <w:szCs w:val="24"/>
        </w:rPr>
        <w:t>Biochimica et Biophysica Acta</w:t>
      </w:r>
      <w:r w:rsidR="006F53C9" w:rsidRPr="004C6CA7">
        <w:rPr>
          <w:rFonts w:eastAsia="Calibri" w:cs="Times New Roman"/>
          <w:szCs w:val="24"/>
        </w:rPr>
        <w:t xml:space="preserve"> 2009, 1794 (8),1175-1180.</w:t>
      </w:r>
    </w:p>
    <w:p w:rsidR="004B5084" w:rsidRDefault="006F53C9" w:rsidP="004B5084">
      <w:pPr>
        <w:spacing w:before="120" w:after="240"/>
        <w:ind w:firstLine="0"/>
        <w:rPr>
          <w:rFonts w:eastAsia="Calibri" w:cs="Times New Roman"/>
          <w:szCs w:val="24"/>
        </w:rPr>
      </w:pPr>
      <w:r w:rsidRPr="004C6CA7">
        <w:rPr>
          <w:rFonts w:eastAsia="Calibri" w:cs="Times New Roman"/>
          <w:b/>
          <w:szCs w:val="24"/>
        </w:rPr>
        <w:t>Marsin AS, Bouzin C, Bertrand L, Hue L.</w:t>
      </w:r>
      <w:r w:rsidRPr="004C6CA7">
        <w:rPr>
          <w:rFonts w:eastAsiaTheme="majorEastAsia" w:cstheme="majorBidi"/>
          <w:b/>
          <w:bCs/>
          <w:color w:val="365F91" w:themeColor="accent1" w:themeShade="BF"/>
          <w:szCs w:val="24"/>
        </w:rPr>
        <w:t xml:space="preserve"> </w:t>
      </w:r>
      <w:r w:rsidRPr="004C6CA7">
        <w:rPr>
          <w:rFonts w:eastAsia="Calibri" w:cs="Times New Roman"/>
          <w:szCs w:val="24"/>
        </w:rPr>
        <w:t xml:space="preserve">The stimulation of glycolysis by hypoxia in activated monocytes is mediated by AMP-activated protein kinase and inducible 6-phosphofructo-2-kinase. </w:t>
      </w:r>
      <w:r w:rsidRPr="004C6CA7">
        <w:rPr>
          <w:rFonts w:eastAsia="Calibri" w:cs="Times New Roman"/>
          <w:i/>
          <w:szCs w:val="24"/>
        </w:rPr>
        <w:t>The Journal of Biological Chemistry</w:t>
      </w:r>
      <w:r w:rsidRPr="004C6CA7">
        <w:rPr>
          <w:rFonts w:eastAsia="Calibri" w:cs="Times New Roman"/>
          <w:szCs w:val="24"/>
        </w:rPr>
        <w:t xml:space="preserve"> 2002, 277, 30778–30783.</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Masoud GN, Li W.</w:t>
      </w:r>
      <w:r w:rsidRPr="004C6CA7">
        <w:rPr>
          <w:rFonts w:asciiTheme="majorHAnsi" w:eastAsiaTheme="majorEastAsia" w:hAnsiTheme="majorHAnsi" w:cstheme="majorBidi"/>
          <w:b/>
          <w:bCs/>
          <w:color w:val="365F91" w:themeColor="accent1" w:themeShade="BF"/>
          <w:sz w:val="28"/>
          <w:szCs w:val="28"/>
        </w:rPr>
        <w:t xml:space="preserve"> </w:t>
      </w:r>
      <w:r w:rsidRPr="004C6CA7">
        <w:rPr>
          <w:rFonts w:eastAsia="Calibri" w:cs="Times New Roman"/>
          <w:szCs w:val="24"/>
        </w:rPr>
        <w:t xml:space="preserve">HIF-1α pathway: role, regulation and intervention for cancer therapy. </w:t>
      </w:r>
      <w:r w:rsidRPr="004C6CA7">
        <w:rPr>
          <w:rFonts w:eastAsia="Calibri" w:cs="Times New Roman"/>
          <w:i/>
          <w:szCs w:val="24"/>
        </w:rPr>
        <w:t>Acta pharmaceutica Sinica B</w:t>
      </w:r>
      <w:r w:rsidRPr="004C6CA7">
        <w:rPr>
          <w:rFonts w:eastAsia="Calibri" w:cs="Times New Roman"/>
          <w:szCs w:val="24"/>
        </w:rPr>
        <w:t xml:space="preserve"> 2015, 5 (5), 378-389. </w:t>
      </w:r>
    </w:p>
    <w:p w:rsidR="006F53C9" w:rsidRPr="006F53C9" w:rsidRDefault="0037177D" w:rsidP="004B5084">
      <w:pPr>
        <w:keepNext/>
        <w:keepLines/>
        <w:shd w:val="clear" w:color="auto" w:fill="FFFFFF"/>
        <w:spacing w:before="120" w:after="240"/>
        <w:ind w:firstLine="0"/>
        <w:outlineLvl w:val="0"/>
        <w:rPr>
          <w:rFonts w:eastAsia="Calibri" w:cs="Times New Roman"/>
          <w:szCs w:val="24"/>
        </w:rPr>
      </w:pPr>
      <w:hyperlink r:id="rId576" w:history="1">
        <w:r w:rsidR="006F53C9" w:rsidRPr="006F53C9">
          <w:rPr>
            <w:rFonts w:eastAsia="Calibri" w:cs="Times New Roman"/>
            <w:b/>
            <w:szCs w:val="24"/>
          </w:rPr>
          <w:t>Mathupala SP</w:t>
        </w:r>
      </w:hyperlink>
      <w:r w:rsidR="006F53C9" w:rsidRPr="006F53C9">
        <w:rPr>
          <w:rFonts w:eastAsia="Calibri" w:cs="Times New Roman"/>
          <w:b/>
          <w:szCs w:val="24"/>
        </w:rPr>
        <w:t>, </w:t>
      </w:r>
      <w:hyperlink r:id="rId577" w:history="1">
        <w:r w:rsidR="006F53C9" w:rsidRPr="006F53C9">
          <w:rPr>
            <w:rFonts w:eastAsia="Calibri" w:cs="Times New Roman"/>
            <w:b/>
            <w:szCs w:val="24"/>
          </w:rPr>
          <w:t>Ko YH</w:t>
        </w:r>
      </w:hyperlink>
      <w:r w:rsidR="006F53C9" w:rsidRPr="006F53C9">
        <w:rPr>
          <w:rFonts w:eastAsia="Calibri" w:cs="Times New Roman"/>
          <w:b/>
          <w:szCs w:val="24"/>
        </w:rPr>
        <w:t>, </w:t>
      </w:r>
      <w:hyperlink r:id="rId578" w:history="1">
        <w:r w:rsidR="006F53C9" w:rsidRPr="006F53C9">
          <w:rPr>
            <w:rFonts w:eastAsia="Calibri" w:cs="Times New Roman"/>
            <w:b/>
            <w:szCs w:val="24"/>
          </w:rPr>
          <w:t>Pedersen PL</w:t>
        </w:r>
      </w:hyperlink>
      <w:r w:rsidR="006F53C9" w:rsidRPr="006F53C9">
        <w:rPr>
          <w:rFonts w:eastAsia="Calibri" w:cs="Times New Roman"/>
          <w:b/>
          <w:szCs w:val="24"/>
        </w:rPr>
        <w:t xml:space="preserve">. </w:t>
      </w:r>
      <w:r w:rsidR="006F53C9" w:rsidRPr="006F53C9">
        <w:rPr>
          <w:rFonts w:eastAsia="Calibri" w:cs="Times New Roman"/>
          <w:szCs w:val="24"/>
        </w:rPr>
        <w:t xml:space="preserve">Hexokinase II: cancer's double-edged sword acting as both facilitator and gatekeeper of malignancy when bound to mitochondria. </w:t>
      </w:r>
      <w:r w:rsidR="006F53C9" w:rsidRPr="006F53C9">
        <w:rPr>
          <w:rFonts w:eastAsia="Calibri" w:cs="Times New Roman"/>
          <w:i/>
          <w:szCs w:val="24"/>
        </w:rPr>
        <w:t>Oncogene</w:t>
      </w:r>
      <w:r w:rsidR="006F53C9" w:rsidRPr="006F53C9">
        <w:rPr>
          <w:rFonts w:eastAsia="Calibri" w:cs="Times New Roman"/>
          <w:szCs w:val="24"/>
        </w:rPr>
        <w:t xml:space="preserve"> 2006, 25(34), 4777-4786.</w:t>
      </w:r>
    </w:p>
    <w:p w:rsidR="006F53C9" w:rsidRPr="006F53C9" w:rsidRDefault="0037177D" w:rsidP="004B5084">
      <w:pPr>
        <w:keepNext/>
        <w:keepLines/>
        <w:shd w:val="clear" w:color="auto" w:fill="FFFFFF"/>
        <w:spacing w:before="120" w:after="240"/>
        <w:ind w:firstLine="0"/>
        <w:outlineLvl w:val="0"/>
        <w:rPr>
          <w:rFonts w:eastAsia="Calibri" w:cs="Times New Roman"/>
          <w:bCs/>
          <w:szCs w:val="24"/>
        </w:rPr>
      </w:pPr>
      <w:hyperlink r:id="rId579" w:history="1">
        <w:r w:rsidR="006F53C9" w:rsidRPr="006F53C9">
          <w:rPr>
            <w:rFonts w:eastAsia="Calibri" w:cs="Times New Roman"/>
            <w:b/>
            <w:bCs/>
            <w:szCs w:val="24"/>
          </w:rPr>
          <w:t>Mathupala SP</w:t>
        </w:r>
      </w:hyperlink>
      <w:r w:rsidR="006F53C9" w:rsidRPr="006F53C9">
        <w:rPr>
          <w:rFonts w:eastAsia="Calibri" w:cs="Times New Roman"/>
          <w:b/>
          <w:bCs/>
          <w:szCs w:val="24"/>
        </w:rPr>
        <w:t>, </w:t>
      </w:r>
      <w:hyperlink r:id="rId580" w:history="1">
        <w:r w:rsidR="006F53C9" w:rsidRPr="006F53C9">
          <w:rPr>
            <w:rFonts w:eastAsia="Calibri" w:cs="Times New Roman"/>
            <w:b/>
            <w:bCs/>
            <w:szCs w:val="24"/>
          </w:rPr>
          <w:t>Rempel A</w:t>
        </w:r>
      </w:hyperlink>
      <w:r w:rsidR="006F53C9" w:rsidRPr="006F53C9">
        <w:rPr>
          <w:rFonts w:eastAsia="Calibri" w:cs="Times New Roman"/>
          <w:b/>
          <w:bCs/>
          <w:szCs w:val="24"/>
        </w:rPr>
        <w:t>, </w:t>
      </w:r>
      <w:hyperlink r:id="rId581" w:history="1">
        <w:r w:rsidR="006F53C9" w:rsidRPr="006F53C9">
          <w:rPr>
            <w:rFonts w:eastAsia="Calibri" w:cs="Times New Roman"/>
            <w:b/>
            <w:bCs/>
            <w:szCs w:val="24"/>
          </w:rPr>
          <w:t>Pedersen PL</w:t>
        </w:r>
      </w:hyperlink>
      <w:r w:rsidR="006F53C9" w:rsidRPr="006F53C9">
        <w:rPr>
          <w:rFonts w:eastAsia="Calibri" w:cs="Times New Roman"/>
          <w:b/>
          <w:bCs/>
          <w:szCs w:val="24"/>
        </w:rPr>
        <w:t xml:space="preserve">. </w:t>
      </w:r>
      <w:r w:rsidR="006F53C9" w:rsidRPr="006F53C9">
        <w:rPr>
          <w:rFonts w:eastAsia="Calibri" w:cs="Times New Roman"/>
          <w:bCs/>
          <w:szCs w:val="24"/>
        </w:rPr>
        <w:t xml:space="preserve">Glucose catabolism in cancer cells: identification and characterization of a marked activation response of the type II hexokinase gene to hypoxic conditions. </w:t>
      </w:r>
      <w:r w:rsidR="006F53C9" w:rsidRPr="006F53C9">
        <w:rPr>
          <w:rFonts w:eastAsia="Calibri" w:cs="Times New Roman"/>
          <w:bCs/>
          <w:i/>
          <w:szCs w:val="24"/>
        </w:rPr>
        <w:t>The Journal of Biological Chemistry</w:t>
      </w:r>
      <w:r w:rsidR="006F53C9" w:rsidRPr="006F53C9">
        <w:rPr>
          <w:rFonts w:eastAsia="Calibri" w:cs="Times New Roman"/>
          <w:bCs/>
          <w:szCs w:val="24"/>
        </w:rPr>
        <w:t xml:space="preserve"> 2001, 276 (46), 43407-43412.</w:t>
      </w:r>
    </w:p>
    <w:p w:rsidR="006F53C9" w:rsidRDefault="006F53C9" w:rsidP="004B5084">
      <w:pPr>
        <w:spacing w:before="120" w:after="240"/>
        <w:ind w:firstLine="0"/>
        <w:rPr>
          <w:rFonts w:eastAsia="Calibri" w:cs="Times New Roman"/>
          <w:bCs/>
          <w:szCs w:val="24"/>
        </w:rPr>
      </w:pPr>
      <w:r w:rsidRPr="004C6CA7">
        <w:rPr>
          <w:rFonts w:eastAsia="Calibri" w:cs="Times New Roman"/>
          <w:b/>
          <w:szCs w:val="24"/>
        </w:rPr>
        <w:t>Mathupula SP, Ko YH, Pedersen PL.</w:t>
      </w:r>
      <w:r w:rsidRPr="004C6CA7">
        <w:rPr>
          <w:rFonts w:eastAsia="Calibri" w:cs="Times New Roman"/>
          <w:szCs w:val="24"/>
        </w:rPr>
        <w:t xml:space="preserve"> </w:t>
      </w:r>
      <w:r w:rsidRPr="004C6CA7">
        <w:rPr>
          <w:rFonts w:eastAsia="Calibri" w:cs="Times New Roman"/>
          <w:bCs/>
          <w:szCs w:val="24"/>
        </w:rPr>
        <w:t xml:space="preserve">Hexokinase-2 bound to mitochondria: Cancer's stygian link to the “Warburg effect” and a pivotal target for effective therapy. </w:t>
      </w:r>
      <w:r w:rsidRPr="004C6CA7">
        <w:rPr>
          <w:rFonts w:eastAsia="Calibri" w:cs="Times New Roman"/>
          <w:bCs/>
          <w:i/>
          <w:szCs w:val="24"/>
        </w:rPr>
        <w:t>Seminars in Cancer Biology</w:t>
      </w:r>
      <w:r w:rsidRPr="004C6CA7">
        <w:rPr>
          <w:rFonts w:eastAsia="Calibri" w:cs="Times New Roman"/>
          <w:bCs/>
          <w:szCs w:val="24"/>
        </w:rPr>
        <w:t xml:space="preserve"> 2009, 19 (1), 17-24.</w:t>
      </w:r>
    </w:p>
    <w:p w:rsidR="004B5084" w:rsidRDefault="006F53C9" w:rsidP="004B5084">
      <w:pPr>
        <w:autoSpaceDE w:val="0"/>
        <w:autoSpaceDN w:val="0"/>
        <w:adjustRightInd w:val="0"/>
        <w:spacing w:before="120" w:after="240"/>
        <w:ind w:firstLine="0"/>
        <w:rPr>
          <w:rFonts w:eastAsia="Calibri" w:cs="Times New Roman"/>
          <w:szCs w:val="24"/>
        </w:rPr>
      </w:pPr>
      <w:r w:rsidRPr="004C6CA7">
        <w:rPr>
          <w:rFonts w:eastAsiaTheme="majorEastAsia" w:cs="Times New Roman"/>
          <w:b/>
          <w:bCs/>
          <w:szCs w:val="24"/>
        </w:rPr>
        <w:t>Mazurek S, Boschek CB, Hugo F, Eigenbrodt E.</w:t>
      </w:r>
      <w:r w:rsidRPr="004C6CA7">
        <w:rPr>
          <w:rFonts w:eastAsia="Calibri" w:cs="Times New Roman"/>
          <w:szCs w:val="24"/>
        </w:rPr>
        <w:t xml:space="preserve"> Pyruvate kinase type M2 and its role in tumor growth and spreading. </w:t>
      </w:r>
      <w:r w:rsidRPr="004C6CA7">
        <w:rPr>
          <w:rFonts w:eastAsia="Calibri" w:cs="Times New Roman"/>
          <w:i/>
          <w:szCs w:val="24"/>
        </w:rPr>
        <w:t>Seminars in Cancer Biology</w:t>
      </w:r>
      <w:r w:rsidRPr="004C6CA7">
        <w:rPr>
          <w:rFonts w:eastAsia="Calibri" w:cs="Times New Roman"/>
          <w:szCs w:val="24"/>
        </w:rPr>
        <w:t xml:space="preserve"> 2005, 15, 300–308.</w:t>
      </w:r>
    </w:p>
    <w:p w:rsidR="004B5084" w:rsidRDefault="0037177D" w:rsidP="004B5084">
      <w:pPr>
        <w:autoSpaceDE w:val="0"/>
        <w:autoSpaceDN w:val="0"/>
        <w:adjustRightInd w:val="0"/>
        <w:spacing w:before="120" w:after="240"/>
        <w:ind w:firstLine="0"/>
        <w:rPr>
          <w:rFonts w:eastAsia="Calibri" w:cs="Times New Roman"/>
          <w:szCs w:val="24"/>
        </w:rPr>
      </w:pPr>
      <w:hyperlink r:id="rId582" w:history="1">
        <w:r w:rsidR="006F53C9" w:rsidRPr="004C6CA7">
          <w:rPr>
            <w:rFonts w:eastAsiaTheme="majorEastAsia" w:cs="Times New Roman"/>
            <w:b/>
            <w:szCs w:val="24"/>
          </w:rPr>
          <w:t>Mazurek S</w:t>
        </w:r>
      </w:hyperlink>
      <w:r w:rsidR="006F53C9" w:rsidRPr="004C6CA7">
        <w:rPr>
          <w:rFonts w:eastAsiaTheme="majorEastAsia" w:cs="Times New Roman"/>
          <w:b/>
          <w:szCs w:val="24"/>
        </w:rPr>
        <w:t>, </w:t>
      </w:r>
      <w:hyperlink r:id="rId583" w:history="1">
        <w:r w:rsidR="006F53C9" w:rsidRPr="004C6CA7">
          <w:rPr>
            <w:rFonts w:eastAsiaTheme="majorEastAsia" w:cs="Times New Roman"/>
            <w:b/>
            <w:szCs w:val="24"/>
          </w:rPr>
          <w:t>Drexler HC</w:t>
        </w:r>
      </w:hyperlink>
      <w:r w:rsidR="006F53C9" w:rsidRPr="004C6CA7">
        <w:rPr>
          <w:rFonts w:eastAsiaTheme="majorEastAsia" w:cs="Times New Roman"/>
          <w:b/>
          <w:szCs w:val="24"/>
        </w:rPr>
        <w:t>, </w:t>
      </w:r>
      <w:hyperlink r:id="rId584" w:history="1">
        <w:r w:rsidR="006F53C9" w:rsidRPr="004C6CA7">
          <w:rPr>
            <w:rFonts w:eastAsiaTheme="majorEastAsia" w:cs="Times New Roman"/>
            <w:b/>
            <w:szCs w:val="24"/>
          </w:rPr>
          <w:t>Troppmair J</w:t>
        </w:r>
      </w:hyperlink>
      <w:r w:rsidR="006F53C9" w:rsidRPr="004C6CA7">
        <w:rPr>
          <w:rFonts w:eastAsiaTheme="majorEastAsia" w:cs="Times New Roman"/>
          <w:b/>
          <w:szCs w:val="24"/>
        </w:rPr>
        <w:t>, </w:t>
      </w:r>
      <w:hyperlink r:id="rId585" w:history="1">
        <w:r w:rsidR="006F53C9" w:rsidRPr="004C6CA7">
          <w:rPr>
            <w:rFonts w:eastAsiaTheme="majorEastAsia" w:cs="Times New Roman"/>
            <w:b/>
            <w:szCs w:val="24"/>
          </w:rPr>
          <w:t>Eigenbrodt E</w:t>
        </w:r>
      </w:hyperlink>
      <w:r w:rsidR="006F53C9" w:rsidRPr="004C6CA7">
        <w:rPr>
          <w:rFonts w:eastAsiaTheme="majorEastAsia" w:cs="Times New Roman"/>
          <w:b/>
          <w:szCs w:val="24"/>
        </w:rPr>
        <w:t>, </w:t>
      </w:r>
      <w:hyperlink r:id="rId586" w:history="1">
        <w:r w:rsidR="006F53C9" w:rsidRPr="004C6CA7">
          <w:rPr>
            <w:rFonts w:eastAsiaTheme="majorEastAsia" w:cs="Times New Roman"/>
            <w:b/>
            <w:szCs w:val="24"/>
          </w:rPr>
          <w:t>Rapp UR</w:t>
        </w:r>
      </w:hyperlink>
      <w:r w:rsidR="006F53C9" w:rsidRPr="004C6CA7">
        <w:rPr>
          <w:rFonts w:eastAsiaTheme="majorEastAsia" w:cs="Times New Roman"/>
          <w:b/>
          <w:szCs w:val="24"/>
        </w:rPr>
        <w:t>.</w:t>
      </w:r>
      <w:r w:rsidR="006F53C9" w:rsidRPr="004C6CA7">
        <w:rPr>
          <w:rFonts w:eastAsiaTheme="majorEastAsia" w:cstheme="majorBidi"/>
          <w:color w:val="365F91" w:themeColor="accent1" w:themeShade="BF"/>
          <w:szCs w:val="24"/>
        </w:rPr>
        <w:t xml:space="preserve"> </w:t>
      </w:r>
      <w:r w:rsidR="006F53C9" w:rsidRPr="004C6CA7">
        <w:rPr>
          <w:rFonts w:eastAsia="Calibri" w:cs="Times New Roman"/>
          <w:szCs w:val="24"/>
        </w:rPr>
        <w:t xml:space="preserve">Regulation of pyruvate kinase type M2 by A-Raf: a possible glycolytic stop or go mechanism. </w:t>
      </w:r>
      <w:r w:rsidR="006F53C9" w:rsidRPr="004C6CA7">
        <w:rPr>
          <w:rFonts w:eastAsia="Calibri" w:cs="Times New Roman"/>
          <w:i/>
          <w:szCs w:val="24"/>
        </w:rPr>
        <w:t>Anticancer Research</w:t>
      </w:r>
      <w:r w:rsidR="006F53C9" w:rsidRPr="004C6CA7">
        <w:rPr>
          <w:rFonts w:eastAsia="Calibri" w:cs="Times New Roman"/>
          <w:szCs w:val="24"/>
        </w:rPr>
        <w:t xml:space="preserve"> 2007, 27(6B), 3963-3971.</w:t>
      </w:r>
    </w:p>
    <w:p w:rsidR="004B5084" w:rsidRDefault="0037177D" w:rsidP="004B5084">
      <w:pPr>
        <w:autoSpaceDE w:val="0"/>
        <w:autoSpaceDN w:val="0"/>
        <w:adjustRightInd w:val="0"/>
        <w:spacing w:before="120" w:after="240"/>
        <w:ind w:firstLine="0"/>
        <w:rPr>
          <w:rFonts w:eastAsia="Calibri" w:cs="Times New Roman"/>
          <w:szCs w:val="24"/>
        </w:rPr>
      </w:pPr>
      <w:hyperlink r:id="rId587" w:history="1">
        <w:r w:rsidR="006F53C9" w:rsidRPr="004C6CA7">
          <w:rPr>
            <w:rFonts w:eastAsiaTheme="majorEastAsia" w:cs="Times New Roman"/>
            <w:b/>
            <w:bCs/>
            <w:szCs w:val="24"/>
          </w:rPr>
          <w:t>Mazurek S</w:t>
        </w:r>
      </w:hyperlink>
      <w:r w:rsidR="006F53C9" w:rsidRPr="004C6CA7">
        <w:rPr>
          <w:rFonts w:eastAsiaTheme="majorEastAsia" w:cs="Times New Roman"/>
          <w:b/>
          <w:bCs/>
          <w:szCs w:val="24"/>
        </w:rPr>
        <w:t>, </w:t>
      </w:r>
      <w:hyperlink r:id="rId588" w:history="1">
        <w:r w:rsidR="006F53C9" w:rsidRPr="004C6CA7">
          <w:rPr>
            <w:rFonts w:eastAsiaTheme="majorEastAsia" w:cs="Times New Roman"/>
            <w:b/>
            <w:bCs/>
            <w:szCs w:val="24"/>
          </w:rPr>
          <w:t>Grimm H</w:t>
        </w:r>
      </w:hyperlink>
      <w:r w:rsidR="006F53C9" w:rsidRPr="004C6CA7">
        <w:rPr>
          <w:rFonts w:eastAsiaTheme="majorEastAsia" w:cs="Times New Roman"/>
          <w:b/>
          <w:bCs/>
          <w:szCs w:val="24"/>
        </w:rPr>
        <w:t>, </w:t>
      </w:r>
      <w:hyperlink r:id="rId589" w:history="1">
        <w:r w:rsidR="006F53C9" w:rsidRPr="004C6CA7">
          <w:rPr>
            <w:rFonts w:eastAsiaTheme="majorEastAsia" w:cs="Times New Roman"/>
            <w:b/>
            <w:bCs/>
            <w:szCs w:val="24"/>
          </w:rPr>
          <w:t>Boschek CB</w:t>
        </w:r>
      </w:hyperlink>
      <w:r w:rsidR="006F53C9" w:rsidRPr="004C6CA7">
        <w:rPr>
          <w:rFonts w:eastAsiaTheme="majorEastAsia" w:cs="Times New Roman"/>
          <w:b/>
          <w:bCs/>
          <w:szCs w:val="24"/>
        </w:rPr>
        <w:t>, </w:t>
      </w:r>
      <w:hyperlink r:id="rId590" w:history="1">
        <w:r w:rsidR="006F53C9" w:rsidRPr="004C6CA7">
          <w:rPr>
            <w:rFonts w:eastAsiaTheme="majorEastAsia" w:cs="Times New Roman"/>
            <w:b/>
            <w:bCs/>
            <w:szCs w:val="24"/>
          </w:rPr>
          <w:t>Vaupel P</w:t>
        </w:r>
      </w:hyperlink>
      <w:r w:rsidR="006F53C9" w:rsidRPr="004C6CA7">
        <w:rPr>
          <w:rFonts w:eastAsiaTheme="majorEastAsia" w:cs="Times New Roman"/>
          <w:b/>
          <w:bCs/>
          <w:szCs w:val="24"/>
        </w:rPr>
        <w:t>, </w:t>
      </w:r>
      <w:hyperlink r:id="rId591" w:history="1">
        <w:r w:rsidR="006F53C9" w:rsidRPr="004C6CA7">
          <w:rPr>
            <w:rFonts w:eastAsiaTheme="majorEastAsia" w:cs="Times New Roman"/>
            <w:b/>
            <w:bCs/>
            <w:szCs w:val="24"/>
          </w:rPr>
          <w:t>Eigenbrodt E</w:t>
        </w:r>
      </w:hyperlink>
      <w:r w:rsidR="006F53C9" w:rsidRPr="004C6CA7">
        <w:rPr>
          <w:rFonts w:eastAsiaTheme="majorEastAsia" w:cs="Times New Roman"/>
          <w:b/>
          <w:bCs/>
          <w:szCs w:val="24"/>
        </w:rPr>
        <w:t xml:space="preserve">. </w:t>
      </w:r>
      <w:r w:rsidR="006F53C9" w:rsidRPr="004C6CA7">
        <w:rPr>
          <w:rFonts w:eastAsia="Calibri" w:cs="Times New Roman"/>
          <w:szCs w:val="24"/>
        </w:rPr>
        <w:t xml:space="preserve">Pyruvate kinase type M2: a crossroad in the tumor metabolome. </w:t>
      </w:r>
      <w:r w:rsidR="006F53C9" w:rsidRPr="004C6CA7">
        <w:rPr>
          <w:rFonts w:eastAsia="Calibri" w:cs="Times New Roman"/>
          <w:i/>
          <w:szCs w:val="24"/>
        </w:rPr>
        <w:t>The British Journal of Nutrition</w:t>
      </w:r>
      <w:r w:rsidR="006F53C9" w:rsidRPr="004C6CA7">
        <w:rPr>
          <w:rFonts w:eastAsia="Calibri" w:cs="Times New Roman"/>
          <w:szCs w:val="24"/>
        </w:rPr>
        <w:t xml:space="preserve"> 2002, 87, S1, 23-29.</w:t>
      </w:r>
    </w:p>
    <w:p w:rsidR="004B5084" w:rsidRDefault="006F53C9" w:rsidP="004B5084">
      <w:pPr>
        <w:autoSpaceDE w:val="0"/>
        <w:autoSpaceDN w:val="0"/>
        <w:adjustRightInd w:val="0"/>
        <w:spacing w:before="120" w:after="240"/>
        <w:ind w:firstLine="0"/>
        <w:rPr>
          <w:rFonts w:eastAsia="Calibri" w:cs="Times New Roman"/>
          <w:szCs w:val="24"/>
        </w:rPr>
      </w:pPr>
      <w:r w:rsidRPr="004C6CA7">
        <w:rPr>
          <w:rFonts w:eastAsia="Calibri" w:cs="Times New Roman"/>
          <w:b/>
          <w:szCs w:val="24"/>
        </w:rPr>
        <w:t>Mazurek S.</w:t>
      </w:r>
      <w:r w:rsidRPr="004C6CA7">
        <w:rPr>
          <w:rFonts w:asciiTheme="majorHAnsi" w:eastAsiaTheme="majorEastAsia" w:hAnsiTheme="majorHAnsi" w:cstheme="majorBidi"/>
          <w:b/>
          <w:bCs/>
          <w:color w:val="365F91" w:themeColor="accent1" w:themeShade="BF"/>
          <w:sz w:val="28"/>
          <w:szCs w:val="28"/>
        </w:rPr>
        <w:t xml:space="preserve"> </w:t>
      </w:r>
      <w:r w:rsidRPr="004C6CA7">
        <w:rPr>
          <w:rFonts w:eastAsia="Calibri" w:cs="Times New Roman"/>
          <w:szCs w:val="24"/>
        </w:rPr>
        <w:t xml:space="preserve">Pyruvate kinase type M2: a key regulator of the metabolic budget system in tumor cells. </w:t>
      </w:r>
      <w:r w:rsidRPr="004C6CA7">
        <w:rPr>
          <w:rFonts w:eastAsia="Calibri" w:cs="Times New Roman"/>
          <w:i/>
          <w:szCs w:val="24"/>
        </w:rPr>
        <w:t>The International Journal of Biochemistry &amp; Cell Biology</w:t>
      </w:r>
      <w:r w:rsidRPr="004C6CA7">
        <w:rPr>
          <w:rFonts w:eastAsia="Calibri" w:cs="Times New Roman"/>
          <w:szCs w:val="24"/>
        </w:rPr>
        <w:t xml:space="preserve"> 2011,43 (7), 969-980.</w:t>
      </w:r>
    </w:p>
    <w:p w:rsidR="004B5084" w:rsidRDefault="0037177D" w:rsidP="004B5084">
      <w:pPr>
        <w:autoSpaceDE w:val="0"/>
        <w:autoSpaceDN w:val="0"/>
        <w:adjustRightInd w:val="0"/>
        <w:spacing w:before="120" w:after="240"/>
        <w:ind w:firstLine="0"/>
        <w:rPr>
          <w:rFonts w:eastAsia="Calibri" w:cs="Times New Roman"/>
          <w:szCs w:val="24"/>
        </w:rPr>
      </w:pPr>
      <w:hyperlink r:id="rId592" w:history="1">
        <w:r w:rsidR="006F53C9" w:rsidRPr="004C6CA7">
          <w:rPr>
            <w:rFonts w:eastAsiaTheme="majorEastAsia" w:cs="Times New Roman"/>
            <w:b/>
            <w:bCs/>
            <w:szCs w:val="24"/>
          </w:rPr>
          <w:t>Medina RA</w:t>
        </w:r>
      </w:hyperlink>
      <w:r w:rsidR="006F53C9" w:rsidRPr="004C6CA7">
        <w:rPr>
          <w:rFonts w:eastAsiaTheme="majorEastAsia" w:cs="Times New Roman"/>
          <w:b/>
          <w:bCs/>
          <w:szCs w:val="24"/>
        </w:rPr>
        <w:t>, </w:t>
      </w:r>
      <w:hyperlink r:id="rId593" w:history="1">
        <w:r w:rsidR="006F53C9" w:rsidRPr="004C6CA7">
          <w:rPr>
            <w:rFonts w:eastAsiaTheme="majorEastAsia" w:cs="Times New Roman"/>
            <w:b/>
            <w:bCs/>
            <w:szCs w:val="24"/>
          </w:rPr>
          <w:t>Owen GI</w:t>
        </w:r>
      </w:hyperlink>
      <w:r w:rsidR="006F53C9" w:rsidRPr="004C6CA7">
        <w:rPr>
          <w:rFonts w:eastAsiaTheme="majorEastAsia" w:cs="Times New Roman"/>
          <w:b/>
          <w:bCs/>
          <w:szCs w:val="24"/>
        </w:rPr>
        <w:t xml:space="preserve">. </w:t>
      </w:r>
      <w:r w:rsidR="006F53C9" w:rsidRPr="004C6CA7">
        <w:rPr>
          <w:rFonts w:eastAsia="Calibri" w:cs="Times New Roman"/>
          <w:szCs w:val="24"/>
        </w:rPr>
        <w:t xml:space="preserve">Glucose transporters: expression, regulation and cancer. </w:t>
      </w:r>
      <w:r w:rsidR="006F53C9" w:rsidRPr="004C6CA7">
        <w:rPr>
          <w:rFonts w:eastAsia="Calibri" w:cs="Times New Roman"/>
          <w:i/>
          <w:szCs w:val="24"/>
        </w:rPr>
        <w:t>Biological Research</w:t>
      </w:r>
      <w:r w:rsidR="006F53C9" w:rsidRPr="004C6CA7">
        <w:rPr>
          <w:rFonts w:eastAsia="Calibri" w:cs="Times New Roman"/>
          <w:szCs w:val="24"/>
        </w:rPr>
        <w:t xml:space="preserve"> 2002, 35 (1), 9-26.</w:t>
      </w:r>
    </w:p>
    <w:p w:rsidR="004B5084" w:rsidRDefault="0037177D" w:rsidP="004B5084">
      <w:pPr>
        <w:autoSpaceDE w:val="0"/>
        <w:autoSpaceDN w:val="0"/>
        <w:adjustRightInd w:val="0"/>
        <w:spacing w:before="120" w:after="240"/>
        <w:ind w:firstLine="0"/>
        <w:rPr>
          <w:rFonts w:eastAsia="Calibri" w:cs="Times New Roman"/>
          <w:szCs w:val="24"/>
        </w:rPr>
      </w:pPr>
      <w:hyperlink r:id="rId594" w:history="1">
        <w:r w:rsidR="006F53C9" w:rsidRPr="004C6CA7">
          <w:rPr>
            <w:rFonts w:eastAsia="Calibri" w:cs="Times New Roman"/>
            <w:b/>
            <w:szCs w:val="24"/>
          </w:rPr>
          <w:t>Miao P</w:t>
        </w:r>
      </w:hyperlink>
      <w:r w:rsidR="006F53C9" w:rsidRPr="004C6CA7">
        <w:rPr>
          <w:rFonts w:eastAsia="Calibri" w:cs="Times New Roman"/>
          <w:b/>
          <w:szCs w:val="24"/>
        </w:rPr>
        <w:t>, </w:t>
      </w:r>
      <w:hyperlink r:id="rId595" w:history="1">
        <w:r w:rsidR="006F53C9" w:rsidRPr="004C6CA7">
          <w:rPr>
            <w:rFonts w:eastAsia="Calibri" w:cs="Times New Roman"/>
            <w:b/>
            <w:szCs w:val="24"/>
          </w:rPr>
          <w:t>Sheng S</w:t>
        </w:r>
      </w:hyperlink>
      <w:r w:rsidR="006F53C9" w:rsidRPr="004C6CA7">
        <w:rPr>
          <w:rFonts w:eastAsia="Calibri" w:cs="Times New Roman"/>
          <w:b/>
          <w:szCs w:val="24"/>
        </w:rPr>
        <w:t>, </w:t>
      </w:r>
      <w:hyperlink r:id="rId596" w:history="1">
        <w:r w:rsidR="006F53C9" w:rsidRPr="004C6CA7">
          <w:rPr>
            <w:rFonts w:eastAsia="Calibri" w:cs="Times New Roman"/>
            <w:b/>
            <w:szCs w:val="24"/>
          </w:rPr>
          <w:t>Sun X</w:t>
        </w:r>
      </w:hyperlink>
      <w:r w:rsidR="006F53C9" w:rsidRPr="004C6CA7">
        <w:rPr>
          <w:rFonts w:eastAsia="Calibri" w:cs="Times New Roman"/>
          <w:b/>
          <w:szCs w:val="24"/>
        </w:rPr>
        <w:t>, </w:t>
      </w:r>
      <w:hyperlink r:id="rId597" w:history="1">
        <w:r w:rsidR="006F53C9" w:rsidRPr="004C6CA7">
          <w:rPr>
            <w:rFonts w:eastAsia="Calibri" w:cs="Times New Roman"/>
            <w:b/>
            <w:szCs w:val="24"/>
          </w:rPr>
          <w:t>Liu J</w:t>
        </w:r>
      </w:hyperlink>
      <w:r w:rsidR="006F53C9" w:rsidRPr="004C6CA7">
        <w:rPr>
          <w:rFonts w:eastAsia="Calibri" w:cs="Times New Roman"/>
          <w:b/>
          <w:szCs w:val="24"/>
        </w:rPr>
        <w:t>, </w:t>
      </w:r>
      <w:hyperlink r:id="rId598" w:history="1">
        <w:r w:rsidR="006F53C9" w:rsidRPr="004C6CA7">
          <w:rPr>
            <w:rFonts w:eastAsia="Calibri" w:cs="Times New Roman"/>
            <w:b/>
            <w:szCs w:val="24"/>
          </w:rPr>
          <w:t>Huang G</w:t>
        </w:r>
      </w:hyperlink>
      <w:r w:rsidR="006F53C9" w:rsidRPr="004C6CA7">
        <w:rPr>
          <w:rFonts w:eastAsia="Calibri" w:cs="Times New Roman"/>
          <w:b/>
          <w:szCs w:val="24"/>
        </w:rPr>
        <w:t xml:space="preserve">. </w:t>
      </w:r>
      <w:r w:rsidR="006F53C9" w:rsidRPr="004C6CA7">
        <w:rPr>
          <w:rFonts w:eastAsia="Calibri" w:cs="Times New Roman"/>
          <w:szCs w:val="24"/>
        </w:rPr>
        <w:t xml:space="preserve">Lactate dehydrogenase A in cancer: a promising target for diagnosis and therapy. </w:t>
      </w:r>
      <w:r w:rsidR="006F53C9" w:rsidRPr="004C6CA7">
        <w:rPr>
          <w:rFonts w:eastAsia="Calibri" w:cs="Times New Roman"/>
          <w:i/>
          <w:szCs w:val="24"/>
        </w:rPr>
        <w:t>IUBMB Life</w:t>
      </w:r>
      <w:r w:rsidR="006F53C9" w:rsidRPr="004C6CA7">
        <w:rPr>
          <w:rFonts w:eastAsia="Calibri" w:cs="Times New Roman"/>
          <w:szCs w:val="24"/>
        </w:rPr>
        <w:t xml:space="preserve"> 2013, 65 (11), 904-910.</w:t>
      </w:r>
    </w:p>
    <w:p w:rsidR="004B5084" w:rsidRDefault="006F53C9" w:rsidP="004B5084">
      <w:pPr>
        <w:autoSpaceDE w:val="0"/>
        <w:autoSpaceDN w:val="0"/>
        <w:adjustRightInd w:val="0"/>
        <w:spacing w:before="120" w:after="240"/>
        <w:ind w:firstLine="0"/>
        <w:rPr>
          <w:rFonts w:eastAsia="Calibri" w:cs="Times New Roman"/>
          <w:szCs w:val="24"/>
        </w:rPr>
      </w:pPr>
      <w:r w:rsidRPr="004C6CA7">
        <w:rPr>
          <w:rFonts w:eastAsiaTheme="majorEastAsia" w:cs="Times New Roman"/>
          <w:b/>
          <w:bCs/>
          <w:szCs w:val="24"/>
        </w:rPr>
        <w:t>Minchenko O, Opentanova I, Caro J.</w:t>
      </w:r>
      <w:r w:rsidRPr="004C6CA7">
        <w:rPr>
          <w:rFonts w:asciiTheme="majorHAnsi" w:eastAsiaTheme="majorEastAsia" w:hAnsiTheme="majorHAnsi" w:cstheme="majorBidi"/>
          <w:b/>
          <w:bCs/>
          <w:color w:val="4F81BD" w:themeColor="accent1"/>
          <w:sz w:val="26"/>
          <w:szCs w:val="26"/>
        </w:rPr>
        <w:t xml:space="preserve"> </w:t>
      </w:r>
      <w:r w:rsidRPr="004C6CA7">
        <w:rPr>
          <w:rFonts w:eastAsia="Calibri" w:cs="Times New Roman"/>
          <w:szCs w:val="24"/>
        </w:rPr>
        <w:t xml:space="preserve">Hypoxic regulation of the 6‐phosphofructo‐2‐kinase/fructose‐2,6‐bisphosphatase gene family (PFKFB‐1–4) expression in vivo. </w:t>
      </w:r>
      <w:r w:rsidRPr="004C6CA7">
        <w:rPr>
          <w:rFonts w:eastAsia="Calibri" w:cs="Times New Roman"/>
          <w:i/>
          <w:szCs w:val="24"/>
        </w:rPr>
        <w:t>FEBS Letters</w:t>
      </w:r>
      <w:r w:rsidRPr="004C6CA7">
        <w:rPr>
          <w:rFonts w:eastAsia="Calibri" w:cs="Times New Roman"/>
          <w:szCs w:val="24"/>
        </w:rPr>
        <w:t xml:space="preserve"> 2003, 554 (3), 264-270. </w:t>
      </w:r>
    </w:p>
    <w:p w:rsidR="006F53C9" w:rsidRPr="004C6CA7" w:rsidRDefault="0037177D" w:rsidP="004B5084">
      <w:pPr>
        <w:autoSpaceDE w:val="0"/>
        <w:autoSpaceDN w:val="0"/>
        <w:adjustRightInd w:val="0"/>
        <w:spacing w:before="120" w:after="240"/>
        <w:ind w:firstLine="0"/>
        <w:rPr>
          <w:rFonts w:eastAsia="Calibri" w:cs="Times New Roman"/>
          <w:szCs w:val="24"/>
        </w:rPr>
      </w:pPr>
      <w:hyperlink r:id="rId599" w:history="1">
        <w:r w:rsidR="006F53C9" w:rsidRPr="004C6CA7">
          <w:rPr>
            <w:rFonts w:eastAsia="Calibri" w:cs="Times New Roman"/>
            <w:b/>
            <w:szCs w:val="24"/>
          </w:rPr>
          <w:t>Miranda-Gonçalves V</w:t>
        </w:r>
      </w:hyperlink>
      <w:r w:rsidR="006F53C9" w:rsidRPr="004C6CA7">
        <w:rPr>
          <w:rFonts w:eastAsia="Calibri" w:cs="Times New Roman"/>
          <w:b/>
          <w:szCs w:val="24"/>
        </w:rPr>
        <w:t>, </w:t>
      </w:r>
      <w:hyperlink r:id="rId600" w:history="1">
        <w:r w:rsidR="006F53C9" w:rsidRPr="004C6CA7">
          <w:rPr>
            <w:rFonts w:eastAsia="Calibri" w:cs="Times New Roman"/>
            <w:b/>
            <w:szCs w:val="24"/>
          </w:rPr>
          <w:t>Honavar M</w:t>
        </w:r>
      </w:hyperlink>
      <w:r w:rsidR="006F53C9" w:rsidRPr="004C6CA7">
        <w:rPr>
          <w:rFonts w:eastAsia="Calibri" w:cs="Times New Roman"/>
          <w:b/>
          <w:szCs w:val="24"/>
        </w:rPr>
        <w:t>, </w:t>
      </w:r>
      <w:hyperlink r:id="rId601" w:history="1">
        <w:r w:rsidR="006F53C9" w:rsidRPr="004C6CA7">
          <w:rPr>
            <w:rFonts w:eastAsia="Calibri" w:cs="Times New Roman"/>
            <w:b/>
            <w:szCs w:val="24"/>
          </w:rPr>
          <w:t>Pinheiro C</w:t>
        </w:r>
      </w:hyperlink>
      <w:r w:rsidR="006F53C9" w:rsidRPr="004C6CA7">
        <w:rPr>
          <w:rFonts w:eastAsia="Calibri" w:cs="Times New Roman"/>
          <w:b/>
          <w:szCs w:val="24"/>
        </w:rPr>
        <w:t>, </w:t>
      </w:r>
      <w:hyperlink r:id="rId602" w:history="1">
        <w:r w:rsidR="006F53C9" w:rsidRPr="004C6CA7">
          <w:rPr>
            <w:rFonts w:eastAsia="Calibri" w:cs="Times New Roman"/>
            <w:b/>
            <w:szCs w:val="24"/>
          </w:rPr>
          <w:t>Martinho O</w:t>
        </w:r>
      </w:hyperlink>
      <w:r w:rsidR="006F53C9" w:rsidRPr="004C6CA7">
        <w:rPr>
          <w:rFonts w:eastAsia="Calibri" w:cs="Times New Roman"/>
          <w:b/>
          <w:szCs w:val="24"/>
        </w:rPr>
        <w:t>, </w:t>
      </w:r>
      <w:hyperlink r:id="rId603" w:history="1">
        <w:r w:rsidR="006F53C9" w:rsidRPr="004C6CA7">
          <w:rPr>
            <w:rFonts w:eastAsia="Calibri" w:cs="Times New Roman"/>
            <w:b/>
            <w:szCs w:val="24"/>
          </w:rPr>
          <w:t>Pires MM</w:t>
        </w:r>
      </w:hyperlink>
      <w:r w:rsidR="006F53C9" w:rsidRPr="004C6CA7">
        <w:rPr>
          <w:rFonts w:eastAsia="Calibri" w:cs="Times New Roman"/>
          <w:b/>
          <w:szCs w:val="24"/>
        </w:rPr>
        <w:t>, </w:t>
      </w:r>
      <w:hyperlink r:id="rId604" w:history="1">
        <w:r w:rsidR="006F53C9" w:rsidRPr="004C6CA7">
          <w:rPr>
            <w:rFonts w:eastAsia="Calibri" w:cs="Times New Roman"/>
            <w:b/>
            <w:szCs w:val="24"/>
          </w:rPr>
          <w:t>Pinheiro C</w:t>
        </w:r>
      </w:hyperlink>
      <w:r w:rsidR="006F53C9" w:rsidRPr="004C6CA7">
        <w:rPr>
          <w:rFonts w:eastAsia="Calibri" w:cs="Times New Roman"/>
          <w:b/>
          <w:szCs w:val="24"/>
        </w:rPr>
        <w:t>, </w:t>
      </w:r>
      <w:hyperlink r:id="rId605" w:history="1">
        <w:r w:rsidR="006F53C9" w:rsidRPr="004C6CA7">
          <w:rPr>
            <w:rFonts w:eastAsia="Calibri" w:cs="Times New Roman"/>
            <w:b/>
            <w:szCs w:val="24"/>
          </w:rPr>
          <w:t>Cordeiro M</w:t>
        </w:r>
      </w:hyperlink>
      <w:r w:rsidR="006F53C9" w:rsidRPr="004C6CA7">
        <w:rPr>
          <w:rFonts w:eastAsia="Calibri" w:cs="Times New Roman"/>
          <w:b/>
          <w:szCs w:val="24"/>
        </w:rPr>
        <w:t>, </w:t>
      </w:r>
      <w:hyperlink r:id="rId606" w:history="1">
        <w:r w:rsidR="006F53C9" w:rsidRPr="004C6CA7">
          <w:rPr>
            <w:rFonts w:eastAsia="Calibri" w:cs="Times New Roman"/>
            <w:b/>
            <w:szCs w:val="24"/>
          </w:rPr>
          <w:t>Bebiano G</w:t>
        </w:r>
      </w:hyperlink>
      <w:r w:rsidR="006F53C9" w:rsidRPr="004C6CA7">
        <w:rPr>
          <w:rFonts w:eastAsia="Calibri" w:cs="Times New Roman"/>
          <w:b/>
          <w:szCs w:val="24"/>
        </w:rPr>
        <w:t>, </w:t>
      </w:r>
      <w:hyperlink r:id="rId607" w:history="1">
        <w:r w:rsidR="006F53C9" w:rsidRPr="004C6CA7">
          <w:rPr>
            <w:rFonts w:eastAsia="Calibri" w:cs="Times New Roman"/>
            <w:b/>
            <w:szCs w:val="24"/>
          </w:rPr>
          <w:t>Costa P</w:t>
        </w:r>
      </w:hyperlink>
      <w:r w:rsidR="006F53C9" w:rsidRPr="004C6CA7">
        <w:rPr>
          <w:rFonts w:eastAsia="Calibri" w:cs="Times New Roman"/>
          <w:b/>
          <w:szCs w:val="24"/>
        </w:rPr>
        <w:t>, </w:t>
      </w:r>
      <w:hyperlink r:id="rId608" w:history="1">
        <w:r w:rsidR="006F53C9" w:rsidRPr="004C6CA7">
          <w:rPr>
            <w:rFonts w:eastAsia="Calibri" w:cs="Times New Roman"/>
            <w:b/>
            <w:szCs w:val="24"/>
          </w:rPr>
          <w:t>Palmeirim I</w:t>
        </w:r>
      </w:hyperlink>
      <w:r w:rsidR="006F53C9" w:rsidRPr="004C6CA7">
        <w:rPr>
          <w:rFonts w:eastAsia="Calibri" w:cs="Times New Roman"/>
          <w:b/>
          <w:szCs w:val="24"/>
        </w:rPr>
        <w:t>, </w:t>
      </w:r>
      <w:hyperlink r:id="rId609" w:history="1">
        <w:r w:rsidR="006F53C9" w:rsidRPr="004C6CA7">
          <w:rPr>
            <w:rFonts w:eastAsia="Calibri" w:cs="Times New Roman"/>
            <w:b/>
            <w:szCs w:val="24"/>
          </w:rPr>
          <w:t>Reis RM</w:t>
        </w:r>
      </w:hyperlink>
      <w:r w:rsidR="006F53C9" w:rsidRPr="004C6CA7">
        <w:rPr>
          <w:rFonts w:eastAsia="Calibri" w:cs="Times New Roman"/>
          <w:b/>
          <w:szCs w:val="24"/>
        </w:rPr>
        <w:t>, </w:t>
      </w:r>
      <w:hyperlink r:id="rId610" w:history="1">
        <w:r w:rsidR="006F53C9" w:rsidRPr="004C6CA7">
          <w:rPr>
            <w:rFonts w:eastAsia="Calibri" w:cs="Times New Roman"/>
            <w:b/>
            <w:szCs w:val="24"/>
          </w:rPr>
          <w:t>Baltazar F</w:t>
        </w:r>
      </w:hyperlink>
      <w:r w:rsidR="006F53C9" w:rsidRPr="004C6CA7">
        <w:rPr>
          <w:rFonts w:eastAsia="Calibri" w:cs="Times New Roman"/>
          <w:b/>
          <w:szCs w:val="24"/>
        </w:rPr>
        <w:t>.</w:t>
      </w:r>
      <w:r w:rsidR="006F53C9" w:rsidRPr="004C6CA7">
        <w:rPr>
          <w:rFonts w:eastAsia="Calibri" w:cs="Times New Roman"/>
          <w:szCs w:val="24"/>
        </w:rPr>
        <w:t xml:space="preserve"> Monocarboxylate </w:t>
      </w:r>
      <w:r w:rsidR="006F53C9" w:rsidRPr="004C6CA7">
        <w:rPr>
          <w:rFonts w:eastAsia="Calibri" w:cs="Times New Roman"/>
          <w:szCs w:val="24"/>
        </w:rPr>
        <w:lastRenderedPageBreak/>
        <w:t xml:space="preserve">transporters (MCTs) in gliomas: expression and exploitation as therapeutic targets. </w:t>
      </w:r>
      <w:r w:rsidR="006F53C9" w:rsidRPr="004C6CA7">
        <w:rPr>
          <w:rFonts w:eastAsia="Calibri" w:cs="Times New Roman"/>
          <w:i/>
          <w:szCs w:val="24"/>
        </w:rPr>
        <w:t>Neuro-oncology</w:t>
      </w:r>
      <w:r w:rsidR="006F53C9" w:rsidRPr="004C6CA7">
        <w:rPr>
          <w:rFonts w:eastAsia="Calibri" w:cs="Times New Roman"/>
          <w:szCs w:val="24"/>
        </w:rPr>
        <w:t xml:space="preserve"> 2013, 15(2),172-188.</w:t>
      </w:r>
    </w:p>
    <w:p w:rsidR="006F53C9" w:rsidRPr="004C6CA7" w:rsidRDefault="0037177D" w:rsidP="004B5084">
      <w:pPr>
        <w:spacing w:before="120" w:after="240"/>
        <w:ind w:firstLine="0"/>
        <w:rPr>
          <w:rFonts w:eastAsia="Calibri" w:cs="Times New Roman"/>
          <w:szCs w:val="24"/>
        </w:rPr>
      </w:pPr>
      <w:hyperlink r:id="rId611" w:history="1">
        <w:r w:rsidR="006F53C9" w:rsidRPr="004C6CA7">
          <w:rPr>
            <w:rFonts w:eastAsiaTheme="majorEastAsia" w:cs="Times New Roman"/>
            <w:b/>
            <w:bCs/>
            <w:szCs w:val="24"/>
          </w:rPr>
          <w:t>Mobasheri A</w:t>
        </w:r>
      </w:hyperlink>
      <w:r w:rsidR="006F53C9" w:rsidRPr="004C6CA7">
        <w:rPr>
          <w:rFonts w:eastAsiaTheme="majorEastAsia" w:cs="Times New Roman"/>
          <w:b/>
          <w:bCs/>
          <w:szCs w:val="24"/>
        </w:rPr>
        <w:t>, </w:t>
      </w:r>
      <w:hyperlink r:id="rId612" w:history="1">
        <w:r w:rsidR="006F53C9" w:rsidRPr="004C6CA7">
          <w:rPr>
            <w:rFonts w:eastAsiaTheme="majorEastAsia" w:cs="Times New Roman"/>
            <w:b/>
            <w:bCs/>
            <w:szCs w:val="24"/>
          </w:rPr>
          <w:t>Richardson S</w:t>
        </w:r>
      </w:hyperlink>
      <w:r w:rsidR="006F53C9" w:rsidRPr="004C6CA7">
        <w:rPr>
          <w:rFonts w:eastAsiaTheme="majorEastAsia" w:cs="Times New Roman"/>
          <w:b/>
          <w:bCs/>
          <w:szCs w:val="24"/>
        </w:rPr>
        <w:t>, </w:t>
      </w:r>
      <w:hyperlink r:id="rId613" w:history="1">
        <w:r w:rsidR="006F53C9" w:rsidRPr="004C6CA7">
          <w:rPr>
            <w:rFonts w:eastAsiaTheme="majorEastAsia" w:cs="Times New Roman"/>
            <w:b/>
            <w:bCs/>
            <w:szCs w:val="24"/>
          </w:rPr>
          <w:t>Mobasheri R</w:t>
        </w:r>
      </w:hyperlink>
      <w:r w:rsidR="006F53C9" w:rsidRPr="004C6CA7">
        <w:rPr>
          <w:rFonts w:eastAsiaTheme="majorEastAsia" w:cs="Times New Roman"/>
          <w:b/>
          <w:bCs/>
          <w:szCs w:val="24"/>
        </w:rPr>
        <w:t>, </w:t>
      </w:r>
      <w:hyperlink r:id="rId614" w:history="1">
        <w:r w:rsidR="006F53C9" w:rsidRPr="004C6CA7">
          <w:rPr>
            <w:rFonts w:eastAsiaTheme="majorEastAsia" w:cs="Times New Roman"/>
            <w:b/>
            <w:bCs/>
            <w:szCs w:val="24"/>
          </w:rPr>
          <w:t>Shakibaei M</w:t>
        </w:r>
      </w:hyperlink>
      <w:r w:rsidR="006F53C9" w:rsidRPr="004C6CA7">
        <w:rPr>
          <w:rFonts w:eastAsiaTheme="majorEastAsia" w:cs="Times New Roman"/>
          <w:b/>
          <w:bCs/>
          <w:szCs w:val="24"/>
        </w:rPr>
        <w:t>, </w:t>
      </w:r>
      <w:hyperlink r:id="rId615" w:history="1">
        <w:r w:rsidR="006F53C9" w:rsidRPr="004C6CA7">
          <w:rPr>
            <w:rFonts w:eastAsiaTheme="majorEastAsia" w:cs="Times New Roman"/>
            <w:b/>
            <w:bCs/>
            <w:szCs w:val="24"/>
          </w:rPr>
          <w:t>Hoyland JA</w:t>
        </w:r>
      </w:hyperlink>
      <w:r w:rsidR="006F53C9" w:rsidRPr="004C6CA7">
        <w:rPr>
          <w:rFonts w:eastAsiaTheme="majorEastAsia" w:cs="Times New Roman"/>
          <w:b/>
          <w:bCs/>
          <w:szCs w:val="24"/>
        </w:rPr>
        <w:t>.</w:t>
      </w:r>
      <w:r w:rsidR="006F53C9" w:rsidRPr="004C6CA7">
        <w:rPr>
          <w:rFonts w:eastAsia="Calibri" w:cs="Times New Roman"/>
          <w:szCs w:val="24"/>
        </w:rPr>
        <w:t xml:space="preserve"> Hypoxia inducible factor-1 and facilitative glucose transporters GLUT1 and GLUT3: puta-tive molecular components of the oxygen and glucose sensing apparatus in ar-ticular chondrocytes, </w:t>
      </w:r>
      <w:r w:rsidR="006F53C9" w:rsidRPr="004C6CA7">
        <w:rPr>
          <w:rFonts w:eastAsia="Calibri" w:cs="Times New Roman"/>
          <w:i/>
          <w:szCs w:val="24"/>
        </w:rPr>
        <w:t>Histology and Histopathology</w:t>
      </w:r>
      <w:r w:rsidR="006F53C9" w:rsidRPr="004C6CA7">
        <w:rPr>
          <w:rFonts w:eastAsia="Calibri" w:cs="Times New Roman"/>
          <w:szCs w:val="24"/>
        </w:rPr>
        <w:t xml:space="preserve"> 2005, 20, 1327–1338.</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Moellering RE, Cravatt BF.</w:t>
      </w:r>
      <w:r w:rsidRPr="004C6CA7">
        <w:rPr>
          <w:rFonts w:ascii="Calibri" w:eastAsia="Calibri" w:hAnsi="Calibri" w:cs="Times New Roman"/>
          <w:sz w:val="22"/>
        </w:rPr>
        <w:t xml:space="preserve"> </w:t>
      </w:r>
      <w:r w:rsidRPr="004C6CA7">
        <w:rPr>
          <w:rFonts w:eastAsia="Calibri" w:cs="Times New Roman"/>
          <w:szCs w:val="24"/>
        </w:rPr>
        <w:t xml:space="preserve">Functional lysine modification by an intrinsically reactive primary glycolytic metabolite. </w:t>
      </w:r>
      <w:r w:rsidRPr="004C6CA7">
        <w:rPr>
          <w:rFonts w:eastAsia="Calibri" w:cs="Times New Roman"/>
          <w:i/>
          <w:szCs w:val="24"/>
        </w:rPr>
        <w:t>Science</w:t>
      </w:r>
      <w:r w:rsidRPr="004C6CA7">
        <w:rPr>
          <w:rFonts w:eastAsia="Calibri" w:cs="Times New Roman"/>
          <w:szCs w:val="24"/>
        </w:rPr>
        <w:t xml:space="preserve"> 2013, 341,549–553.</w:t>
      </w:r>
    </w:p>
    <w:p w:rsidR="006F53C9" w:rsidRPr="004C6CA7" w:rsidRDefault="006F53C9" w:rsidP="004B5084">
      <w:pPr>
        <w:keepNext/>
        <w:keepLines/>
        <w:shd w:val="clear" w:color="auto" w:fill="FFFFFF"/>
        <w:spacing w:before="120" w:after="240"/>
        <w:ind w:firstLine="0"/>
        <w:outlineLvl w:val="0"/>
        <w:rPr>
          <w:rFonts w:eastAsia="Calibri" w:cs="Times New Roman"/>
          <w:szCs w:val="24"/>
        </w:rPr>
      </w:pPr>
      <w:r w:rsidRPr="004C6CA7">
        <w:rPr>
          <w:rFonts w:eastAsia="Calibri" w:cs="Times New Roman"/>
          <w:b/>
          <w:szCs w:val="24"/>
        </w:rPr>
        <w:t>Morgan HP, O’Reilly FJ, Wear MA, O’Neill JR, Fothergill-Gilmore LA, Hupp T, Walkinshaw MD</w:t>
      </w:r>
      <w:r w:rsidRPr="004C6CA7">
        <w:rPr>
          <w:rFonts w:eastAsiaTheme="majorEastAsia" w:cstheme="majorBidi"/>
          <w:b/>
          <w:bCs/>
          <w:color w:val="365F91" w:themeColor="accent1" w:themeShade="BF"/>
          <w:szCs w:val="24"/>
        </w:rPr>
        <w:t xml:space="preserve">. </w:t>
      </w:r>
      <w:r w:rsidRPr="004C6CA7">
        <w:rPr>
          <w:rFonts w:eastAsia="Calibri" w:cs="Times New Roman"/>
          <w:szCs w:val="24"/>
        </w:rPr>
        <w:t xml:space="preserve">M2 pyruvate kinase provides a mechanism for nutrient sensing and regulation of cell proliferation. </w:t>
      </w:r>
      <w:r w:rsidRPr="004C6CA7">
        <w:rPr>
          <w:rFonts w:eastAsia="Calibri" w:cs="Times New Roman"/>
          <w:i/>
          <w:szCs w:val="24"/>
        </w:rPr>
        <w:t>PNAS</w:t>
      </w:r>
      <w:r w:rsidRPr="004C6CA7">
        <w:rPr>
          <w:rFonts w:eastAsia="Calibri" w:cs="Times New Roman"/>
          <w:szCs w:val="24"/>
        </w:rPr>
        <w:t xml:space="preserve"> 2013, 110 (15), 5881-5886. </w:t>
      </w:r>
    </w:p>
    <w:p w:rsidR="006F53C9" w:rsidRPr="004C6CA7" w:rsidRDefault="0037177D" w:rsidP="004B5084">
      <w:pPr>
        <w:keepNext/>
        <w:keepLines/>
        <w:shd w:val="clear" w:color="auto" w:fill="FFFFFF"/>
        <w:spacing w:before="120" w:after="240"/>
        <w:ind w:firstLine="0"/>
        <w:outlineLvl w:val="0"/>
        <w:rPr>
          <w:rFonts w:eastAsia="Calibri" w:cs="Times New Roman"/>
          <w:szCs w:val="24"/>
        </w:rPr>
      </w:pPr>
      <w:hyperlink r:id="rId616" w:history="1">
        <w:r w:rsidR="006F53C9" w:rsidRPr="004C6CA7">
          <w:rPr>
            <w:rFonts w:eastAsiaTheme="majorEastAsia" w:cs="Times New Roman"/>
            <w:b/>
            <w:bCs/>
            <w:szCs w:val="24"/>
          </w:rPr>
          <w:t>Mukherjee J</w:t>
        </w:r>
      </w:hyperlink>
      <w:r w:rsidR="006F53C9" w:rsidRPr="004C6CA7">
        <w:rPr>
          <w:rFonts w:eastAsiaTheme="majorEastAsia" w:cs="Times New Roman"/>
          <w:b/>
          <w:bCs/>
          <w:szCs w:val="24"/>
        </w:rPr>
        <w:t>, </w:t>
      </w:r>
      <w:hyperlink r:id="rId617" w:history="1">
        <w:r w:rsidR="006F53C9" w:rsidRPr="004C6CA7">
          <w:rPr>
            <w:rFonts w:eastAsiaTheme="majorEastAsia" w:cs="Times New Roman"/>
            <w:b/>
            <w:bCs/>
            <w:szCs w:val="24"/>
          </w:rPr>
          <w:t>Phillips JJ</w:t>
        </w:r>
      </w:hyperlink>
      <w:r w:rsidR="006F53C9" w:rsidRPr="004C6CA7">
        <w:rPr>
          <w:rFonts w:eastAsiaTheme="majorEastAsia" w:cs="Times New Roman"/>
          <w:b/>
          <w:bCs/>
          <w:szCs w:val="24"/>
        </w:rPr>
        <w:t>, </w:t>
      </w:r>
      <w:hyperlink r:id="rId618" w:history="1">
        <w:r w:rsidR="006F53C9" w:rsidRPr="004C6CA7">
          <w:rPr>
            <w:rFonts w:eastAsiaTheme="majorEastAsia" w:cs="Times New Roman"/>
            <w:b/>
            <w:bCs/>
            <w:szCs w:val="24"/>
          </w:rPr>
          <w:t>Zheng S</w:t>
        </w:r>
      </w:hyperlink>
      <w:r w:rsidR="006F53C9" w:rsidRPr="004C6CA7">
        <w:rPr>
          <w:rFonts w:eastAsiaTheme="majorEastAsia" w:cs="Times New Roman"/>
          <w:b/>
          <w:bCs/>
          <w:szCs w:val="24"/>
        </w:rPr>
        <w:t>, </w:t>
      </w:r>
      <w:hyperlink r:id="rId619" w:history="1">
        <w:r w:rsidR="006F53C9" w:rsidRPr="004C6CA7">
          <w:rPr>
            <w:rFonts w:eastAsiaTheme="majorEastAsia" w:cs="Times New Roman"/>
            <w:b/>
            <w:bCs/>
            <w:szCs w:val="24"/>
          </w:rPr>
          <w:t>Wiencke J</w:t>
        </w:r>
      </w:hyperlink>
      <w:r w:rsidR="006F53C9" w:rsidRPr="004C6CA7">
        <w:rPr>
          <w:rFonts w:eastAsiaTheme="majorEastAsia" w:cs="Times New Roman"/>
          <w:b/>
          <w:bCs/>
          <w:szCs w:val="24"/>
        </w:rPr>
        <w:t>, </w:t>
      </w:r>
      <w:hyperlink r:id="rId620" w:history="1">
        <w:r w:rsidR="006F53C9" w:rsidRPr="004C6CA7">
          <w:rPr>
            <w:rFonts w:eastAsiaTheme="majorEastAsia" w:cs="Times New Roman"/>
            <w:b/>
            <w:bCs/>
            <w:szCs w:val="24"/>
          </w:rPr>
          <w:t>Ronen SM</w:t>
        </w:r>
      </w:hyperlink>
      <w:r w:rsidR="006F53C9" w:rsidRPr="004C6CA7">
        <w:rPr>
          <w:rFonts w:eastAsiaTheme="majorEastAsia" w:cs="Times New Roman"/>
          <w:b/>
          <w:bCs/>
          <w:szCs w:val="24"/>
        </w:rPr>
        <w:t>, </w:t>
      </w:r>
      <w:hyperlink r:id="rId621" w:history="1">
        <w:r w:rsidR="006F53C9" w:rsidRPr="004C6CA7">
          <w:rPr>
            <w:rFonts w:eastAsiaTheme="majorEastAsia" w:cs="Times New Roman"/>
            <w:b/>
            <w:bCs/>
            <w:szCs w:val="24"/>
          </w:rPr>
          <w:t>Pieper RO</w:t>
        </w:r>
      </w:hyperlink>
      <w:r w:rsidR="006F53C9" w:rsidRPr="004C6CA7">
        <w:rPr>
          <w:rFonts w:eastAsiaTheme="majorEastAsia" w:cs="Times New Roman"/>
          <w:b/>
          <w:bCs/>
          <w:szCs w:val="24"/>
        </w:rPr>
        <w:t>.</w:t>
      </w:r>
      <w:r w:rsidR="006F53C9" w:rsidRPr="004C6CA7">
        <w:rPr>
          <w:rFonts w:eastAsiaTheme="majorEastAsia" w:cstheme="majorBidi"/>
          <w:color w:val="365F91" w:themeColor="accent1" w:themeShade="BF"/>
          <w:szCs w:val="24"/>
        </w:rPr>
        <w:t xml:space="preserve"> </w:t>
      </w:r>
      <w:r w:rsidR="006F53C9" w:rsidRPr="004C6CA7">
        <w:rPr>
          <w:rFonts w:eastAsia="Calibri" w:cs="Times New Roman"/>
          <w:szCs w:val="24"/>
        </w:rPr>
        <w:t xml:space="preserve">Pyruvate kinase M2 expression, but not pyruvate kinase activity, is up-regulated in a grade-specific manner in human glioma. </w:t>
      </w:r>
      <w:r w:rsidR="006F53C9" w:rsidRPr="004C6CA7">
        <w:rPr>
          <w:rFonts w:eastAsia="Calibri" w:cs="Times New Roman"/>
          <w:i/>
          <w:szCs w:val="24"/>
        </w:rPr>
        <w:t>PLoS One</w:t>
      </w:r>
      <w:r w:rsidR="006F53C9" w:rsidRPr="004C6CA7">
        <w:rPr>
          <w:rFonts w:eastAsia="Calibri" w:cs="Times New Roman"/>
          <w:szCs w:val="24"/>
        </w:rPr>
        <w:t xml:space="preserve"> 2013, 8 (2), e57610.</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Mulukutla BC, Yongky A, Le T, Mashek DG, Hu WS.</w:t>
      </w:r>
      <w:r w:rsidRPr="004C6CA7">
        <w:rPr>
          <w:rFonts w:ascii="Calibri" w:eastAsia="Calibri" w:hAnsi="Calibri" w:cs="Times New Roman"/>
          <w:sz w:val="22"/>
        </w:rPr>
        <w:t xml:space="preserve"> </w:t>
      </w:r>
      <w:r w:rsidRPr="004C6CA7">
        <w:rPr>
          <w:rFonts w:eastAsia="Calibri" w:cs="Times New Roman"/>
          <w:szCs w:val="24"/>
        </w:rPr>
        <w:t xml:space="preserve">Regulation of Glucose Metabolism–A Perspective From Cell Bioprocessing. </w:t>
      </w:r>
      <w:r w:rsidRPr="004C6CA7">
        <w:rPr>
          <w:rFonts w:eastAsia="Calibri" w:cs="Times New Roman"/>
          <w:i/>
          <w:szCs w:val="24"/>
        </w:rPr>
        <w:t>Trends in Biotechnology</w:t>
      </w:r>
      <w:r w:rsidRPr="004C6CA7">
        <w:rPr>
          <w:rFonts w:eastAsia="Calibri" w:cs="Times New Roman"/>
          <w:szCs w:val="24"/>
        </w:rPr>
        <w:t xml:space="preserve"> 2016, 34 (8). </w:t>
      </w:r>
    </w:p>
    <w:p w:rsidR="006F53C9" w:rsidRPr="004C6CA7" w:rsidRDefault="006F53C9" w:rsidP="004B5084">
      <w:pPr>
        <w:spacing w:before="120" w:after="240"/>
        <w:ind w:firstLine="0"/>
        <w:rPr>
          <w:rFonts w:eastAsia="Calibri" w:cs="Times New Roman"/>
          <w:szCs w:val="24"/>
        </w:rPr>
      </w:pPr>
      <w:r w:rsidRPr="004C6CA7">
        <w:rPr>
          <w:rFonts w:eastAsia="Calibri" w:cs="Times New Roman"/>
          <w:b/>
          <w:szCs w:val="24"/>
        </w:rPr>
        <w:t>Murono K, Tsuno NH, Kawai K, Sasaki K, Hongo K, Kaneko M, Hiyoshi M, Tada N, Nirei T, Sunami E, Takashi K, Kitayama J.</w:t>
      </w:r>
      <w:r w:rsidRPr="004C6CA7">
        <w:rPr>
          <w:rFonts w:eastAsia="Calibri" w:cs="Times New Roman"/>
          <w:szCs w:val="24"/>
        </w:rPr>
        <w:t xml:space="preserve"> SN-38 Overcomes Chemoresistance of Colorectal Cancer Cells Induced by Hypoxia, through HIF1alpha. </w:t>
      </w:r>
      <w:r w:rsidRPr="004C6CA7">
        <w:rPr>
          <w:rFonts w:eastAsia="Calibri" w:cs="Times New Roman"/>
          <w:i/>
          <w:szCs w:val="24"/>
        </w:rPr>
        <w:t>Anticancer Research</w:t>
      </w:r>
      <w:r w:rsidRPr="004C6CA7">
        <w:rPr>
          <w:rFonts w:eastAsia="Calibri" w:cs="Times New Roman"/>
          <w:szCs w:val="24"/>
        </w:rPr>
        <w:t xml:space="preserve"> 2012, 32, 865-872.</w:t>
      </w:r>
    </w:p>
    <w:p w:rsidR="006F53C9" w:rsidRPr="004C6CA7" w:rsidRDefault="0037177D" w:rsidP="004B5084">
      <w:pPr>
        <w:keepNext/>
        <w:keepLines/>
        <w:shd w:val="clear" w:color="auto" w:fill="FFFFFF"/>
        <w:spacing w:before="120" w:after="240"/>
        <w:ind w:firstLine="0"/>
        <w:outlineLvl w:val="0"/>
        <w:rPr>
          <w:rFonts w:ascii="Arial" w:eastAsiaTheme="majorEastAsia" w:hAnsi="Arial" w:cs="Arial"/>
          <w:b/>
          <w:bCs/>
          <w:color w:val="000000"/>
          <w:sz w:val="17"/>
          <w:szCs w:val="17"/>
          <w:shd w:val="clear" w:color="auto" w:fill="FFFFFF"/>
        </w:rPr>
      </w:pPr>
      <w:hyperlink r:id="rId622" w:history="1">
        <w:r w:rsidR="006F53C9" w:rsidRPr="004C6CA7">
          <w:rPr>
            <w:rFonts w:eastAsiaTheme="majorEastAsia" w:cs="Times New Roman"/>
            <w:b/>
            <w:szCs w:val="24"/>
          </w:rPr>
          <w:t>Nakatsu D</w:t>
        </w:r>
      </w:hyperlink>
      <w:r w:rsidR="006F53C9" w:rsidRPr="004C6CA7">
        <w:rPr>
          <w:rFonts w:eastAsiaTheme="majorEastAsia" w:cs="Times New Roman"/>
          <w:b/>
          <w:szCs w:val="24"/>
        </w:rPr>
        <w:t>, </w:t>
      </w:r>
      <w:hyperlink r:id="rId623" w:history="1">
        <w:r w:rsidR="006F53C9" w:rsidRPr="004C6CA7">
          <w:rPr>
            <w:rFonts w:eastAsiaTheme="majorEastAsia" w:cs="Times New Roman"/>
            <w:b/>
            <w:szCs w:val="24"/>
          </w:rPr>
          <w:t>Horiuchi Y</w:t>
        </w:r>
      </w:hyperlink>
      <w:r w:rsidR="006F53C9" w:rsidRPr="004C6CA7">
        <w:rPr>
          <w:rFonts w:eastAsiaTheme="majorEastAsia" w:cs="Times New Roman"/>
          <w:b/>
          <w:szCs w:val="24"/>
        </w:rPr>
        <w:t>, </w:t>
      </w:r>
      <w:hyperlink r:id="rId624" w:history="1">
        <w:r w:rsidR="006F53C9" w:rsidRPr="004C6CA7">
          <w:rPr>
            <w:rFonts w:eastAsiaTheme="majorEastAsia" w:cs="Times New Roman"/>
            <w:b/>
            <w:szCs w:val="24"/>
          </w:rPr>
          <w:t>Kano F</w:t>
        </w:r>
      </w:hyperlink>
      <w:r w:rsidR="006F53C9" w:rsidRPr="004C6CA7">
        <w:rPr>
          <w:rFonts w:eastAsiaTheme="majorEastAsia" w:cs="Times New Roman"/>
          <w:b/>
          <w:szCs w:val="24"/>
        </w:rPr>
        <w:t>, </w:t>
      </w:r>
      <w:hyperlink r:id="rId625" w:history="1">
        <w:r w:rsidR="006F53C9" w:rsidRPr="004C6CA7">
          <w:rPr>
            <w:rFonts w:eastAsiaTheme="majorEastAsia" w:cs="Times New Roman"/>
            <w:b/>
            <w:szCs w:val="24"/>
          </w:rPr>
          <w:t>Noguchi Y</w:t>
        </w:r>
      </w:hyperlink>
      <w:r w:rsidR="006F53C9" w:rsidRPr="004C6CA7">
        <w:rPr>
          <w:rFonts w:eastAsiaTheme="majorEastAsia" w:cs="Times New Roman"/>
          <w:b/>
          <w:szCs w:val="24"/>
        </w:rPr>
        <w:t>, </w:t>
      </w:r>
      <w:hyperlink r:id="rId626" w:history="1">
        <w:r w:rsidR="006F53C9" w:rsidRPr="004C6CA7">
          <w:rPr>
            <w:rFonts w:eastAsiaTheme="majorEastAsia" w:cs="Times New Roman"/>
            <w:b/>
            <w:szCs w:val="24"/>
          </w:rPr>
          <w:t>Sugawara T</w:t>
        </w:r>
      </w:hyperlink>
      <w:r w:rsidR="006F53C9" w:rsidRPr="004C6CA7">
        <w:rPr>
          <w:rFonts w:eastAsiaTheme="majorEastAsia" w:cs="Times New Roman"/>
          <w:b/>
          <w:szCs w:val="24"/>
        </w:rPr>
        <w:t>, </w:t>
      </w:r>
      <w:hyperlink r:id="rId627" w:history="1">
        <w:r w:rsidR="006F53C9" w:rsidRPr="004C6CA7">
          <w:rPr>
            <w:rFonts w:eastAsiaTheme="majorEastAsia" w:cs="Times New Roman"/>
            <w:b/>
            <w:szCs w:val="24"/>
          </w:rPr>
          <w:t>Takamoto I</w:t>
        </w:r>
      </w:hyperlink>
      <w:r w:rsidR="006F53C9" w:rsidRPr="004C6CA7">
        <w:rPr>
          <w:rFonts w:eastAsiaTheme="majorEastAsia" w:cs="Times New Roman"/>
          <w:b/>
          <w:szCs w:val="24"/>
        </w:rPr>
        <w:t>, </w:t>
      </w:r>
      <w:hyperlink r:id="rId628" w:history="1">
        <w:r w:rsidR="006F53C9" w:rsidRPr="004C6CA7">
          <w:rPr>
            <w:rFonts w:eastAsiaTheme="majorEastAsia" w:cs="Times New Roman"/>
            <w:b/>
            <w:szCs w:val="24"/>
          </w:rPr>
          <w:t>Kubota N</w:t>
        </w:r>
      </w:hyperlink>
      <w:r w:rsidR="006F53C9" w:rsidRPr="004C6CA7">
        <w:rPr>
          <w:rFonts w:eastAsiaTheme="majorEastAsia" w:cs="Times New Roman"/>
          <w:b/>
          <w:szCs w:val="24"/>
        </w:rPr>
        <w:t>, </w:t>
      </w:r>
      <w:hyperlink r:id="rId629" w:history="1">
        <w:r w:rsidR="006F53C9" w:rsidRPr="004C6CA7">
          <w:rPr>
            <w:rFonts w:eastAsiaTheme="majorEastAsia" w:cs="Times New Roman"/>
            <w:b/>
            <w:szCs w:val="24"/>
          </w:rPr>
          <w:t>Kadowaki T</w:t>
        </w:r>
      </w:hyperlink>
      <w:r w:rsidR="006F53C9" w:rsidRPr="004C6CA7">
        <w:rPr>
          <w:rFonts w:eastAsiaTheme="majorEastAsia" w:cs="Times New Roman"/>
          <w:b/>
          <w:szCs w:val="24"/>
        </w:rPr>
        <w:t>, </w:t>
      </w:r>
      <w:hyperlink r:id="rId630" w:history="1">
        <w:r w:rsidR="006F53C9" w:rsidRPr="004C6CA7">
          <w:rPr>
            <w:rFonts w:eastAsiaTheme="majorEastAsia" w:cs="Times New Roman"/>
            <w:b/>
            <w:szCs w:val="24"/>
          </w:rPr>
          <w:t>Murata M</w:t>
        </w:r>
      </w:hyperlink>
      <w:r w:rsidR="006F53C9" w:rsidRPr="004C6CA7">
        <w:rPr>
          <w:rFonts w:eastAsiaTheme="majorEastAsia" w:cs="Times New Roman"/>
          <w:b/>
          <w:szCs w:val="24"/>
        </w:rPr>
        <w:t xml:space="preserve">. </w:t>
      </w:r>
      <w:r w:rsidR="006F53C9" w:rsidRPr="004C6CA7">
        <w:rPr>
          <w:rFonts w:eastAsia="Calibri" w:cs="Times New Roman"/>
          <w:szCs w:val="24"/>
        </w:rPr>
        <w:t xml:space="preserve">L-cysteine reversibly inhibits glucose-induced biphasic insulin secretion and ATP production by inactivating PKM2. </w:t>
      </w:r>
      <w:r w:rsidR="006F53C9" w:rsidRPr="004C6CA7">
        <w:rPr>
          <w:rFonts w:eastAsia="Calibri" w:cs="Times New Roman"/>
          <w:i/>
          <w:szCs w:val="24"/>
        </w:rPr>
        <w:t>Proceedings of The National Academy of Sciences of The United States of America</w:t>
      </w:r>
      <w:r w:rsidR="006F53C9" w:rsidRPr="004C6CA7">
        <w:rPr>
          <w:rFonts w:eastAsia="Calibri" w:cs="Times New Roman"/>
          <w:szCs w:val="24"/>
        </w:rPr>
        <w:t xml:space="preserve"> 2015, 112 (10), E1067-1076.</w:t>
      </w:r>
      <w:r w:rsidR="006F53C9" w:rsidRPr="004C6CA7">
        <w:rPr>
          <w:rFonts w:ascii="Arial" w:eastAsiaTheme="majorEastAsia" w:hAnsi="Arial" w:cs="Arial"/>
          <w:b/>
          <w:bCs/>
          <w:color w:val="000000"/>
          <w:sz w:val="17"/>
          <w:szCs w:val="17"/>
          <w:shd w:val="clear" w:color="auto" w:fill="FFFFFF"/>
        </w:rPr>
        <w:t xml:space="preserve"> </w:t>
      </w:r>
    </w:p>
    <w:p w:rsidR="006F53C9" w:rsidRPr="004C6CA7" w:rsidRDefault="006F53C9" w:rsidP="004B5084">
      <w:pPr>
        <w:spacing w:before="120" w:after="240"/>
        <w:ind w:firstLine="0"/>
        <w:rPr>
          <w:rFonts w:eastAsia="Calibri" w:cs="Times New Roman"/>
          <w:szCs w:val="24"/>
        </w:rPr>
      </w:pPr>
      <w:r w:rsidRPr="004C6CA7">
        <w:rPr>
          <w:rFonts w:eastAsiaTheme="majorEastAsia" w:cs="Times New Roman"/>
          <w:b/>
          <w:bCs/>
          <w:szCs w:val="24"/>
        </w:rPr>
        <w:t xml:space="preserve">Natsuizaka M, Ozasa M, Darmanin S, Miyamoto M, Kondo S, Kamada S, </w:t>
      </w:r>
      <w:hyperlink r:id="rId631" w:history="1">
        <w:r w:rsidRPr="004C6CA7">
          <w:rPr>
            <w:rFonts w:eastAsiaTheme="majorEastAsia" w:cs="Times New Roman"/>
            <w:b/>
            <w:bCs/>
            <w:szCs w:val="24"/>
          </w:rPr>
          <w:t>Shindoh M</w:t>
        </w:r>
      </w:hyperlink>
      <w:r w:rsidRPr="004C6CA7">
        <w:rPr>
          <w:rFonts w:eastAsiaTheme="majorEastAsia" w:cs="Times New Roman"/>
          <w:b/>
          <w:bCs/>
          <w:szCs w:val="24"/>
        </w:rPr>
        <w:t>, </w:t>
      </w:r>
      <w:hyperlink r:id="rId632" w:history="1">
        <w:r w:rsidRPr="004C6CA7">
          <w:rPr>
            <w:rFonts w:eastAsiaTheme="majorEastAsia" w:cs="Times New Roman"/>
            <w:b/>
            <w:bCs/>
            <w:szCs w:val="24"/>
          </w:rPr>
          <w:t>Higashino F</w:t>
        </w:r>
      </w:hyperlink>
      <w:r w:rsidRPr="004C6CA7">
        <w:rPr>
          <w:rFonts w:eastAsiaTheme="majorEastAsia" w:cs="Times New Roman"/>
          <w:b/>
          <w:bCs/>
          <w:szCs w:val="24"/>
        </w:rPr>
        <w:t>, </w:t>
      </w:r>
      <w:hyperlink r:id="rId633" w:history="1">
        <w:r w:rsidRPr="004C6CA7">
          <w:rPr>
            <w:rFonts w:eastAsiaTheme="majorEastAsia" w:cs="Times New Roman"/>
            <w:b/>
            <w:bCs/>
            <w:szCs w:val="24"/>
          </w:rPr>
          <w:t>Suhara W</w:t>
        </w:r>
      </w:hyperlink>
      <w:r w:rsidRPr="004C6CA7">
        <w:rPr>
          <w:rFonts w:eastAsiaTheme="majorEastAsia" w:cs="Times New Roman"/>
          <w:b/>
          <w:bCs/>
          <w:szCs w:val="24"/>
        </w:rPr>
        <w:t>, </w:t>
      </w:r>
      <w:hyperlink r:id="rId634" w:history="1">
        <w:r w:rsidRPr="004C6CA7">
          <w:rPr>
            <w:rFonts w:eastAsiaTheme="majorEastAsia" w:cs="Times New Roman"/>
            <w:b/>
            <w:bCs/>
            <w:szCs w:val="24"/>
          </w:rPr>
          <w:t>Koide H</w:t>
        </w:r>
      </w:hyperlink>
      <w:r w:rsidRPr="004C6CA7">
        <w:rPr>
          <w:rFonts w:eastAsiaTheme="majorEastAsia" w:cs="Times New Roman"/>
          <w:b/>
          <w:bCs/>
          <w:szCs w:val="24"/>
        </w:rPr>
        <w:t>, </w:t>
      </w:r>
      <w:hyperlink r:id="rId635" w:history="1">
        <w:r w:rsidRPr="004C6CA7">
          <w:rPr>
            <w:rFonts w:eastAsiaTheme="majorEastAsia" w:cs="Times New Roman"/>
            <w:b/>
            <w:bCs/>
            <w:szCs w:val="24"/>
          </w:rPr>
          <w:t>Aita K</w:t>
        </w:r>
      </w:hyperlink>
      <w:r w:rsidRPr="004C6CA7">
        <w:rPr>
          <w:rFonts w:eastAsiaTheme="majorEastAsia" w:cs="Times New Roman"/>
          <w:b/>
          <w:bCs/>
          <w:szCs w:val="24"/>
        </w:rPr>
        <w:t>, </w:t>
      </w:r>
      <w:hyperlink r:id="rId636" w:history="1">
        <w:r w:rsidRPr="004C6CA7">
          <w:rPr>
            <w:rFonts w:eastAsiaTheme="majorEastAsia" w:cs="Times New Roman"/>
            <w:b/>
            <w:bCs/>
            <w:szCs w:val="24"/>
          </w:rPr>
          <w:t>Nakagawa K</w:t>
        </w:r>
      </w:hyperlink>
      <w:r w:rsidRPr="004C6CA7">
        <w:rPr>
          <w:rFonts w:eastAsiaTheme="majorEastAsia" w:cs="Times New Roman"/>
          <w:b/>
          <w:bCs/>
          <w:szCs w:val="24"/>
        </w:rPr>
        <w:t>, </w:t>
      </w:r>
      <w:hyperlink r:id="rId637" w:history="1">
        <w:r w:rsidRPr="004C6CA7">
          <w:rPr>
            <w:rFonts w:eastAsiaTheme="majorEastAsia" w:cs="Times New Roman"/>
            <w:b/>
            <w:bCs/>
            <w:szCs w:val="24"/>
          </w:rPr>
          <w:t>Kondo T</w:t>
        </w:r>
      </w:hyperlink>
      <w:r w:rsidRPr="004C6CA7">
        <w:rPr>
          <w:rFonts w:eastAsiaTheme="majorEastAsia" w:cs="Times New Roman"/>
          <w:b/>
          <w:bCs/>
          <w:szCs w:val="24"/>
        </w:rPr>
        <w:t>, </w:t>
      </w:r>
      <w:hyperlink r:id="rId638" w:history="1">
        <w:r w:rsidRPr="004C6CA7">
          <w:rPr>
            <w:rFonts w:eastAsiaTheme="majorEastAsia" w:cs="Times New Roman"/>
            <w:b/>
            <w:bCs/>
            <w:szCs w:val="24"/>
          </w:rPr>
          <w:t>Asaka M</w:t>
        </w:r>
      </w:hyperlink>
      <w:r w:rsidRPr="004C6CA7">
        <w:rPr>
          <w:rFonts w:eastAsiaTheme="majorEastAsia" w:cs="Times New Roman"/>
          <w:b/>
          <w:bCs/>
          <w:szCs w:val="24"/>
        </w:rPr>
        <w:t>, </w:t>
      </w:r>
      <w:hyperlink r:id="rId639" w:history="1">
        <w:r w:rsidRPr="004C6CA7">
          <w:rPr>
            <w:rFonts w:eastAsiaTheme="majorEastAsia" w:cs="Times New Roman"/>
            <w:b/>
            <w:bCs/>
            <w:szCs w:val="24"/>
          </w:rPr>
          <w:t>Okada F</w:t>
        </w:r>
      </w:hyperlink>
      <w:r w:rsidRPr="004C6CA7">
        <w:rPr>
          <w:rFonts w:eastAsiaTheme="majorEastAsia" w:cs="Times New Roman"/>
          <w:b/>
          <w:bCs/>
          <w:szCs w:val="24"/>
        </w:rPr>
        <w:t>, </w:t>
      </w:r>
      <w:hyperlink r:id="rId640" w:history="1">
        <w:r w:rsidRPr="004C6CA7">
          <w:rPr>
            <w:rFonts w:eastAsiaTheme="majorEastAsia" w:cs="Times New Roman"/>
            <w:b/>
            <w:bCs/>
            <w:szCs w:val="24"/>
          </w:rPr>
          <w:t>Kobayashi M</w:t>
        </w:r>
      </w:hyperlink>
      <w:r w:rsidRPr="004C6CA7">
        <w:rPr>
          <w:rFonts w:eastAsiaTheme="majorEastAsia" w:cs="Times New Roman"/>
          <w:b/>
          <w:bCs/>
          <w:szCs w:val="24"/>
        </w:rPr>
        <w:t>.</w:t>
      </w:r>
      <w:r w:rsidRPr="004C6CA7">
        <w:rPr>
          <w:rFonts w:eastAsia="Calibri" w:cs="Times New Roman"/>
          <w:szCs w:val="24"/>
        </w:rPr>
        <w:t xml:space="preserve"> Synergistic up-regulation of Hexokinase-2, glucose transporters and angiogenic factors in pancreatic cancer cells by glucose deprivation and hypoxia. </w:t>
      </w:r>
      <w:r w:rsidRPr="004C6CA7">
        <w:rPr>
          <w:rFonts w:eastAsia="Calibri" w:cs="Times New Roman"/>
          <w:i/>
          <w:szCs w:val="24"/>
        </w:rPr>
        <w:t>Experimental Cell</w:t>
      </w:r>
      <w:r w:rsidRPr="004C6CA7">
        <w:rPr>
          <w:rFonts w:eastAsia="Calibri" w:cs="Times New Roman"/>
          <w:szCs w:val="24"/>
        </w:rPr>
        <w:t xml:space="preserve"> </w:t>
      </w:r>
      <w:r w:rsidRPr="004C6CA7">
        <w:rPr>
          <w:rFonts w:eastAsia="Calibri" w:cs="Times New Roman"/>
          <w:i/>
          <w:szCs w:val="24"/>
        </w:rPr>
        <w:t>Research</w:t>
      </w:r>
      <w:r w:rsidRPr="004C6CA7">
        <w:rPr>
          <w:rFonts w:eastAsia="Calibri" w:cs="Times New Roman"/>
          <w:szCs w:val="24"/>
        </w:rPr>
        <w:t xml:space="preserve"> 2007, 313 (15), 3337-3348.</w:t>
      </w:r>
    </w:p>
    <w:p w:rsidR="006F53C9" w:rsidRDefault="006F53C9" w:rsidP="004B5084">
      <w:pPr>
        <w:spacing w:before="120" w:after="240"/>
        <w:ind w:firstLine="0"/>
        <w:rPr>
          <w:rFonts w:eastAsia="Calibri" w:cs="Times New Roman"/>
          <w:szCs w:val="24"/>
        </w:rPr>
      </w:pPr>
      <w:r w:rsidRPr="004C6CA7">
        <w:rPr>
          <w:rFonts w:eastAsia="Calibri" w:cs="Times New Roman"/>
          <w:b/>
          <w:szCs w:val="24"/>
        </w:rPr>
        <w:lastRenderedPageBreak/>
        <w:t xml:space="preserve">Nelson DL, Cox MM. </w:t>
      </w:r>
      <w:r w:rsidRPr="004C6CA7">
        <w:rPr>
          <w:rFonts w:eastAsia="Calibri" w:cs="Times New Roman"/>
          <w:szCs w:val="24"/>
        </w:rPr>
        <w:t>Biyokimyanın ilkeleri (Principles of Biochemistry) (3 nd ed),  Kılıç N. (Edt), Ankara, Palme Yayıncılık, 2005, 486, 532-539.</w:t>
      </w:r>
    </w:p>
    <w:p w:rsidR="006F53C9" w:rsidRDefault="0037177D" w:rsidP="004B5084">
      <w:pPr>
        <w:spacing w:before="120" w:after="240"/>
        <w:ind w:firstLine="0"/>
        <w:rPr>
          <w:rFonts w:eastAsia="Calibri" w:cs="Times New Roman"/>
          <w:szCs w:val="24"/>
        </w:rPr>
      </w:pPr>
      <w:hyperlink r:id="rId641" w:history="1">
        <w:r w:rsidR="006F53C9" w:rsidRPr="004C6CA7">
          <w:rPr>
            <w:rFonts w:eastAsia="Calibri" w:cs="Times New Roman"/>
            <w:b/>
            <w:szCs w:val="24"/>
          </w:rPr>
          <w:t>Nishida Y</w:t>
        </w:r>
      </w:hyperlink>
      <w:r w:rsidR="006F53C9" w:rsidRPr="004C6CA7">
        <w:rPr>
          <w:rFonts w:eastAsia="Calibri" w:cs="Times New Roman"/>
          <w:b/>
          <w:szCs w:val="24"/>
        </w:rPr>
        <w:t>, </w:t>
      </w:r>
      <w:hyperlink r:id="rId642" w:history="1">
        <w:r w:rsidR="006F53C9" w:rsidRPr="004C6CA7">
          <w:rPr>
            <w:rFonts w:eastAsia="Calibri" w:cs="Times New Roman"/>
            <w:b/>
            <w:szCs w:val="24"/>
          </w:rPr>
          <w:t>Rardin MJ</w:t>
        </w:r>
      </w:hyperlink>
      <w:r w:rsidR="006F53C9" w:rsidRPr="004C6CA7">
        <w:rPr>
          <w:rFonts w:eastAsia="Calibri" w:cs="Times New Roman"/>
          <w:b/>
          <w:szCs w:val="24"/>
        </w:rPr>
        <w:t>, </w:t>
      </w:r>
      <w:hyperlink r:id="rId643" w:history="1">
        <w:r w:rsidR="006F53C9" w:rsidRPr="004C6CA7">
          <w:rPr>
            <w:rFonts w:eastAsia="Calibri" w:cs="Times New Roman"/>
            <w:b/>
            <w:szCs w:val="24"/>
          </w:rPr>
          <w:t>Carrico C</w:t>
        </w:r>
      </w:hyperlink>
      <w:r w:rsidR="006F53C9" w:rsidRPr="004C6CA7">
        <w:rPr>
          <w:rFonts w:eastAsia="Calibri" w:cs="Times New Roman"/>
          <w:b/>
          <w:szCs w:val="24"/>
        </w:rPr>
        <w:t>, </w:t>
      </w:r>
      <w:hyperlink r:id="rId644" w:history="1">
        <w:r w:rsidR="006F53C9" w:rsidRPr="004C6CA7">
          <w:rPr>
            <w:rFonts w:eastAsia="Calibri" w:cs="Times New Roman"/>
            <w:b/>
            <w:szCs w:val="24"/>
          </w:rPr>
          <w:t>He W</w:t>
        </w:r>
      </w:hyperlink>
      <w:r w:rsidR="006F53C9" w:rsidRPr="004C6CA7">
        <w:rPr>
          <w:rFonts w:eastAsia="Calibri" w:cs="Times New Roman"/>
          <w:b/>
          <w:szCs w:val="24"/>
        </w:rPr>
        <w:t>, </w:t>
      </w:r>
      <w:hyperlink r:id="rId645" w:history="1">
        <w:r w:rsidR="006F53C9" w:rsidRPr="004C6CA7">
          <w:rPr>
            <w:rFonts w:eastAsia="Calibri" w:cs="Times New Roman"/>
            <w:b/>
            <w:szCs w:val="24"/>
          </w:rPr>
          <w:t>Sahu AK</w:t>
        </w:r>
      </w:hyperlink>
      <w:r w:rsidR="006F53C9" w:rsidRPr="004C6CA7">
        <w:rPr>
          <w:rFonts w:eastAsia="Calibri" w:cs="Times New Roman"/>
          <w:b/>
          <w:szCs w:val="24"/>
        </w:rPr>
        <w:t>, </w:t>
      </w:r>
      <w:hyperlink r:id="rId646" w:history="1">
        <w:r w:rsidR="006F53C9" w:rsidRPr="004C6CA7">
          <w:rPr>
            <w:rFonts w:eastAsia="Calibri" w:cs="Times New Roman"/>
            <w:b/>
            <w:szCs w:val="24"/>
          </w:rPr>
          <w:t>Gut P</w:t>
        </w:r>
      </w:hyperlink>
      <w:r w:rsidR="006F53C9" w:rsidRPr="004C6CA7">
        <w:rPr>
          <w:rFonts w:eastAsia="Calibri" w:cs="Times New Roman"/>
          <w:b/>
          <w:szCs w:val="24"/>
        </w:rPr>
        <w:t>, </w:t>
      </w:r>
      <w:hyperlink r:id="rId647" w:history="1">
        <w:r w:rsidR="006F53C9" w:rsidRPr="004C6CA7">
          <w:rPr>
            <w:rFonts w:eastAsia="Calibri" w:cs="Times New Roman"/>
            <w:b/>
            <w:szCs w:val="24"/>
          </w:rPr>
          <w:t>Najjar R</w:t>
        </w:r>
      </w:hyperlink>
      <w:r w:rsidR="006F53C9" w:rsidRPr="004C6CA7">
        <w:rPr>
          <w:rFonts w:eastAsia="Calibri" w:cs="Times New Roman"/>
          <w:b/>
          <w:szCs w:val="24"/>
        </w:rPr>
        <w:t>, </w:t>
      </w:r>
      <w:hyperlink r:id="rId648" w:history="1">
        <w:r w:rsidR="006F53C9" w:rsidRPr="004C6CA7">
          <w:rPr>
            <w:rFonts w:eastAsia="Calibri" w:cs="Times New Roman"/>
            <w:b/>
            <w:szCs w:val="24"/>
          </w:rPr>
          <w:t>Fitch M</w:t>
        </w:r>
      </w:hyperlink>
      <w:r w:rsidR="006F53C9" w:rsidRPr="004C6CA7">
        <w:rPr>
          <w:rFonts w:eastAsia="Calibri" w:cs="Times New Roman"/>
          <w:b/>
          <w:szCs w:val="24"/>
        </w:rPr>
        <w:t>, </w:t>
      </w:r>
      <w:hyperlink r:id="rId649" w:history="1">
        <w:r w:rsidR="006F53C9" w:rsidRPr="004C6CA7">
          <w:rPr>
            <w:rFonts w:eastAsia="Calibri" w:cs="Times New Roman"/>
            <w:b/>
            <w:szCs w:val="24"/>
          </w:rPr>
          <w:t>Hellerstein M</w:t>
        </w:r>
      </w:hyperlink>
      <w:r w:rsidR="006F53C9" w:rsidRPr="004C6CA7">
        <w:rPr>
          <w:rFonts w:eastAsia="Calibri" w:cs="Times New Roman"/>
          <w:b/>
          <w:szCs w:val="24"/>
        </w:rPr>
        <w:t>, </w:t>
      </w:r>
      <w:hyperlink r:id="rId650" w:history="1">
        <w:r w:rsidR="006F53C9" w:rsidRPr="004C6CA7">
          <w:rPr>
            <w:rFonts w:eastAsia="Calibri" w:cs="Times New Roman"/>
            <w:b/>
            <w:szCs w:val="24"/>
          </w:rPr>
          <w:t>Gibson BW</w:t>
        </w:r>
      </w:hyperlink>
      <w:r w:rsidR="006F53C9" w:rsidRPr="004C6CA7">
        <w:rPr>
          <w:rFonts w:eastAsia="Calibri" w:cs="Times New Roman"/>
          <w:b/>
          <w:szCs w:val="24"/>
        </w:rPr>
        <w:t>, </w:t>
      </w:r>
      <w:hyperlink r:id="rId651" w:history="1">
        <w:r w:rsidR="006F53C9" w:rsidRPr="004C6CA7">
          <w:rPr>
            <w:rFonts w:eastAsia="Calibri" w:cs="Times New Roman"/>
            <w:b/>
            <w:szCs w:val="24"/>
          </w:rPr>
          <w:t>Verdin E</w:t>
        </w:r>
      </w:hyperlink>
      <w:r w:rsidR="006F53C9" w:rsidRPr="004C6CA7">
        <w:rPr>
          <w:rFonts w:eastAsia="Calibri" w:cs="Times New Roman"/>
          <w:b/>
          <w:szCs w:val="24"/>
        </w:rPr>
        <w:t>.</w:t>
      </w:r>
      <w:r w:rsidR="006F53C9" w:rsidRPr="004C6CA7">
        <w:rPr>
          <w:rFonts w:eastAsiaTheme="majorEastAsia" w:cstheme="majorBidi"/>
          <w:bCs/>
          <w:color w:val="365F91" w:themeColor="accent1" w:themeShade="BF"/>
          <w:szCs w:val="24"/>
        </w:rPr>
        <w:t xml:space="preserve"> </w:t>
      </w:r>
      <w:r w:rsidR="006F53C9" w:rsidRPr="004C6CA7">
        <w:rPr>
          <w:rFonts w:eastAsia="Calibri" w:cs="Times New Roman"/>
          <w:szCs w:val="24"/>
        </w:rPr>
        <w:t xml:space="preserve">SIRT5 Regulates both Cytosolic and Mitochondrial Protein Malonylation with Glycolysis as a Major Target. </w:t>
      </w:r>
      <w:r w:rsidR="006F53C9" w:rsidRPr="004C6CA7">
        <w:rPr>
          <w:rFonts w:eastAsia="Calibri" w:cs="Times New Roman"/>
          <w:i/>
          <w:szCs w:val="24"/>
        </w:rPr>
        <w:t>Molecular Cell</w:t>
      </w:r>
      <w:r w:rsidR="006F53C9" w:rsidRPr="004C6CA7">
        <w:rPr>
          <w:rFonts w:eastAsia="Calibri" w:cs="Times New Roman"/>
          <w:szCs w:val="24"/>
        </w:rPr>
        <w:t xml:space="preserve"> 2015, 59 (2), 321-232.</w:t>
      </w:r>
    </w:p>
    <w:p w:rsidR="006F53C9" w:rsidRPr="00E81743" w:rsidRDefault="006F53C9" w:rsidP="004B5084">
      <w:pPr>
        <w:keepNext/>
        <w:keepLines/>
        <w:spacing w:before="120" w:after="240"/>
        <w:ind w:firstLine="0"/>
        <w:outlineLvl w:val="0"/>
        <w:rPr>
          <w:rFonts w:asciiTheme="majorHAnsi" w:eastAsiaTheme="majorEastAsia" w:hAnsiTheme="majorHAnsi" w:cstheme="majorBidi"/>
          <w:b/>
          <w:bCs/>
          <w:color w:val="505050"/>
          <w:sz w:val="28"/>
          <w:szCs w:val="28"/>
        </w:rPr>
      </w:pPr>
      <w:r w:rsidRPr="00E81743">
        <w:rPr>
          <w:rFonts w:eastAsia="Calibri" w:cs="Times New Roman"/>
          <w:b/>
          <w:szCs w:val="24"/>
        </w:rPr>
        <w:t>Noh H, Park J, Shim M, Lee YJ.</w:t>
      </w:r>
      <w:r w:rsidRPr="00E81743">
        <w:rPr>
          <w:rFonts w:asciiTheme="majorHAnsi" w:eastAsiaTheme="majorEastAsia" w:hAnsiTheme="majorHAnsi" w:cstheme="majorBidi"/>
          <w:b/>
          <w:bCs/>
          <w:color w:val="365F91" w:themeColor="accent1" w:themeShade="BF"/>
          <w:sz w:val="28"/>
          <w:szCs w:val="28"/>
        </w:rPr>
        <w:t xml:space="preserve"> </w:t>
      </w:r>
      <w:r w:rsidRPr="00E81743">
        <w:rPr>
          <w:rFonts w:eastAsia="Calibri" w:cs="Times New Roman"/>
          <w:szCs w:val="24"/>
        </w:rPr>
        <w:t xml:space="preserve">Trichostatin A enhances estrogen receptor-alpha repression in MCF-7 breast cancer cells under hypoxia. </w:t>
      </w:r>
      <w:r w:rsidRPr="00E81743">
        <w:rPr>
          <w:rFonts w:eastAsia="Calibri" w:cs="Times New Roman"/>
          <w:i/>
          <w:szCs w:val="24"/>
        </w:rPr>
        <w:t>Biochemical and Biophysical Research Communications</w:t>
      </w:r>
      <w:r w:rsidRPr="00E81743">
        <w:rPr>
          <w:rFonts w:eastAsia="Calibri" w:cs="Times New Roman"/>
          <w:szCs w:val="24"/>
        </w:rPr>
        <w:t xml:space="preserve"> 2016, 470 (3), 748-752. </w:t>
      </w:r>
    </w:p>
    <w:p w:rsidR="006F53C9" w:rsidRPr="00E81743" w:rsidRDefault="006F53C9" w:rsidP="004B5084">
      <w:pPr>
        <w:keepNext/>
        <w:keepLines/>
        <w:shd w:val="clear" w:color="auto" w:fill="FFFFFF"/>
        <w:spacing w:before="120" w:after="240"/>
        <w:ind w:firstLine="0"/>
        <w:outlineLvl w:val="0"/>
        <w:rPr>
          <w:rFonts w:eastAsia="Calibri" w:cs="Times New Roman"/>
          <w:szCs w:val="24"/>
        </w:rPr>
      </w:pPr>
      <w:r w:rsidRPr="00E81743">
        <w:rPr>
          <w:rFonts w:eastAsiaTheme="majorEastAsia" w:cs="Times New Roman"/>
          <w:b/>
          <w:bCs/>
          <w:szCs w:val="24"/>
        </w:rPr>
        <w:t>Nowak N, Kulma A, Gutowich J.</w:t>
      </w:r>
      <w:r w:rsidRPr="00E81743">
        <w:rPr>
          <w:rFonts w:eastAsia="Calibri" w:cs="Times New Roman"/>
          <w:szCs w:val="24"/>
        </w:rPr>
        <w:t xml:space="preserve"> Up-regulation of key glycolysis proteins in cancer development. </w:t>
      </w:r>
      <w:r w:rsidRPr="00E81743">
        <w:rPr>
          <w:rFonts w:eastAsia="Calibri" w:cs="Times New Roman"/>
          <w:i/>
          <w:szCs w:val="24"/>
        </w:rPr>
        <w:t>Open Life Sciencies</w:t>
      </w:r>
      <w:r w:rsidRPr="00E81743">
        <w:rPr>
          <w:rFonts w:eastAsia="Calibri" w:cs="Times New Roman"/>
          <w:szCs w:val="24"/>
        </w:rPr>
        <w:t xml:space="preserve"> 2018, 13, 569–581. </w:t>
      </w:r>
    </w:p>
    <w:p w:rsidR="006F53C9" w:rsidRPr="00E81743" w:rsidRDefault="006F53C9" w:rsidP="004B5084">
      <w:pPr>
        <w:keepNext/>
        <w:keepLines/>
        <w:spacing w:before="120" w:after="240"/>
        <w:ind w:firstLine="0"/>
        <w:outlineLvl w:val="0"/>
        <w:rPr>
          <w:rFonts w:eastAsia="Calibri" w:cs="Times New Roman"/>
          <w:szCs w:val="24"/>
        </w:rPr>
      </w:pPr>
      <w:r w:rsidRPr="00E81743">
        <w:rPr>
          <w:rFonts w:eastAsiaTheme="majorEastAsia" w:cs="Times New Roman"/>
          <w:b/>
          <w:bCs/>
          <w:szCs w:val="24"/>
        </w:rPr>
        <w:t xml:space="preserve">Okar DA, Lange AJ, Manzano A, Navarro-Sabatè A, Riera L, Bartrons R. </w:t>
      </w:r>
      <w:r w:rsidRPr="00E81743">
        <w:rPr>
          <w:rFonts w:eastAsia="Calibri" w:cs="Times New Roman"/>
          <w:szCs w:val="24"/>
        </w:rPr>
        <w:t xml:space="preserve">PFK-2/FBPase-2: maker and breaker of the essential biofactor fructose-2,6-bisphosphate. </w:t>
      </w:r>
      <w:r w:rsidRPr="00E81743">
        <w:rPr>
          <w:rFonts w:eastAsia="Calibri" w:cs="Times New Roman"/>
          <w:i/>
          <w:szCs w:val="24"/>
        </w:rPr>
        <w:t>Trends in Biochemical Sciences</w:t>
      </w:r>
      <w:r w:rsidRPr="00E81743">
        <w:rPr>
          <w:rFonts w:eastAsia="Calibri" w:cs="Times New Roman"/>
          <w:szCs w:val="24"/>
        </w:rPr>
        <w:t xml:space="preserve"> 2001, 26 (1), 30-35. </w:t>
      </w:r>
    </w:p>
    <w:p w:rsidR="004B5084" w:rsidRDefault="006F53C9" w:rsidP="004B5084">
      <w:pPr>
        <w:autoSpaceDE w:val="0"/>
        <w:autoSpaceDN w:val="0"/>
        <w:adjustRightInd w:val="0"/>
        <w:spacing w:before="120" w:after="240"/>
        <w:ind w:firstLine="0"/>
        <w:rPr>
          <w:szCs w:val="24"/>
        </w:rPr>
      </w:pPr>
      <w:r w:rsidRPr="006F53C9">
        <w:rPr>
          <w:rFonts w:eastAsiaTheme="majorEastAsia"/>
          <w:b/>
          <w:bCs/>
          <w:szCs w:val="24"/>
        </w:rPr>
        <w:t>Olbryt M, Jarzab M, Jazowiecka-Rakus J, Simek K, Szala S, Sochanik A.</w:t>
      </w:r>
      <w:r w:rsidRPr="006F53C9">
        <w:rPr>
          <w:szCs w:val="24"/>
        </w:rPr>
        <w:t xml:space="preserve"> Gene expression profile of B16(F10) murine melanoma cells exposed to hypoxic conditions in vitro. </w:t>
      </w:r>
      <w:r w:rsidRPr="006F53C9">
        <w:rPr>
          <w:i/>
          <w:szCs w:val="24"/>
        </w:rPr>
        <w:t>Gene Expression</w:t>
      </w:r>
      <w:r w:rsidRPr="006F53C9">
        <w:rPr>
          <w:szCs w:val="24"/>
        </w:rPr>
        <w:t xml:space="preserve"> 2006, 13,191–203.</w:t>
      </w:r>
    </w:p>
    <w:p w:rsidR="004B5084" w:rsidRDefault="0037177D" w:rsidP="004B5084">
      <w:pPr>
        <w:autoSpaceDE w:val="0"/>
        <w:autoSpaceDN w:val="0"/>
        <w:adjustRightInd w:val="0"/>
        <w:spacing w:before="120" w:after="240"/>
        <w:ind w:firstLine="0"/>
        <w:rPr>
          <w:rFonts w:eastAsia="Calibri" w:cs="Times New Roman"/>
          <w:szCs w:val="24"/>
        </w:rPr>
      </w:pPr>
      <w:hyperlink r:id="rId652" w:history="1">
        <w:r w:rsidR="006F53C9" w:rsidRPr="00E81743">
          <w:rPr>
            <w:rFonts w:eastAsia="Calibri" w:cs="Times New Roman"/>
            <w:b/>
            <w:szCs w:val="24"/>
          </w:rPr>
          <w:t>Park I</w:t>
        </w:r>
      </w:hyperlink>
      <w:r w:rsidR="006F53C9" w:rsidRPr="00E81743">
        <w:rPr>
          <w:rFonts w:eastAsia="Calibri" w:cs="Times New Roman"/>
          <w:b/>
          <w:szCs w:val="24"/>
        </w:rPr>
        <w:t>, </w:t>
      </w:r>
      <w:hyperlink r:id="rId653" w:history="1">
        <w:r w:rsidR="006F53C9" w:rsidRPr="00E81743">
          <w:rPr>
            <w:rFonts w:eastAsia="Calibri" w:cs="Times New Roman"/>
            <w:b/>
            <w:szCs w:val="24"/>
          </w:rPr>
          <w:t>Larson PE</w:t>
        </w:r>
      </w:hyperlink>
      <w:r w:rsidR="006F53C9" w:rsidRPr="00E81743">
        <w:rPr>
          <w:rFonts w:eastAsia="Calibri" w:cs="Times New Roman"/>
          <w:b/>
          <w:szCs w:val="24"/>
        </w:rPr>
        <w:t>, </w:t>
      </w:r>
      <w:hyperlink r:id="rId654" w:history="1">
        <w:r w:rsidR="006F53C9" w:rsidRPr="00E81743">
          <w:rPr>
            <w:rFonts w:eastAsia="Calibri" w:cs="Times New Roman"/>
            <w:b/>
            <w:szCs w:val="24"/>
          </w:rPr>
          <w:t>Zierhut ML</w:t>
        </w:r>
      </w:hyperlink>
      <w:r w:rsidR="006F53C9" w:rsidRPr="00E81743">
        <w:rPr>
          <w:rFonts w:eastAsia="Calibri" w:cs="Times New Roman"/>
          <w:b/>
          <w:szCs w:val="24"/>
        </w:rPr>
        <w:t>, </w:t>
      </w:r>
      <w:hyperlink r:id="rId655" w:history="1">
        <w:r w:rsidR="006F53C9" w:rsidRPr="00E81743">
          <w:rPr>
            <w:rFonts w:eastAsia="Calibri" w:cs="Times New Roman"/>
            <w:b/>
            <w:szCs w:val="24"/>
          </w:rPr>
          <w:t>Hu S</w:t>
        </w:r>
      </w:hyperlink>
      <w:r w:rsidR="006F53C9" w:rsidRPr="00E81743">
        <w:rPr>
          <w:rFonts w:eastAsia="Calibri" w:cs="Times New Roman"/>
          <w:b/>
          <w:szCs w:val="24"/>
        </w:rPr>
        <w:t>, </w:t>
      </w:r>
      <w:hyperlink r:id="rId656" w:history="1">
        <w:r w:rsidR="006F53C9" w:rsidRPr="00E81743">
          <w:rPr>
            <w:rFonts w:eastAsia="Calibri" w:cs="Times New Roman"/>
            <w:b/>
            <w:szCs w:val="24"/>
          </w:rPr>
          <w:t>Bok R</w:t>
        </w:r>
      </w:hyperlink>
      <w:r w:rsidR="006F53C9" w:rsidRPr="00E81743">
        <w:rPr>
          <w:rFonts w:eastAsia="Calibri" w:cs="Times New Roman"/>
          <w:b/>
          <w:szCs w:val="24"/>
        </w:rPr>
        <w:t>, </w:t>
      </w:r>
      <w:hyperlink r:id="rId657" w:history="1">
        <w:r w:rsidR="006F53C9" w:rsidRPr="00E81743">
          <w:rPr>
            <w:rFonts w:eastAsia="Calibri" w:cs="Times New Roman"/>
            <w:b/>
            <w:szCs w:val="24"/>
          </w:rPr>
          <w:t>Ozawa T</w:t>
        </w:r>
      </w:hyperlink>
      <w:r w:rsidR="006F53C9" w:rsidRPr="00E81743">
        <w:rPr>
          <w:rFonts w:eastAsia="Calibri" w:cs="Times New Roman"/>
          <w:b/>
          <w:szCs w:val="24"/>
        </w:rPr>
        <w:t>, </w:t>
      </w:r>
      <w:hyperlink r:id="rId658" w:history="1">
        <w:r w:rsidR="006F53C9" w:rsidRPr="00E81743">
          <w:rPr>
            <w:rFonts w:eastAsia="Calibri" w:cs="Times New Roman"/>
            <w:b/>
            <w:szCs w:val="24"/>
          </w:rPr>
          <w:t>Kurhanewicz J</w:t>
        </w:r>
      </w:hyperlink>
      <w:r w:rsidR="006F53C9" w:rsidRPr="00E81743">
        <w:rPr>
          <w:rFonts w:eastAsia="Calibri" w:cs="Times New Roman"/>
          <w:b/>
          <w:szCs w:val="24"/>
        </w:rPr>
        <w:t>, </w:t>
      </w:r>
      <w:hyperlink r:id="rId659" w:history="1">
        <w:r w:rsidR="006F53C9" w:rsidRPr="00E81743">
          <w:rPr>
            <w:rFonts w:eastAsia="Calibri" w:cs="Times New Roman"/>
            <w:b/>
            <w:szCs w:val="24"/>
          </w:rPr>
          <w:t>Vigneron DB</w:t>
        </w:r>
      </w:hyperlink>
      <w:r w:rsidR="006F53C9" w:rsidRPr="00E81743">
        <w:rPr>
          <w:rFonts w:eastAsia="Calibri" w:cs="Times New Roman"/>
          <w:b/>
          <w:szCs w:val="24"/>
        </w:rPr>
        <w:t>, </w:t>
      </w:r>
      <w:hyperlink r:id="rId660" w:history="1">
        <w:r w:rsidR="006F53C9" w:rsidRPr="00E81743">
          <w:rPr>
            <w:rFonts w:eastAsia="Calibri" w:cs="Times New Roman"/>
            <w:b/>
            <w:szCs w:val="24"/>
          </w:rPr>
          <w:t>Vandenberg SR</w:t>
        </w:r>
      </w:hyperlink>
      <w:r w:rsidR="006F53C9" w:rsidRPr="00E81743">
        <w:rPr>
          <w:rFonts w:eastAsia="Calibri" w:cs="Times New Roman"/>
          <w:b/>
          <w:szCs w:val="24"/>
        </w:rPr>
        <w:t>, </w:t>
      </w:r>
      <w:hyperlink r:id="rId661" w:history="1">
        <w:r w:rsidR="006F53C9" w:rsidRPr="00E81743">
          <w:rPr>
            <w:rFonts w:eastAsia="Calibri" w:cs="Times New Roman"/>
            <w:b/>
            <w:szCs w:val="24"/>
          </w:rPr>
          <w:t>James CD</w:t>
        </w:r>
      </w:hyperlink>
      <w:r w:rsidR="006F53C9" w:rsidRPr="00E81743">
        <w:rPr>
          <w:rFonts w:eastAsia="Calibri" w:cs="Times New Roman"/>
          <w:b/>
          <w:szCs w:val="24"/>
        </w:rPr>
        <w:t>, </w:t>
      </w:r>
      <w:hyperlink r:id="rId662" w:history="1">
        <w:r w:rsidR="006F53C9" w:rsidRPr="00E81743">
          <w:rPr>
            <w:rFonts w:eastAsia="Calibri" w:cs="Times New Roman"/>
            <w:b/>
            <w:szCs w:val="24"/>
          </w:rPr>
          <w:t>Nelson SJ</w:t>
        </w:r>
      </w:hyperlink>
      <w:r w:rsidR="006F53C9" w:rsidRPr="00E81743">
        <w:rPr>
          <w:rFonts w:eastAsia="Calibri" w:cs="Times New Roman"/>
          <w:b/>
          <w:szCs w:val="24"/>
        </w:rPr>
        <w:t>.</w:t>
      </w:r>
      <w:r w:rsidR="006F53C9" w:rsidRPr="00E81743">
        <w:rPr>
          <w:rFonts w:eastAsia="Calibri" w:cs="Times New Roman"/>
          <w:szCs w:val="24"/>
        </w:rPr>
        <w:t xml:space="preserve"> Hyperpolarized 13C magnetic resonance metabolic imaging: application to brain tumors. </w:t>
      </w:r>
      <w:r w:rsidR="006F53C9" w:rsidRPr="00E81743">
        <w:rPr>
          <w:rFonts w:eastAsia="Calibri" w:cs="Times New Roman"/>
          <w:i/>
          <w:szCs w:val="24"/>
        </w:rPr>
        <w:t>Neuro-oncology</w:t>
      </w:r>
      <w:r w:rsidR="006F53C9" w:rsidRPr="00E81743">
        <w:rPr>
          <w:rFonts w:eastAsia="Calibri" w:cs="Times New Roman"/>
          <w:szCs w:val="24"/>
        </w:rPr>
        <w:t xml:space="preserve"> 2010, 12 (2),133-144. </w:t>
      </w:r>
    </w:p>
    <w:p w:rsidR="004B5084" w:rsidRDefault="006F53C9" w:rsidP="004B5084">
      <w:pPr>
        <w:autoSpaceDE w:val="0"/>
        <w:autoSpaceDN w:val="0"/>
        <w:adjustRightInd w:val="0"/>
        <w:spacing w:before="120" w:after="240"/>
        <w:ind w:firstLine="0"/>
        <w:rPr>
          <w:rFonts w:eastAsia="Calibri" w:cs="Times New Roman"/>
          <w:szCs w:val="24"/>
        </w:rPr>
      </w:pPr>
      <w:r w:rsidRPr="00E81743">
        <w:rPr>
          <w:rFonts w:eastAsiaTheme="majorEastAsia" w:cs="Times New Roman"/>
          <w:b/>
          <w:bCs/>
          <w:szCs w:val="24"/>
        </w:rPr>
        <w:t>Patra KC, Hay N.</w:t>
      </w:r>
      <w:r w:rsidRPr="00E81743">
        <w:rPr>
          <w:rFonts w:asciiTheme="majorHAnsi" w:eastAsiaTheme="majorEastAsia" w:hAnsiTheme="majorHAnsi" w:cstheme="majorBidi"/>
          <w:b/>
          <w:bCs/>
          <w:color w:val="365F91" w:themeColor="accent1" w:themeShade="BF"/>
          <w:sz w:val="28"/>
          <w:szCs w:val="28"/>
        </w:rPr>
        <w:t xml:space="preserve"> </w:t>
      </w:r>
      <w:r w:rsidRPr="00E81743">
        <w:rPr>
          <w:rFonts w:eastAsia="Calibri" w:cs="Times New Roman"/>
          <w:szCs w:val="24"/>
        </w:rPr>
        <w:t xml:space="preserve">The pentose phosphate pathway and cancer. </w:t>
      </w:r>
      <w:r w:rsidRPr="00E81743">
        <w:rPr>
          <w:rFonts w:eastAsia="Calibri" w:cs="Times New Roman"/>
          <w:i/>
          <w:szCs w:val="24"/>
        </w:rPr>
        <w:t>Trends in biochemical</w:t>
      </w:r>
      <w:r w:rsidRPr="00E81743">
        <w:rPr>
          <w:rFonts w:eastAsia="Calibri" w:cs="Times New Roman"/>
          <w:szCs w:val="24"/>
        </w:rPr>
        <w:t xml:space="preserve"> </w:t>
      </w:r>
      <w:r w:rsidRPr="00E81743">
        <w:rPr>
          <w:rFonts w:eastAsia="Calibri" w:cs="Times New Roman"/>
          <w:i/>
          <w:szCs w:val="24"/>
        </w:rPr>
        <w:t xml:space="preserve">sciences </w:t>
      </w:r>
      <w:r w:rsidRPr="00E81743">
        <w:rPr>
          <w:rFonts w:eastAsia="Calibri" w:cs="Times New Roman"/>
          <w:szCs w:val="24"/>
        </w:rPr>
        <w:t xml:space="preserve">2014, 39 (8), 347-354. </w:t>
      </w:r>
    </w:p>
    <w:p w:rsidR="004B5084" w:rsidRDefault="0037177D" w:rsidP="004B5084">
      <w:pPr>
        <w:autoSpaceDE w:val="0"/>
        <w:autoSpaceDN w:val="0"/>
        <w:adjustRightInd w:val="0"/>
        <w:spacing w:before="120" w:after="240"/>
        <w:ind w:firstLine="0"/>
        <w:rPr>
          <w:rFonts w:eastAsia="Calibri" w:cs="Times New Roman"/>
          <w:szCs w:val="24"/>
        </w:rPr>
      </w:pPr>
      <w:hyperlink r:id="rId663" w:history="1">
        <w:r w:rsidR="006F53C9" w:rsidRPr="00E81743">
          <w:rPr>
            <w:rFonts w:eastAsia="Calibri" w:cs="Times New Roman"/>
            <w:b/>
            <w:szCs w:val="24"/>
          </w:rPr>
          <w:t>Pértega-Gomes N</w:t>
        </w:r>
      </w:hyperlink>
      <w:r w:rsidR="006F53C9" w:rsidRPr="00E81743">
        <w:rPr>
          <w:rFonts w:eastAsia="Calibri" w:cs="Times New Roman"/>
          <w:b/>
          <w:szCs w:val="24"/>
        </w:rPr>
        <w:t>, </w:t>
      </w:r>
      <w:hyperlink r:id="rId664" w:history="1">
        <w:r w:rsidR="006F53C9" w:rsidRPr="00E81743">
          <w:rPr>
            <w:rFonts w:eastAsia="Calibri" w:cs="Times New Roman"/>
            <w:b/>
            <w:szCs w:val="24"/>
          </w:rPr>
          <w:t>Vizcaíno JR</w:t>
        </w:r>
      </w:hyperlink>
      <w:r w:rsidR="006F53C9" w:rsidRPr="00E81743">
        <w:rPr>
          <w:rFonts w:eastAsia="Calibri" w:cs="Times New Roman"/>
          <w:b/>
          <w:szCs w:val="24"/>
        </w:rPr>
        <w:t>, </w:t>
      </w:r>
      <w:hyperlink r:id="rId665" w:history="1">
        <w:r w:rsidR="006F53C9" w:rsidRPr="00E81743">
          <w:rPr>
            <w:rFonts w:eastAsia="Calibri" w:cs="Times New Roman"/>
            <w:b/>
            <w:szCs w:val="24"/>
          </w:rPr>
          <w:t>Miranda-Gonçalves V</w:t>
        </w:r>
      </w:hyperlink>
      <w:r w:rsidR="006F53C9" w:rsidRPr="00E81743">
        <w:rPr>
          <w:rFonts w:eastAsia="Calibri" w:cs="Times New Roman"/>
          <w:b/>
          <w:szCs w:val="24"/>
        </w:rPr>
        <w:t>, </w:t>
      </w:r>
      <w:hyperlink r:id="rId666" w:history="1">
        <w:r w:rsidR="006F53C9" w:rsidRPr="00E81743">
          <w:rPr>
            <w:rFonts w:eastAsia="Calibri" w:cs="Times New Roman"/>
            <w:b/>
            <w:szCs w:val="24"/>
          </w:rPr>
          <w:t>Pinheiro C</w:t>
        </w:r>
      </w:hyperlink>
      <w:r w:rsidR="006F53C9" w:rsidRPr="00E81743">
        <w:rPr>
          <w:rFonts w:eastAsia="Calibri" w:cs="Times New Roman"/>
          <w:b/>
          <w:szCs w:val="24"/>
        </w:rPr>
        <w:t>, </w:t>
      </w:r>
      <w:hyperlink r:id="rId667" w:history="1">
        <w:r w:rsidR="006F53C9" w:rsidRPr="00E81743">
          <w:rPr>
            <w:rFonts w:eastAsia="Calibri" w:cs="Times New Roman"/>
            <w:b/>
            <w:szCs w:val="24"/>
          </w:rPr>
          <w:t>Silva J</w:t>
        </w:r>
      </w:hyperlink>
      <w:r w:rsidR="006F53C9" w:rsidRPr="00E81743">
        <w:rPr>
          <w:rFonts w:eastAsia="Calibri" w:cs="Times New Roman"/>
          <w:b/>
          <w:szCs w:val="24"/>
        </w:rPr>
        <w:t>, </w:t>
      </w:r>
      <w:hyperlink r:id="rId668" w:history="1">
        <w:r w:rsidR="006F53C9" w:rsidRPr="00E81743">
          <w:rPr>
            <w:rFonts w:eastAsia="Calibri" w:cs="Times New Roman"/>
            <w:b/>
            <w:szCs w:val="24"/>
          </w:rPr>
          <w:t>Pereira H</w:t>
        </w:r>
      </w:hyperlink>
      <w:r w:rsidR="006F53C9" w:rsidRPr="00E81743">
        <w:rPr>
          <w:rFonts w:eastAsia="Calibri" w:cs="Times New Roman"/>
          <w:b/>
          <w:szCs w:val="24"/>
        </w:rPr>
        <w:t>, </w:t>
      </w:r>
      <w:hyperlink r:id="rId669" w:history="1">
        <w:r w:rsidR="006F53C9" w:rsidRPr="00E81743">
          <w:rPr>
            <w:rFonts w:eastAsia="Calibri" w:cs="Times New Roman"/>
            <w:b/>
            <w:szCs w:val="24"/>
          </w:rPr>
          <w:t>Monteiro P</w:t>
        </w:r>
      </w:hyperlink>
      <w:r w:rsidR="006F53C9" w:rsidRPr="00E81743">
        <w:rPr>
          <w:rFonts w:eastAsia="Calibri" w:cs="Times New Roman"/>
          <w:b/>
          <w:szCs w:val="24"/>
        </w:rPr>
        <w:t>, </w:t>
      </w:r>
      <w:hyperlink r:id="rId670" w:history="1">
        <w:r w:rsidR="006F53C9" w:rsidRPr="00E81743">
          <w:rPr>
            <w:rFonts w:eastAsia="Calibri" w:cs="Times New Roman"/>
            <w:b/>
            <w:szCs w:val="24"/>
          </w:rPr>
          <w:t>Henrique RM</w:t>
        </w:r>
      </w:hyperlink>
      <w:r w:rsidR="006F53C9" w:rsidRPr="00E81743">
        <w:rPr>
          <w:rFonts w:eastAsia="Calibri" w:cs="Times New Roman"/>
          <w:b/>
          <w:szCs w:val="24"/>
        </w:rPr>
        <w:t>, </w:t>
      </w:r>
      <w:hyperlink r:id="rId671" w:history="1">
        <w:r w:rsidR="006F53C9" w:rsidRPr="00E81743">
          <w:rPr>
            <w:rFonts w:eastAsia="Calibri" w:cs="Times New Roman"/>
            <w:b/>
            <w:szCs w:val="24"/>
          </w:rPr>
          <w:t>Reis RM</w:t>
        </w:r>
      </w:hyperlink>
      <w:r w:rsidR="006F53C9" w:rsidRPr="00E81743">
        <w:rPr>
          <w:rFonts w:eastAsia="Calibri" w:cs="Times New Roman"/>
          <w:b/>
          <w:szCs w:val="24"/>
        </w:rPr>
        <w:t>, </w:t>
      </w:r>
      <w:hyperlink r:id="rId672" w:history="1">
        <w:r w:rsidR="006F53C9" w:rsidRPr="00E81743">
          <w:rPr>
            <w:rFonts w:eastAsia="Calibri" w:cs="Times New Roman"/>
            <w:b/>
            <w:szCs w:val="24"/>
          </w:rPr>
          <w:t>Lopes C</w:t>
        </w:r>
      </w:hyperlink>
      <w:r w:rsidR="006F53C9" w:rsidRPr="00E81743">
        <w:rPr>
          <w:rFonts w:eastAsia="Calibri" w:cs="Times New Roman"/>
          <w:b/>
          <w:szCs w:val="24"/>
        </w:rPr>
        <w:t>, </w:t>
      </w:r>
      <w:hyperlink r:id="rId673" w:history="1">
        <w:r w:rsidR="006F53C9" w:rsidRPr="00E81743">
          <w:rPr>
            <w:rFonts w:eastAsia="Calibri" w:cs="Times New Roman"/>
            <w:b/>
            <w:szCs w:val="24"/>
          </w:rPr>
          <w:t>Baltazar F</w:t>
        </w:r>
      </w:hyperlink>
      <w:r w:rsidR="006F53C9" w:rsidRPr="00E81743">
        <w:rPr>
          <w:rFonts w:eastAsia="Calibri" w:cs="Times New Roman"/>
          <w:b/>
          <w:szCs w:val="24"/>
        </w:rPr>
        <w:t xml:space="preserve">. </w:t>
      </w:r>
      <w:r w:rsidR="006F53C9" w:rsidRPr="00E81743">
        <w:rPr>
          <w:rFonts w:eastAsia="Calibri" w:cs="Times New Roman"/>
          <w:szCs w:val="24"/>
        </w:rPr>
        <w:t xml:space="preserve">Monocarboxylate transporter 4 (MCT4) and CD147 overexpression is associated with poor prognosis in prostate cancer. </w:t>
      </w:r>
      <w:r w:rsidR="006F53C9" w:rsidRPr="00E81743">
        <w:rPr>
          <w:rFonts w:eastAsia="Calibri" w:cs="Times New Roman"/>
          <w:i/>
          <w:szCs w:val="24"/>
        </w:rPr>
        <w:t>BMC</w:t>
      </w:r>
      <w:r w:rsidR="006F53C9" w:rsidRPr="00E81743">
        <w:rPr>
          <w:rFonts w:eastAsia="Calibri" w:cs="Times New Roman"/>
          <w:szCs w:val="24"/>
        </w:rPr>
        <w:t xml:space="preserve"> 2011, 11, 312. </w:t>
      </w:r>
    </w:p>
    <w:p w:rsidR="006F53C9" w:rsidRPr="00E81743" w:rsidRDefault="006F53C9" w:rsidP="004B5084">
      <w:pPr>
        <w:autoSpaceDE w:val="0"/>
        <w:autoSpaceDN w:val="0"/>
        <w:adjustRightInd w:val="0"/>
        <w:spacing w:before="120" w:after="240"/>
        <w:ind w:firstLine="0"/>
        <w:rPr>
          <w:rFonts w:eastAsia="Calibri" w:cs="Times New Roman"/>
          <w:szCs w:val="24"/>
        </w:rPr>
      </w:pPr>
      <w:r w:rsidRPr="00E81743">
        <w:rPr>
          <w:rFonts w:eastAsia="Calibri" w:cs="Times New Roman"/>
          <w:b/>
          <w:szCs w:val="24"/>
        </w:rPr>
        <w:t>Pfeiffer T, Schuster S, Bonhoeffer S.</w:t>
      </w:r>
      <w:r w:rsidRPr="00E81743">
        <w:rPr>
          <w:rFonts w:eastAsiaTheme="majorEastAsia" w:cstheme="majorBidi"/>
          <w:b/>
          <w:bCs/>
          <w:color w:val="365F91" w:themeColor="accent1" w:themeShade="BF"/>
          <w:szCs w:val="24"/>
        </w:rPr>
        <w:t xml:space="preserve"> </w:t>
      </w:r>
      <w:r w:rsidRPr="00E81743">
        <w:rPr>
          <w:rFonts w:eastAsia="Calibri" w:cs="Times New Roman"/>
          <w:szCs w:val="24"/>
        </w:rPr>
        <w:t xml:space="preserve">Cooperation and competition in the evolution of ATP-producing pathways. </w:t>
      </w:r>
      <w:r w:rsidRPr="00E81743">
        <w:rPr>
          <w:rFonts w:eastAsia="Calibri" w:cs="Times New Roman"/>
          <w:i/>
          <w:szCs w:val="24"/>
        </w:rPr>
        <w:t>Science</w:t>
      </w:r>
      <w:r w:rsidRPr="00E81743">
        <w:rPr>
          <w:rFonts w:eastAsia="Calibri" w:cs="Times New Roman"/>
          <w:szCs w:val="24"/>
        </w:rPr>
        <w:t xml:space="preserve"> 2001, 292, 504-507.</w:t>
      </w:r>
    </w:p>
    <w:p w:rsidR="006F53C9" w:rsidRPr="006F53C9" w:rsidRDefault="006F53C9" w:rsidP="004B5084">
      <w:pPr>
        <w:keepNext/>
        <w:keepLines/>
        <w:spacing w:before="120" w:after="240"/>
        <w:ind w:firstLine="0"/>
        <w:outlineLvl w:val="0"/>
        <w:rPr>
          <w:rFonts w:eastAsia="Calibri" w:cs="Times New Roman"/>
          <w:bCs/>
          <w:szCs w:val="24"/>
        </w:rPr>
      </w:pPr>
      <w:r w:rsidRPr="006F53C9">
        <w:rPr>
          <w:rFonts w:eastAsia="Calibri" w:cs="Times New Roman"/>
          <w:b/>
          <w:bCs/>
          <w:szCs w:val="24"/>
        </w:rPr>
        <w:lastRenderedPageBreak/>
        <w:t>Philipson KA, Elder MG, White JO.</w:t>
      </w:r>
      <w:r w:rsidRPr="006F53C9">
        <w:rPr>
          <w:rFonts w:eastAsia="Calibri" w:cs="Times New Roman"/>
          <w:bCs/>
          <w:szCs w:val="24"/>
        </w:rPr>
        <w:t xml:space="preserve"> The effects of medroxyprogesterone acetate on enzyme activities in human endometrial carcinoma. </w:t>
      </w:r>
      <w:r w:rsidRPr="006F53C9">
        <w:rPr>
          <w:rFonts w:eastAsia="Calibri" w:cs="Times New Roman"/>
          <w:bCs/>
          <w:i/>
          <w:szCs w:val="24"/>
        </w:rPr>
        <w:t>Journal of Steroid Biochemistry</w:t>
      </w:r>
      <w:r w:rsidRPr="006F53C9">
        <w:rPr>
          <w:rFonts w:eastAsia="Calibri" w:cs="Times New Roman"/>
          <w:bCs/>
          <w:szCs w:val="24"/>
        </w:rPr>
        <w:t xml:space="preserve"> 1985, 23 (6), 1059-1064.</w:t>
      </w:r>
    </w:p>
    <w:p w:rsidR="006F53C9" w:rsidRDefault="006F53C9" w:rsidP="004B5084">
      <w:pPr>
        <w:autoSpaceDE w:val="0"/>
        <w:autoSpaceDN w:val="0"/>
        <w:adjustRightInd w:val="0"/>
        <w:spacing w:before="120" w:after="240"/>
        <w:ind w:firstLine="0"/>
        <w:rPr>
          <w:rFonts w:eastAsia="Calibri" w:cs="Times New Roman"/>
          <w:szCs w:val="24"/>
        </w:rPr>
      </w:pPr>
      <w:r w:rsidRPr="00E81743">
        <w:rPr>
          <w:rFonts w:eastAsia="Calibri" w:cs="Times New Roman"/>
          <w:b/>
          <w:szCs w:val="24"/>
        </w:rPr>
        <w:t xml:space="preserve">Pineda JR, Callender R, Schwartz SD. </w:t>
      </w:r>
      <w:r w:rsidRPr="00E81743">
        <w:rPr>
          <w:rFonts w:eastAsia="Calibri" w:cs="Times New Roman"/>
          <w:szCs w:val="24"/>
        </w:rPr>
        <w:t xml:space="preserve">Ligand binding and protein dynamics in lactate dehydrogenase. </w:t>
      </w:r>
      <w:r w:rsidRPr="00E81743">
        <w:rPr>
          <w:rFonts w:eastAsia="Calibri" w:cs="Times New Roman"/>
          <w:i/>
          <w:szCs w:val="24"/>
        </w:rPr>
        <w:t>Biophysical Journal</w:t>
      </w:r>
      <w:r w:rsidRPr="00E81743">
        <w:rPr>
          <w:rFonts w:eastAsia="Calibri" w:cs="Times New Roman"/>
          <w:szCs w:val="24"/>
        </w:rPr>
        <w:t xml:space="preserve"> 2007, 93, 1474–1483.</w:t>
      </w:r>
    </w:p>
    <w:p w:rsidR="006F53C9" w:rsidRDefault="0037177D" w:rsidP="004B5084">
      <w:pPr>
        <w:autoSpaceDE w:val="0"/>
        <w:autoSpaceDN w:val="0"/>
        <w:adjustRightInd w:val="0"/>
        <w:spacing w:before="120" w:after="240"/>
        <w:ind w:firstLine="0"/>
        <w:rPr>
          <w:rFonts w:eastAsia="Calibri" w:cs="Times New Roman"/>
          <w:szCs w:val="24"/>
        </w:rPr>
      </w:pPr>
      <w:hyperlink r:id="rId674" w:history="1">
        <w:r w:rsidR="006F53C9" w:rsidRPr="00E81743">
          <w:rPr>
            <w:rFonts w:eastAsia="Calibri" w:cs="Times New Roman"/>
            <w:b/>
            <w:szCs w:val="24"/>
          </w:rPr>
          <w:t>Pinheiro C</w:t>
        </w:r>
      </w:hyperlink>
      <w:r w:rsidR="006F53C9" w:rsidRPr="00E81743">
        <w:rPr>
          <w:rFonts w:eastAsia="Calibri" w:cs="Times New Roman"/>
          <w:b/>
          <w:szCs w:val="24"/>
        </w:rPr>
        <w:t>, </w:t>
      </w:r>
      <w:hyperlink r:id="rId675" w:history="1">
        <w:r w:rsidR="006F53C9" w:rsidRPr="00E81743">
          <w:rPr>
            <w:rFonts w:eastAsia="Calibri" w:cs="Times New Roman"/>
            <w:b/>
            <w:szCs w:val="24"/>
          </w:rPr>
          <w:t>Albergaria A</w:t>
        </w:r>
      </w:hyperlink>
      <w:r w:rsidR="006F53C9" w:rsidRPr="00E81743">
        <w:rPr>
          <w:rFonts w:eastAsia="Calibri" w:cs="Times New Roman"/>
          <w:b/>
          <w:szCs w:val="24"/>
        </w:rPr>
        <w:t>, </w:t>
      </w:r>
      <w:hyperlink r:id="rId676" w:history="1">
        <w:r w:rsidR="006F53C9" w:rsidRPr="00E81743">
          <w:rPr>
            <w:rFonts w:eastAsia="Calibri" w:cs="Times New Roman"/>
            <w:b/>
            <w:szCs w:val="24"/>
          </w:rPr>
          <w:t>Paredes J</w:t>
        </w:r>
      </w:hyperlink>
      <w:r w:rsidR="006F53C9" w:rsidRPr="00E81743">
        <w:rPr>
          <w:rFonts w:eastAsia="Calibri" w:cs="Times New Roman"/>
          <w:b/>
          <w:szCs w:val="24"/>
        </w:rPr>
        <w:t>, </w:t>
      </w:r>
      <w:hyperlink r:id="rId677" w:history="1">
        <w:r w:rsidR="006F53C9" w:rsidRPr="00E81743">
          <w:rPr>
            <w:rFonts w:eastAsia="Calibri" w:cs="Times New Roman"/>
            <w:b/>
            <w:szCs w:val="24"/>
          </w:rPr>
          <w:t>Sousa B</w:t>
        </w:r>
      </w:hyperlink>
      <w:r w:rsidR="006F53C9" w:rsidRPr="00E81743">
        <w:rPr>
          <w:rFonts w:eastAsia="Calibri" w:cs="Times New Roman"/>
          <w:b/>
          <w:szCs w:val="24"/>
        </w:rPr>
        <w:t>, </w:t>
      </w:r>
      <w:hyperlink r:id="rId678" w:history="1">
        <w:r w:rsidR="006F53C9" w:rsidRPr="00E81743">
          <w:rPr>
            <w:rFonts w:eastAsia="Calibri" w:cs="Times New Roman"/>
            <w:b/>
            <w:szCs w:val="24"/>
          </w:rPr>
          <w:t>Dufloth R</w:t>
        </w:r>
      </w:hyperlink>
      <w:r w:rsidR="006F53C9" w:rsidRPr="00E81743">
        <w:rPr>
          <w:rFonts w:eastAsia="Calibri" w:cs="Times New Roman"/>
          <w:b/>
          <w:szCs w:val="24"/>
        </w:rPr>
        <w:t>, </w:t>
      </w:r>
      <w:hyperlink r:id="rId679" w:history="1">
        <w:r w:rsidR="006F53C9" w:rsidRPr="00E81743">
          <w:rPr>
            <w:rFonts w:eastAsia="Calibri" w:cs="Times New Roman"/>
            <w:b/>
            <w:szCs w:val="24"/>
          </w:rPr>
          <w:t>Vieira D</w:t>
        </w:r>
      </w:hyperlink>
      <w:r w:rsidR="006F53C9" w:rsidRPr="00E81743">
        <w:rPr>
          <w:rFonts w:eastAsia="Calibri" w:cs="Times New Roman"/>
          <w:b/>
          <w:szCs w:val="24"/>
        </w:rPr>
        <w:t>, </w:t>
      </w:r>
      <w:hyperlink r:id="rId680" w:history="1">
        <w:r w:rsidR="006F53C9" w:rsidRPr="00E81743">
          <w:rPr>
            <w:rFonts w:eastAsia="Calibri" w:cs="Times New Roman"/>
            <w:b/>
            <w:szCs w:val="24"/>
          </w:rPr>
          <w:t>Schmitt F</w:t>
        </w:r>
      </w:hyperlink>
      <w:r w:rsidR="006F53C9" w:rsidRPr="00E81743">
        <w:rPr>
          <w:rFonts w:eastAsia="Calibri" w:cs="Times New Roman"/>
          <w:b/>
          <w:szCs w:val="24"/>
        </w:rPr>
        <w:t>, </w:t>
      </w:r>
      <w:hyperlink r:id="rId681" w:history="1">
        <w:r w:rsidR="006F53C9" w:rsidRPr="00E81743">
          <w:rPr>
            <w:rFonts w:eastAsia="Calibri" w:cs="Times New Roman"/>
            <w:b/>
            <w:szCs w:val="24"/>
          </w:rPr>
          <w:t>Baltazar F</w:t>
        </w:r>
      </w:hyperlink>
      <w:r w:rsidR="006F53C9" w:rsidRPr="00E81743">
        <w:rPr>
          <w:rFonts w:eastAsia="Calibri" w:cs="Times New Roman"/>
          <w:b/>
          <w:szCs w:val="24"/>
        </w:rPr>
        <w:t xml:space="preserve">. </w:t>
      </w:r>
      <w:r w:rsidR="006F53C9" w:rsidRPr="00E81743">
        <w:rPr>
          <w:rFonts w:eastAsia="Calibri" w:cs="Times New Roman"/>
          <w:szCs w:val="24"/>
        </w:rPr>
        <w:t xml:space="preserve">Monocarboxylate transporter 1 is up-regulated in basal-like breast carcinoma. </w:t>
      </w:r>
      <w:r w:rsidR="006F53C9" w:rsidRPr="00E81743">
        <w:rPr>
          <w:rFonts w:eastAsia="Calibri" w:cs="Times New Roman"/>
          <w:i/>
          <w:szCs w:val="24"/>
        </w:rPr>
        <w:t>Histopathology</w:t>
      </w:r>
      <w:r w:rsidR="006F53C9" w:rsidRPr="00E81743">
        <w:rPr>
          <w:rFonts w:eastAsia="Calibri" w:cs="Times New Roman"/>
          <w:szCs w:val="24"/>
        </w:rPr>
        <w:t xml:space="preserve"> 2010, 56 (7), 860-867.</w:t>
      </w:r>
    </w:p>
    <w:p w:rsidR="006F53C9" w:rsidRPr="006F53C9" w:rsidRDefault="0037177D" w:rsidP="004B5084">
      <w:pPr>
        <w:keepNext/>
        <w:keepLines/>
        <w:shd w:val="clear" w:color="auto" w:fill="FFFFFF"/>
        <w:spacing w:before="120" w:after="240"/>
        <w:ind w:firstLine="0"/>
        <w:outlineLvl w:val="0"/>
        <w:rPr>
          <w:rFonts w:eastAsia="Calibri" w:cs="Times New Roman"/>
          <w:szCs w:val="24"/>
        </w:rPr>
      </w:pPr>
      <w:hyperlink r:id="rId682" w:history="1">
        <w:r w:rsidR="006F53C9" w:rsidRPr="006F53C9">
          <w:rPr>
            <w:rFonts w:eastAsia="Calibri" w:cs="Times New Roman"/>
            <w:b/>
            <w:szCs w:val="24"/>
          </w:rPr>
          <w:t>Pinheiro C</w:t>
        </w:r>
      </w:hyperlink>
      <w:r w:rsidR="006F53C9" w:rsidRPr="006F53C9">
        <w:rPr>
          <w:rFonts w:eastAsia="Calibri" w:cs="Times New Roman"/>
          <w:b/>
          <w:szCs w:val="24"/>
        </w:rPr>
        <w:t>, </w:t>
      </w:r>
      <w:hyperlink r:id="rId683" w:history="1">
        <w:r w:rsidR="006F53C9" w:rsidRPr="006F53C9">
          <w:rPr>
            <w:rFonts w:eastAsia="Calibri" w:cs="Times New Roman"/>
            <w:b/>
            <w:szCs w:val="24"/>
          </w:rPr>
          <w:t>Longatto-Filho A</w:t>
        </w:r>
      </w:hyperlink>
      <w:r w:rsidR="006F53C9" w:rsidRPr="006F53C9">
        <w:rPr>
          <w:rFonts w:eastAsia="Calibri" w:cs="Times New Roman"/>
          <w:b/>
          <w:szCs w:val="24"/>
        </w:rPr>
        <w:t>, </w:t>
      </w:r>
      <w:hyperlink r:id="rId684" w:history="1">
        <w:r w:rsidR="006F53C9" w:rsidRPr="006F53C9">
          <w:rPr>
            <w:rFonts w:eastAsia="Calibri" w:cs="Times New Roman"/>
            <w:b/>
            <w:szCs w:val="24"/>
          </w:rPr>
          <w:t>Azevedo-Silva J</w:t>
        </w:r>
      </w:hyperlink>
      <w:r w:rsidR="006F53C9" w:rsidRPr="006F53C9">
        <w:rPr>
          <w:rFonts w:eastAsia="Calibri" w:cs="Times New Roman"/>
          <w:b/>
          <w:szCs w:val="24"/>
        </w:rPr>
        <w:t>, </w:t>
      </w:r>
      <w:hyperlink r:id="rId685" w:history="1">
        <w:r w:rsidR="006F53C9" w:rsidRPr="006F53C9">
          <w:rPr>
            <w:rFonts w:eastAsia="Calibri" w:cs="Times New Roman"/>
            <w:b/>
            <w:szCs w:val="24"/>
          </w:rPr>
          <w:t>Casal M</w:t>
        </w:r>
      </w:hyperlink>
      <w:r w:rsidR="006F53C9" w:rsidRPr="006F53C9">
        <w:rPr>
          <w:rFonts w:eastAsia="Calibri" w:cs="Times New Roman"/>
          <w:b/>
          <w:szCs w:val="24"/>
        </w:rPr>
        <w:t>, </w:t>
      </w:r>
      <w:hyperlink r:id="rId686" w:history="1">
        <w:r w:rsidR="006F53C9" w:rsidRPr="006F53C9">
          <w:rPr>
            <w:rFonts w:eastAsia="Calibri" w:cs="Times New Roman"/>
            <w:b/>
            <w:szCs w:val="24"/>
          </w:rPr>
          <w:t>Schmitt FC</w:t>
        </w:r>
      </w:hyperlink>
      <w:r w:rsidR="006F53C9" w:rsidRPr="006F53C9">
        <w:rPr>
          <w:rFonts w:eastAsia="Calibri" w:cs="Times New Roman"/>
          <w:b/>
          <w:szCs w:val="24"/>
        </w:rPr>
        <w:t>, </w:t>
      </w:r>
      <w:hyperlink r:id="rId687" w:history="1">
        <w:r w:rsidR="006F53C9" w:rsidRPr="006F53C9">
          <w:rPr>
            <w:rFonts w:eastAsia="Calibri" w:cs="Times New Roman"/>
            <w:b/>
            <w:szCs w:val="24"/>
          </w:rPr>
          <w:t>Baltazar F</w:t>
        </w:r>
      </w:hyperlink>
      <w:r w:rsidR="006F53C9" w:rsidRPr="006F53C9">
        <w:rPr>
          <w:rFonts w:eastAsia="Calibri" w:cs="Times New Roman"/>
          <w:b/>
          <w:szCs w:val="24"/>
        </w:rPr>
        <w:t>.</w:t>
      </w:r>
      <w:r w:rsidR="006F53C9" w:rsidRPr="006F53C9">
        <w:rPr>
          <w:rFonts w:eastAsia="Calibri" w:cs="Times New Roman"/>
          <w:bCs/>
          <w:color w:val="365F91" w:themeColor="accent1" w:themeShade="BF"/>
          <w:szCs w:val="24"/>
        </w:rPr>
        <w:t xml:space="preserve"> </w:t>
      </w:r>
      <w:r w:rsidR="006F53C9" w:rsidRPr="006F53C9">
        <w:rPr>
          <w:rFonts w:eastAsia="Calibri" w:cs="Times New Roman"/>
          <w:szCs w:val="24"/>
        </w:rPr>
        <w:t xml:space="preserve">Role of monocarboxylate transporters in human cancers: state of the art. </w:t>
      </w:r>
      <w:r w:rsidR="006F53C9" w:rsidRPr="006F53C9">
        <w:rPr>
          <w:rFonts w:eastAsia="Calibri" w:cs="Times New Roman"/>
          <w:i/>
          <w:szCs w:val="24"/>
        </w:rPr>
        <w:t>Journal of Bioenergetics and Biomembranes</w:t>
      </w:r>
      <w:r w:rsidR="006F53C9" w:rsidRPr="006F53C9">
        <w:rPr>
          <w:rFonts w:eastAsia="Calibri" w:cs="Times New Roman"/>
          <w:szCs w:val="24"/>
        </w:rPr>
        <w:t xml:space="preserve"> 2012, 44 (1), 127-139. </w:t>
      </w:r>
    </w:p>
    <w:p w:rsidR="006F53C9" w:rsidRPr="00E81743" w:rsidRDefault="0037177D" w:rsidP="004B5084">
      <w:pPr>
        <w:autoSpaceDE w:val="0"/>
        <w:autoSpaceDN w:val="0"/>
        <w:adjustRightInd w:val="0"/>
        <w:spacing w:before="120" w:after="240"/>
        <w:ind w:firstLine="0"/>
        <w:rPr>
          <w:rFonts w:eastAsia="Calibri" w:cs="Times New Roman"/>
          <w:szCs w:val="24"/>
        </w:rPr>
      </w:pPr>
      <w:hyperlink r:id="rId688" w:history="1">
        <w:r w:rsidR="006F53C9" w:rsidRPr="00E81743">
          <w:rPr>
            <w:rFonts w:eastAsia="Calibri" w:cs="Times New Roman"/>
            <w:b/>
            <w:szCs w:val="24"/>
          </w:rPr>
          <w:t>Pinheiro C</w:t>
        </w:r>
      </w:hyperlink>
      <w:r w:rsidR="006F53C9" w:rsidRPr="00E81743">
        <w:rPr>
          <w:rFonts w:eastAsia="Calibri" w:cs="Times New Roman"/>
          <w:b/>
          <w:szCs w:val="24"/>
        </w:rPr>
        <w:t>, </w:t>
      </w:r>
      <w:hyperlink r:id="rId689" w:history="1">
        <w:r w:rsidR="006F53C9" w:rsidRPr="00E81743">
          <w:rPr>
            <w:rFonts w:eastAsia="Calibri" w:cs="Times New Roman"/>
            <w:b/>
            <w:szCs w:val="24"/>
          </w:rPr>
          <w:t>Longatto-Filho A</w:t>
        </w:r>
      </w:hyperlink>
      <w:r w:rsidR="006F53C9" w:rsidRPr="00E81743">
        <w:rPr>
          <w:rFonts w:eastAsia="Calibri" w:cs="Times New Roman"/>
          <w:b/>
          <w:szCs w:val="24"/>
        </w:rPr>
        <w:t>, </w:t>
      </w:r>
      <w:hyperlink r:id="rId690" w:history="1">
        <w:r w:rsidR="006F53C9" w:rsidRPr="00E81743">
          <w:rPr>
            <w:rFonts w:eastAsia="Calibri" w:cs="Times New Roman"/>
            <w:b/>
            <w:szCs w:val="24"/>
          </w:rPr>
          <w:t>Ferreira L</w:t>
        </w:r>
      </w:hyperlink>
      <w:r w:rsidR="006F53C9" w:rsidRPr="00E81743">
        <w:rPr>
          <w:rFonts w:eastAsia="Calibri" w:cs="Times New Roman"/>
          <w:b/>
          <w:szCs w:val="24"/>
        </w:rPr>
        <w:t>, </w:t>
      </w:r>
      <w:hyperlink r:id="rId691" w:history="1">
        <w:r w:rsidR="006F53C9" w:rsidRPr="00E81743">
          <w:rPr>
            <w:rFonts w:eastAsia="Calibri" w:cs="Times New Roman"/>
            <w:b/>
            <w:szCs w:val="24"/>
          </w:rPr>
          <w:t>Pereira SM</w:t>
        </w:r>
      </w:hyperlink>
      <w:r w:rsidR="006F53C9" w:rsidRPr="00E81743">
        <w:rPr>
          <w:rFonts w:eastAsia="Calibri" w:cs="Times New Roman"/>
          <w:b/>
          <w:szCs w:val="24"/>
        </w:rPr>
        <w:t>, </w:t>
      </w:r>
      <w:hyperlink r:id="rId692" w:history="1">
        <w:r w:rsidR="006F53C9" w:rsidRPr="00E81743">
          <w:rPr>
            <w:rFonts w:eastAsia="Calibri" w:cs="Times New Roman"/>
            <w:b/>
            <w:szCs w:val="24"/>
          </w:rPr>
          <w:t>Etlinger D</w:t>
        </w:r>
      </w:hyperlink>
      <w:r w:rsidR="006F53C9" w:rsidRPr="00E81743">
        <w:rPr>
          <w:rFonts w:eastAsia="Calibri" w:cs="Times New Roman"/>
          <w:b/>
          <w:szCs w:val="24"/>
        </w:rPr>
        <w:t>, </w:t>
      </w:r>
      <w:hyperlink r:id="rId693" w:history="1">
        <w:r w:rsidR="006F53C9" w:rsidRPr="00E81743">
          <w:rPr>
            <w:rFonts w:eastAsia="Calibri" w:cs="Times New Roman"/>
            <w:b/>
            <w:szCs w:val="24"/>
          </w:rPr>
          <w:t>Moreira MA</w:t>
        </w:r>
      </w:hyperlink>
      <w:r w:rsidR="006F53C9" w:rsidRPr="00E81743">
        <w:rPr>
          <w:rFonts w:eastAsia="Calibri" w:cs="Times New Roman"/>
          <w:b/>
          <w:szCs w:val="24"/>
        </w:rPr>
        <w:t>, </w:t>
      </w:r>
      <w:hyperlink r:id="rId694" w:history="1">
        <w:r w:rsidR="006F53C9" w:rsidRPr="00E81743">
          <w:rPr>
            <w:rFonts w:eastAsia="Calibri" w:cs="Times New Roman"/>
            <w:b/>
            <w:szCs w:val="24"/>
          </w:rPr>
          <w:t>Jubé LF</w:t>
        </w:r>
      </w:hyperlink>
      <w:r w:rsidR="006F53C9" w:rsidRPr="00E81743">
        <w:rPr>
          <w:rFonts w:eastAsia="Calibri" w:cs="Times New Roman"/>
          <w:b/>
          <w:szCs w:val="24"/>
        </w:rPr>
        <w:t>, </w:t>
      </w:r>
      <w:hyperlink r:id="rId695" w:history="1">
        <w:r w:rsidR="006F53C9" w:rsidRPr="00E81743">
          <w:rPr>
            <w:rFonts w:eastAsia="Calibri" w:cs="Times New Roman"/>
            <w:b/>
            <w:szCs w:val="24"/>
          </w:rPr>
          <w:t>Queiroz GS</w:t>
        </w:r>
      </w:hyperlink>
      <w:r w:rsidR="006F53C9" w:rsidRPr="00E81743">
        <w:rPr>
          <w:rFonts w:eastAsia="Calibri" w:cs="Times New Roman"/>
          <w:b/>
          <w:szCs w:val="24"/>
        </w:rPr>
        <w:t>, </w:t>
      </w:r>
      <w:hyperlink r:id="rId696" w:history="1">
        <w:r w:rsidR="006F53C9" w:rsidRPr="00E81743">
          <w:rPr>
            <w:rFonts w:eastAsia="Calibri" w:cs="Times New Roman"/>
            <w:b/>
            <w:szCs w:val="24"/>
          </w:rPr>
          <w:t>Schmitt F</w:t>
        </w:r>
      </w:hyperlink>
      <w:r w:rsidR="006F53C9" w:rsidRPr="00E81743">
        <w:rPr>
          <w:rFonts w:eastAsia="Calibri" w:cs="Times New Roman"/>
          <w:b/>
          <w:szCs w:val="24"/>
        </w:rPr>
        <w:t>, </w:t>
      </w:r>
      <w:hyperlink r:id="rId697" w:history="1">
        <w:r w:rsidR="006F53C9" w:rsidRPr="00E81743">
          <w:rPr>
            <w:rFonts w:eastAsia="Calibri" w:cs="Times New Roman"/>
            <w:b/>
            <w:szCs w:val="24"/>
          </w:rPr>
          <w:t>Baltazar F</w:t>
        </w:r>
      </w:hyperlink>
      <w:r w:rsidR="006F53C9" w:rsidRPr="00E81743">
        <w:rPr>
          <w:rFonts w:eastAsia="Calibri" w:cs="Times New Roman"/>
          <w:b/>
          <w:szCs w:val="24"/>
        </w:rPr>
        <w:t xml:space="preserve">. </w:t>
      </w:r>
      <w:r w:rsidR="006F53C9" w:rsidRPr="00E81743">
        <w:rPr>
          <w:rFonts w:eastAsia="Calibri" w:cs="Times New Roman"/>
          <w:szCs w:val="24"/>
        </w:rPr>
        <w:t xml:space="preserve">Increasing expression of monocarboxylate transporters 1 and 4 along progression to invasive cervical carcinoma. </w:t>
      </w:r>
      <w:r w:rsidR="006F53C9" w:rsidRPr="00E81743">
        <w:rPr>
          <w:rFonts w:eastAsia="Calibri" w:cs="Times New Roman"/>
          <w:i/>
          <w:szCs w:val="24"/>
        </w:rPr>
        <w:t>International Journal of Gynecological Pathology</w:t>
      </w:r>
      <w:r w:rsidR="006F53C9" w:rsidRPr="00E81743">
        <w:rPr>
          <w:rFonts w:eastAsia="Calibri" w:cs="Times New Roman"/>
          <w:szCs w:val="24"/>
        </w:rPr>
        <w:t xml:space="preserve"> 2008, 27 (4), 568-574. </w:t>
      </w:r>
    </w:p>
    <w:p w:rsidR="006F53C9" w:rsidRPr="006F53C9" w:rsidRDefault="0037177D" w:rsidP="004B5084">
      <w:pPr>
        <w:keepNext/>
        <w:keepLines/>
        <w:shd w:val="clear" w:color="auto" w:fill="FFFFFF"/>
        <w:spacing w:before="120" w:after="240"/>
        <w:ind w:firstLine="0"/>
        <w:outlineLvl w:val="0"/>
        <w:rPr>
          <w:rFonts w:eastAsia="Calibri" w:cs="Times New Roman"/>
          <w:bCs/>
          <w:szCs w:val="24"/>
        </w:rPr>
      </w:pPr>
      <w:hyperlink r:id="rId698" w:history="1">
        <w:r w:rsidR="006F53C9" w:rsidRPr="006F53C9">
          <w:rPr>
            <w:rFonts w:eastAsia="Calibri" w:cs="Times New Roman"/>
            <w:b/>
            <w:bCs/>
            <w:szCs w:val="24"/>
          </w:rPr>
          <w:t>Polat MF</w:t>
        </w:r>
      </w:hyperlink>
      <w:r w:rsidR="006F53C9" w:rsidRPr="006F53C9">
        <w:rPr>
          <w:rFonts w:eastAsia="Calibri" w:cs="Times New Roman"/>
          <w:b/>
          <w:bCs/>
          <w:szCs w:val="24"/>
        </w:rPr>
        <w:t>, </w:t>
      </w:r>
      <w:hyperlink r:id="rId699" w:history="1">
        <w:r w:rsidR="006F53C9" w:rsidRPr="006F53C9">
          <w:rPr>
            <w:rFonts w:eastAsia="Calibri" w:cs="Times New Roman"/>
            <w:b/>
            <w:bCs/>
            <w:szCs w:val="24"/>
          </w:rPr>
          <w:t>Taysi S</w:t>
        </w:r>
      </w:hyperlink>
      <w:r w:rsidR="006F53C9" w:rsidRPr="006F53C9">
        <w:rPr>
          <w:rFonts w:eastAsia="Calibri" w:cs="Times New Roman"/>
          <w:b/>
          <w:bCs/>
          <w:szCs w:val="24"/>
        </w:rPr>
        <w:t>, </w:t>
      </w:r>
      <w:hyperlink r:id="rId700" w:history="1">
        <w:r w:rsidR="006F53C9" w:rsidRPr="006F53C9">
          <w:rPr>
            <w:rFonts w:eastAsia="Calibri" w:cs="Times New Roman"/>
            <w:b/>
            <w:bCs/>
            <w:szCs w:val="24"/>
          </w:rPr>
          <w:t>Gul M</w:t>
        </w:r>
      </w:hyperlink>
      <w:r w:rsidR="006F53C9" w:rsidRPr="006F53C9">
        <w:rPr>
          <w:rFonts w:eastAsia="Calibri" w:cs="Times New Roman"/>
          <w:b/>
          <w:bCs/>
          <w:szCs w:val="24"/>
        </w:rPr>
        <w:t>, </w:t>
      </w:r>
      <w:hyperlink r:id="rId701" w:history="1">
        <w:r w:rsidR="006F53C9" w:rsidRPr="006F53C9">
          <w:rPr>
            <w:rFonts w:eastAsia="Calibri" w:cs="Times New Roman"/>
            <w:b/>
            <w:bCs/>
            <w:szCs w:val="24"/>
          </w:rPr>
          <w:t>Cikman O</w:t>
        </w:r>
      </w:hyperlink>
      <w:r w:rsidR="006F53C9" w:rsidRPr="006F53C9">
        <w:rPr>
          <w:rFonts w:eastAsia="Calibri" w:cs="Times New Roman"/>
          <w:b/>
          <w:bCs/>
          <w:szCs w:val="24"/>
        </w:rPr>
        <w:t>, </w:t>
      </w:r>
      <w:hyperlink r:id="rId702" w:history="1">
        <w:r w:rsidR="006F53C9" w:rsidRPr="006F53C9">
          <w:rPr>
            <w:rFonts w:eastAsia="Calibri" w:cs="Times New Roman"/>
            <w:b/>
            <w:bCs/>
            <w:szCs w:val="24"/>
          </w:rPr>
          <w:t>Yilmaz I</w:t>
        </w:r>
      </w:hyperlink>
      <w:r w:rsidR="006F53C9" w:rsidRPr="006F53C9">
        <w:rPr>
          <w:rFonts w:eastAsia="Calibri" w:cs="Times New Roman"/>
          <w:b/>
          <w:bCs/>
          <w:szCs w:val="24"/>
        </w:rPr>
        <w:t>, </w:t>
      </w:r>
      <w:hyperlink r:id="rId703" w:history="1">
        <w:r w:rsidR="006F53C9" w:rsidRPr="006F53C9">
          <w:rPr>
            <w:rFonts w:eastAsia="Calibri" w:cs="Times New Roman"/>
            <w:b/>
            <w:bCs/>
            <w:szCs w:val="24"/>
          </w:rPr>
          <w:t>Bakan E</w:t>
        </w:r>
      </w:hyperlink>
      <w:r w:rsidR="006F53C9" w:rsidRPr="006F53C9">
        <w:rPr>
          <w:rFonts w:eastAsia="Calibri" w:cs="Times New Roman"/>
          <w:b/>
          <w:bCs/>
          <w:szCs w:val="24"/>
        </w:rPr>
        <w:t>, </w:t>
      </w:r>
      <w:hyperlink r:id="rId704" w:history="1">
        <w:r w:rsidR="006F53C9" w:rsidRPr="006F53C9">
          <w:rPr>
            <w:rFonts w:eastAsia="Calibri" w:cs="Times New Roman"/>
            <w:b/>
            <w:bCs/>
            <w:szCs w:val="24"/>
          </w:rPr>
          <w:t>Erdogan F</w:t>
        </w:r>
      </w:hyperlink>
      <w:r w:rsidR="006F53C9" w:rsidRPr="006F53C9">
        <w:rPr>
          <w:rFonts w:eastAsia="Calibri" w:cs="Times New Roman"/>
          <w:b/>
          <w:bCs/>
          <w:szCs w:val="24"/>
        </w:rPr>
        <w:t xml:space="preserve">. </w:t>
      </w:r>
      <w:r w:rsidR="006F53C9" w:rsidRPr="006F53C9">
        <w:rPr>
          <w:rFonts w:eastAsia="Calibri" w:cs="Times New Roman"/>
          <w:bCs/>
          <w:szCs w:val="24"/>
        </w:rPr>
        <w:t xml:space="preserve">Oxidant/antioxidant status in blood of patients with malignant breast tumour and benign breast disease. </w:t>
      </w:r>
      <w:r w:rsidR="006F53C9" w:rsidRPr="006F53C9">
        <w:rPr>
          <w:rFonts w:eastAsia="Calibri" w:cs="Times New Roman"/>
          <w:bCs/>
          <w:i/>
          <w:szCs w:val="24"/>
        </w:rPr>
        <w:t>Cell Biochemistry and Function</w:t>
      </w:r>
      <w:r w:rsidR="006F53C9" w:rsidRPr="006F53C9">
        <w:rPr>
          <w:rFonts w:eastAsia="Calibri" w:cs="Times New Roman"/>
          <w:bCs/>
          <w:szCs w:val="24"/>
        </w:rPr>
        <w:t xml:space="preserve"> 2002, 20 (4), 327-331. ,</w:t>
      </w:r>
    </w:p>
    <w:p w:rsidR="006F53C9" w:rsidRPr="00E81743" w:rsidRDefault="006F53C9" w:rsidP="004B5084">
      <w:pPr>
        <w:keepNext/>
        <w:keepLines/>
        <w:spacing w:before="120" w:after="240"/>
        <w:ind w:firstLine="0"/>
        <w:outlineLvl w:val="0"/>
        <w:rPr>
          <w:rFonts w:eastAsiaTheme="majorEastAsia" w:cs="Times New Roman"/>
          <w:bCs/>
          <w:szCs w:val="24"/>
        </w:rPr>
      </w:pPr>
      <w:r w:rsidRPr="00E81743">
        <w:rPr>
          <w:rFonts w:eastAsiaTheme="majorEastAsia" w:cs="Times New Roman"/>
          <w:b/>
          <w:bCs/>
          <w:szCs w:val="24"/>
        </w:rPr>
        <w:t xml:space="preserve">Porporato PE, Dhup S, Dadhich RK, Copetti T, Sonveaux P. </w:t>
      </w:r>
      <w:r w:rsidRPr="00E81743">
        <w:rPr>
          <w:rFonts w:eastAsiaTheme="majorEastAsia" w:cs="Times New Roman"/>
          <w:bCs/>
          <w:szCs w:val="24"/>
        </w:rPr>
        <w:t>Anticancer targets in the glycolytic metabolism of tumors: a comprehensive review. </w:t>
      </w:r>
      <w:r w:rsidRPr="00E81743">
        <w:rPr>
          <w:rFonts w:eastAsiaTheme="majorEastAsia" w:cs="Times New Roman"/>
          <w:bCs/>
          <w:i/>
          <w:szCs w:val="24"/>
        </w:rPr>
        <w:t>Frontiers in Pharmacology</w:t>
      </w:r>
      <w:r w:rsidRPr="00E81743">
        <w:rPr>
          <w:rFonts w:eastAsiaTheme="majorEastAsia" w:cs="Times New Roman"/>
          <w:bCs/>
          <w:szCs w:val="24"/>
        </w:rPr>
        <w:t> 2011, 2, 49.</w:t>
      </w:r>
    </w:p>
    <w:p w:rsidR="006F53C9" w:rsidRPr="00E81743" w:rsidRDefault="0037177D" w:rsidP="004B5084">
      <w:pPr>
        <w:keepNext/>
        <w:keepLines/>
        <w:shd w:val="clear" w:color="auto" w:fill="FFFFFF"/>
        <w:spacing w:before="120" w:after="240"/>
        <w:ind w:firstLine="0"/>
        <w:outlineLvl w:val="0"/>
        <w:rPr>
          <w:rFonts w:eastAsia="Calibri" w:cs="Times New Roman"/>
          <w:szCs w:val="24"/>
        </w:rPr>
      </w:pPr>
      <w:hyperlink r:id="rId705" w:history="1">
        <w:r w:rsidR="006F53C9" w:rsidRPr="00E81743">
          <w:rPr>
            <w:rFonts w:eastAsia="Calibri" w:cs="Times New Roman"/>
            <w:b/>
            <w:szCs w:val="24"/>
          </w:rPr>
          <w:t>Prakasam G</w:t>
        </w:r>
      </w:hyperlink>
      <w:r w:rsidR="006F53C9" w:rsidRPr="00E81743">
        <w:rPr>
          <w:rFonts w:eastAsia="Calibri" w:cs="Times New Roman"/>
          <w:b/>
          <w:szCs w:val="24"/>
        </w:rPr>
        <w:t>, </w:t>
      </w:r>
      <w:hyperlink r:id="rId706" w:history="1">
        <w:r w:rsidR="006F53C9" w:rsidRPr="00E81743">
          <w:rPr>
            <w:rFonts w:eastAsia="Calibri" w:cs="Times New Roman"/>
            <w:b/>
            <w:szCs w:val="24"/>
          </w:rPr>
          <w:t>Iqbal MA</w:t>
        </w:r>
      </w:hyperlink>
      <w:r w:rsidR="006F53C9" w:rsidRPr="00E81743">
        <w:rPr>
          <w:rFonts w:eastAsia="Calibri" w:cs="Times New Roman"/>
          <w:b/>
          <w:szCs w:val="24"/>
        </w:rPr>
        <w:t>, </w:t>
      </w:r>
      <w:hyperlink r:id="rId707" w:history="1">
        <w:r w:rsidR="006F53C9" w:rsidRPr="00E81743">
          <w:rPr>
            <w:rFonts w:eastAsia="Calibri" w:cs="Times New Roman"/>
            <w:b/>
            <w:szCs w:val="24"/>
          </w:rPr>
          <w:t>Bamezai RNK</w:t>
        </w:r>
      </w:hyperlink>
      <w:r w:rsidR="006F53C9" w:rsidRPr="00E81743">
        <w:rPr>
          <w:rFonts w:eastAsia="Calibri" w:cs="Times New Roman"/>
          <w:b/>
          <w:szCs w:val="24"/>
        </w:rPr>
        <w:t>, </w:t>
      </w:r>
      <w:hyperlink r:id="rId708" w:history="1">
        <w:r w:rsidR="006F53C9" w:rsidRPr="00E81743">
          <w:rPr>
            <w:rFonts w:eastAsia="Calibri" w:cs="Times New Roman"/>
            <w:b/>
            <w:szCs w:val="24"/>
          </w:rPr>
          <w:t>Mazurek S</w:t>
        </w:r>
      </w:hyperlink>
      <w:r w:rsidR="006F53C9" w:rsidRPr="00E81743">
        <w:rPr>
          <w:rFonts w:eastAsia="Calibri" w:cs="Times New Roman"/>
          <w:b/>
          <w:szCs w:val="24"/>
        </w:rPr>
        <w:t>.</w:t>
      </w:r>
      <w:r w:rsidR="006F53C9" w:rsidRPr="00E81743">
        <w:rPr>
          <w:rFonts w:eastAsia="Calibri" w:cs="Times New Roman"/>
          <w:szCs w:val="24"/>
        </w:rPr>
        <w:t xml:space="preserve"> Posttranslational Modifications of Pyruvate Kinase M2: Tweaks that Benefit Cancer. </w:t>
      </w:r>
      <w:r w:rsidR="006F53C9" w:rsidRPr="00E81743">
        <w:rPr>
          <w:rFonts w:eastAsia="Calibri" w:cs="Times New Roman"/>
          <w:i/>
          <w:szCs w:val="24"/>
        </w:rPr>
        <w:t>Frontiers in Oncology</w:t>
      </w:r>
      <w:r w:rsidR="006F53C9" w:rsidRPr="00E81743">
        <w:rPr>
          <w:rFonts w:eastAsia="Calibri" w:cs="Times New Roman"/>
          <w:szCs w:val="24"/>
        </w:rPr>
        <w:t xml:space="preserve"> 2018, 8, 22. </w:t>
      </w:r>
    </w:p>
    <w:p w:rsidR="00193A10" w:rsidRDefault="006F53C9" w:rsidP="00193A10">
      <w:pPr>
        <w:spacing w:before="120" w:after="240"/>
        <w:ind w:firstLine="0"/>
        <w:rPr>
          <w:rFonts w:eastAsia="Calibri" w:cs="Times New Roman"/>
          <w:szCs w:val="24"/>
        </w:rPr>
      </w:pPr>
      <w:r w:rsidRPr="00E81743">
        <w:rPr>
          <w:rFonts w:eastAsia="Calibri" w:cs="Times New Roman"/>
          <w:b/>
          <w:szCs w:val="24"/>
        </w:rPr>
        <w:t>Pugh CW, Tan CC, Jones RW, Ratcliffe PJ.</w:t>
      </w:r>
      <w:r w:rsidRPr="00E81743">
        <w:rPr>
          <w:rFonts w:eastAsia="Calibri" w:cs="Times New Roman"/>
          <w:szCs w:val="24"/>
        </w:rPr>
        <w:t xml:space="preserve"> Functional analysis of an oxygen-regulated transcriptional enhancer lying 3' to the mouse erythropoietin gene. </w:t>
      </w:r>
      <w:r w:rsidRPr="00E81743">
        <w:rPr>
          <w:rFonts w:eastAsia="Calibri" w:cs="Times New Roman"/>
          <w:i/>
          <w:szCs w:val="24"/>
        </w:rPr>
        <w:t>Proceedings of the National Academy of Sciences of the United States of America</w:t>
      </w:r>
      <w:r w:rsidRPr="00E81743">
        <w:rPr>
          <w:rFonts w:eastAsia="Calibri" w:cs="Times New Roman"/>
          <w:szCs w:val="24"/>
        </w:rPr>
        <w:t xml:space="preserve"> 1991, 88 (23), 10553-10557.</w:t>
      </w:r>
    </w:p>
    <w:p w:rsidR="006F53C9" w:rsidRPr="00E81743" w:rsidRDefault="0037177D" w:rsidP="00193A10">
      <w:pPr>
        <w:spacing w:before="120" w:after="240"/>
        <w:ind w:firstLine="0"/>
        <w:rPr>
          <w:rFonts w:eastAsia="Calibri" w:cs="Times New Roman"/>
          <w:szCs w:val="24"/>
        </w:rPr>
      </w:pPr>
      <w:hyperlink r:id="rId709" w:history="1">
        <w:r w:rsidR="006F53C9" w:rsidRPr="00E81743">
          <w:rPr>
            <w:rFonts w:eastAsiaTheme="majorEastAsia" w:cs="Times New Roman"/>
            <w:b/>
            <w:bCs/>
            <w:szCs w:val="24"/>
          </w:rPr>
          <w:t>Puzone R</w:t>
        </w:r>
      </w:hyperlink>
      <w:r w:rsidR="006F53C9" w:rsidRPr="00E81743">
        <w:rPr>
          <w:rFonts w:eastAsiaTheme="majorEastAsia" w:cs="Times New Roman"/>
          <w:b/>
          <w:bCs/>
          <w:szCs w:val="24"/>
        </w:rPr>
        <w:t>, </w:t>
      </w:r>
      <w:hyperlink r:id="rId710" w:history="1">
        <w:r w:rsidR="006F53C9" w:rsidRPr="00E81743">
          <w:rPr>
            <w:rFonts w:eastAsiaTheme="majorEastAsia" w:cs="Times New Roman"/>
            <w:b/>
            <w:bCs/>
            <w:szCs w:val="24"/>
          </w:rPr>
          <w:t>Savarino G</w:t>
        </w:r>
      </w:hyperlink>
      <w:r w:rsidR="006F53C9" w:rsidRPr="00E81743">
        <w:rPr>
          <w:rFonts w:eastAsiaTheme="majorEastAsia" w:cs="Times New Roman"/>
          <w:b/>
          <w:bCs/>
          <w:szCs w:val="24"/>
        </w:rPr>
        <w:t>, </w:t>
      </w:r>
      <w:hyperlink r:id="rId711" w:history="1">
        <w:r w:rsidR="006F53C9" w:rsidRPr="00E81743">
          <w:rPr>
            <w:rFonts w:eastAsiaTheme="majorEastAsia" w:cs="Times New Roman"/>
            <w:b/>
            <w:bCs/>
            <w:szCs w:val="24"/>
          </w:rPr>
          <w:t>Salvi S</w:t>
        </w:r>
      </w:hyperlink>
      <w:r w:rsidR="006F53C9" w:rsidRPr="00E81743">
        <w:rPr>
          <w:rFonts w:eastAsiaTheme="majorEastAsia" w:cs="Times New Roman"/>
          <w:b/>
          <w:bCs/>
          <w:szCs w:val="24"/>
        </w:rPr>
        <w:t>, </w:t>
      </w:r>
      <w:hyperlink r:id="rId712" w:history="1">
        <w:r w:rsidR="006F53C9" w:rsidRPr="00E81743">
          <w:rPr>
            <w:rFonts w:eastAsiaTheme="majorEastAsia" w:cs="Times New Roman"/>
            <w:b/>
            <w:bCs/>
            <w:szCs w:val="24"/>
          </w:rPr>
          <w:t>Dal Bello MG</w:t>
        </w:r>
      </w:hyperlink>
      <w:r w:rsidR="006F53C9" w:rsidRPr="00E81743">
        <w:rPr>
          <w:rFonts w:eastAsiaTheme="majorEastAsia" w:cs="Times New Roman"/>
          <w:b/>
          <w:bCs/>
          <w:szCs w:val="24"/>
        </w:rPr>
        <w:t>, </w:t>
      </w:r>
      <w:hyperlink r:id="rId713" w:history="1">
        <w:r w:rsidR="006F53C9" w:rsidRPr="00E81743">
          <w:rPr>
            <w:rFonts w:eastAsiaTheme="majorEastAsia" w:cs="Times New Roman"/>
            <w:b/>
            <w:bCs/>
            <w:szCs w:val="24"/>
          </w:rPr>
          <w:t>Barletta G</w:t>
        </w:r>
      </w:hyperlink>
      <w:r w:rsidR="006F53C9" w:rsidRPr="00E81743">
        <w:rPr>
          <w:rFonts w:eastAsiaTheme="majorEastAsia" w:cs="Times New Roman"/>
          <w:b/>
          <w:bCs/>
          <w:szCs w:val="24"/>
        </w:rPr>
        <w:t>, </w:t>
      </w:r>
      <w:hyperlink r:id="rId714" w:history="1">
        <w:r w:rsidR="006F53C9" w:rsidRPr="00E81743">
          <w:rPr>
            <w:rFonts w:eastAsiaTheme="majorEastAsia" w:cs="Times New Roman"/>
            <w:b/>
            <w:bCs/>
            <w:szCs w:val="24"/>
          </w:rPr>
          <w:t>Genova C</w:t>
        </w:r>
      </w:hyperlink>
      <w:r w:rsidR="006F53C9" w:rsidRPr="00E81743">
        <w:rPr>
          <w:rFonts w:eastAsiaTheme="majorEastAsia" w:cs="Times New Roman"/>
          <w:b/>
          <w:bCs/>
          <w:szCs w:val="24"/>
        </w:rPr>
        <w:t>, </w:t>
      </w:r>
      <w:hyperlink r:id="rId715" w:history="1">
        <w:r w:rsidR="006F53C9" w:rsidRPr="00E81743">
          <w:rPr>
            <w:rFonts w:eastAsiaTheme="majorEastAsia" w:cs="Times New Roman"/>
            <w:b/>
            <w:bCs/>
            <w:szCs w:val="24"/>
          </w:rPr>
          <w:t>Rijavec E</w:t>
        </w:r>
      </w:hyperlink>
      <w:r w:rsidR="006F53C9" w:rsidRPr="00E81743">
        <w:rPr>
          <w:rFonts w:eastAsiaTheme="majorEastAsia" w:cs="Times New Roman"/>
          <w:b/>
          <w:bCs/>
          <w:szCs w:val="24"/>
        </w:rPr>
        <w:t>, </w:t>
      </w:r>
      <w:hyperlink r:id="rId716" w:history="1">
        <w:r w:rsidR="006F53C9" w:rsidRPr="00E81743">
          <w:rPr>
            <w:rFonts w:eastAsiaTheme="majorEastAsia" w:cs="Times New Roman"/>
            <w:b/>
            <w:bCs/>
            <w:szCs w:val="24"/>
          </w:rPr>
          <w:t>Sini C</w:t>
        </w:r>
      </w:hyperlink>
      <w:r w:rsidR="006F53C9" w:rsidRPr="00E81743">
        <w:rPr>
          <w:rFonts w:eastAsiaTheme="majorEastAsia" w:cs="Times New Roman"/>
          <w:b/>
          <w:bCs/>
          <w:szCs w:val="24"/>
        </w:rPr>
        <w:t>, </w:t>
      </w:r>
      <w:hyperlink r:id="rId717" w:history="1">
        <w:r w:rsidR="006F53C9" w:rsidRPr="00E81743">
          <w:rPr>
            <w:rFonts w:eastAsiaTheme="majorEastAsia" w:cs="Times New Roman"/>
            <w:b/>
            <w:bCs/>
            <w:szCs w:val="24"/>
          </w:rPr>
          <w:t>Esposito AI</w:t>
        </w:r>
      </w:hyperlink>
      <w:r w:rsidR="006F53C9" w:rsidRPr="00E81743">
        <w:rPr>
          <w:rFonts w:eastAsiaTheme="majorEastAsia" w:cs="Times New Roman"/>
          <w:b/>
          <w:bCs/>
          <w:szCs w:val="24"/>
        </w:rPr>
        <w:t>, </w:t>
      </w:r>
      <w:hyperlink r:id="rId718" w:history="1">
        <w:r w:rsidR="006F53C9" w:rsidRPr="00E81743">
          <w:rPr>
            <w:rFonts w:eastAsiaTheme="majorEastAsia" w:cs="Times New Roman"/>
            <w:b/>
            <w:bCs/>
            <w:szCs w:val="24"/>
          </w:rPr>
          <w:t>Ratto GB</w:t>
        </w:r>
      </w:hyperlink>
      <w:r w:rsidR="006F53C9" w:rsidRPr="00E81743">
        <w:rPr>
          <w:rFonts w:eastAsiaTheme="majorEastAsia" w:cs="Times New Roman"/>
          <w:b/>
          <w:bCs/>
          <w:szCs w:val="24"/>
        </w:rPr>
        <w:t>, </w:t>
      </w:r>
      <w:hyperlink r:id="rId719" w:history="1">
        <w:r w:rsidR="006F53C9" w:rsidRPr="00E81743">
          <w:rPr>
            <w:rFonts w:eastAsiaTheme="majorEastAsia" w:cs="Times New Roman"/>
            <w:b/>
            <w:bCs/>
            <w:szCs w:val="24"/>
          </w:rPr>
          <w:t>Truini M</w:t>
        </w:r>
      </w:hyperlink>
      <w:r w:rsidR="006F53C9" w:rsidRPr="00E81743">
        <w:rPr>
          <w:rFonts w:eastAsiaTheme="majorEastAsia" w:cs="Times New Roman"/>
          <w:b/>
          <w:bCs/>
          <w:szCs w:val="24"/>
        </w:rPr>
        <w:t>, </w:t>
      </w:r>
      <w:hyperlink r:id="rId720" w:history="1">
        <w:r w:rsidR="006F53C9" w:rsidRPr="00E81743">
          <w:rPr>
            <w:rFonts w:eastAsiaTheme="majorEastAsia" w:cs="Times New Roman"/>
            <w:b/>
            <w:bCs/>
            <w:szCs w:val="24"/>
          </w:rPr>
          <w:t>Grossi F</w:t>
        </w:r>
      </w:hyperlink>
      <w:r w:rsidR="006F53C9" w:rsidRPr="00E81743">
        <w:rPr>
          <w:rFonts w:eastAsiaTheme="majorEastAsia" w:cs="Times New Roman"/>
          <w:b/>
          <w:bCs/>
          <w:szCs w:val="24"/>
        </w:rPr>
        <w:t>, </w:t>
      </w:r>
      <w:hyperlink r:id="rId721" w:history="1">
        <w:r w:rsidR="006F53C9" w:rsidRPr="00E81743">
          <w:rPr>
            <w:rFonts w:eastAsiaTheme="majorEastAsia" w:cs="Times New Roman"/>
            <w:b/>
            <w:bCs/>
            <w:szCs w:val="24"/>
          </w:rPr>
          <w:t>Pfeffer U</w:t>
        </w:r>
      </w:hyperlink>
      <w:r w:rsidR="006F53C9" w:rsidRPr="00E81743">
        <w:rPr>
          <w:rFonts w:eastAsiaTheme="majorEastAsia" w:cs="Times New Roman"/>
          <w:b/>
          <w:bCs/>
          <w:szCs w:val="24"/>
        </w:rPr>
        <w:t xml:space="preserve">. </w:t>
      </w:r>
      <w:r w:rsidR="006F53C9" w:rsidRPr="00E81743">
        <w:rPr>
          <w:rFonts w:eastAsia="Calibri" w:cs="Times New Roman"/>
          <w:szCs w:val="24"/>
        </w:rPr>
        <w:t xml:space="preserve">Glyceraldehyde-3-phosphate </w:t>
      </w:r>
      <w:r w:rsidR="006F53C9" w:rsidRPr="00E81743">
        <w:rPr>
          <w:rFonts w:eastAsia="Calibri" w:cs="Times New Roman"/>
          <w:szCs w:val="24"/>
        </w:rPr>
        <w:lastRenderedPageBreak/>
        <w:t xml:space="preserve">dehydrogenase gene over expression correlates with poor prognosis in non small cell lung cancer patients. </w:t>
      </w:r>
      <w:r w:rsidR="006F53C9" w:rsidRPr="00E81743">
        <w:rPr>
          <w:rFonts w:eastAsia="Calibri" w:cs="Times New Roman"/>
          <w:i/>
          <w:szCs w:val="24"/>
        </w:rPr>
        <w:t>Molecular cancer</w:t>
      </w:r>
      <w:r w:rsidR="006F53C9" w:rsidRPr="00E81743">
        <w:rPr>
          <w:rFonts w:eastAsia="Calibri" w:cs="Times New Roman"/>
          <w:szCs w:val="24"/>
        </w:rPr>
        <w:t xml:space="preserve"> 2013, 12 (1), 97. </w:t>
      </w:r>
    </w:p>
    <w:p w:rsidR="006F53C9" w:rsidRDefault="006F53C9" w:rsidP="00514F54">
      <w:pPr>
        <w:autoSpaceDE w:val="0"/>
        <w:autoSpaceDN w:val="0"/>
        <w:adjustRightInd w:val="0"/>
        <w:spacing w:before="120" w:after="240"/>
        <w:ind w:firstLine="0"/>
        <w:rPr>
          <w:rFonts w:eastAsia="Calibri" w:cs="Times New Roman"/>
          <w:szCs w:val="24"/>
        </w:rPr>
      </w:pPr>
      <w:r w:rsidRPr="00E81743">
        <w:rPr>
          <w:rFonts w:eastAsia="Calibri" w:cs="Times New Roman"/>
          <w:b/>
          <w:szCs w:val="24"/>
        </w:rPr>
        <w:t>Rajendran R.</w:t>
      </w:r>
      <w:r w:rsidRPr="00E81743">
        <w:rPr>
          <w:rFonts w:eastAsia="Calibri" w:cs="Times New Roman"/>
          <w:szCs w:val="24"/>
        </w:rPr>
        <w:t xml:space="preserve"> TEZ The transcriptional cofactor PCAF as mediator of the interplay between p53 and HIF-1 alpha and its role in the regulation of cellular energy metabolism, Doktora Tezi, University of Manchester, School of Pharmacy and Pharmaceutical Sciences,  Manchester 2011.</w:t>
      </w:r>
    </w:p>
    <w:p w:rsidR="006F53C9" w:rsidRPr="006F53C9" w:rsidRDefault="006F53C9" w:rsidP="00514F54">
      <w:pPr>
        <w:spacing w:before="120" w:after="240"/>
        <w:ind w:firstLine="0"/>
        <w:rPr>
          <w:rFonts w:eastAsia="Calibri" w:cs="Times New Roman"/>
          <w:szCs w:val="24"/>
        </w:rPr>
      </w:pPr>
      <w:r w:rsidRPr="006F53C9">
        <w:rPr>
          <w:rFonts w:eastAsia="Calibri" w:cs="Times New Roman"/>
          <w:b/>
          <w:szCs w:val="24"/>
        </w:rPr>
        <w:t>Rattigan YI, Patel BB, Ackerstaff E, Sukenick G, Koutcher JA, Glod JW, Banerjee D.</w:t>
      </w:r>
      <w:r w:rsidRPr="006F53C9">
        <w:rPr>
          <w:rFonts w:eastAsia="Calibri" w:cs="Times New Roman"/>
          <w:szCs w:val="24"/>
        </w:rPr>
        <w:t xml:space="preserve"> Lactate is a mediator of metabolic cooperation between stromal carcinoma associated fibroblasts and glycolytic tumor cells in the tumor microenvironment. </w:t>
      </w:r>
      <w:r w:rsidRPr="006F53C9">
        <w:rPr>
          <w:rFonts w:eastAsia="Calibri" w:cs="Times New Roman"/>
          <w:i/>
          <w:szCs w:val="24"/>
        </w:rPr>
        <w:t>Experimental cell research</w:t>
      </w:r>
      <w:r w:rsidRPr="006F53C9">
        <w:rPr>
          <w:rFonts w:eastAsia="Calibri" w:cs="Times New Roman"/>
          <w:szCs w:val="24"/>
        </w:rPr>
        <w:t xml:space="preserve"> 2012, 318(4), 326–335.</w:t>
      </w:r>
    </w:p>
    <w:p w:rsidR="006F53C9" w:rsidRDefault="006F53C9" w:rsidP="00514F54">
      <w:pPr>
        <w:autoSpaceDE w:val="0"/>
        <w:autoSpaceDN w:val="0"/>
        <w:adjustRightInd w:val="0"/>
        <w:spacing w:before="120" w:after="240"/>
        <w:ind w:firstLine="0"/>
        <w:rPr>
          <w:rFonts w:eastAsia="Calibri" w:cs="Times New Roman"/>
          <w:szCs w:val="24"/>
        </w:rPr>
      </w:pPr>
      <w:r w:rsidRPr="00E81743">
        <w:rPr>
          <w:rFonts w:eastAsia="Calibri" w:cs="Times New Roman"/>
          <w:b/>
          <w:szCs w:val="24"/>
        </w:rPr>
        <w:t>Read JA, Winter VJ, Eszes CM, Sessions RB, Brady RL.</w:t>
      </w:r>
      <w:r w:rsidRPr="00E81743">
        <w:rPr>
          <w:rFonts w:eastAsia="Calibri" w:cs="Times New Roman"/>
          <w:szCs w:val="24"/>
        </w:rPr>
        <w:t xml:space="preserve"> Structural basis for altered activity of M- and H-isozyme forms of human lactate dehydrogenase</w:t>
      </w:r>
      <w:r w:rsidRPr="00E81743">
        <w:rPr>
          <w:rFonts w:eastAsia="Calibri" w:cs="Times New Roman"/>
          <w:i/>
          <w:szCs w:val="24"/>
        </w:rPr>
        <w:t>. Proteins</w:t>
      </w:r>
      <w:r w:rsidRPr="00E81743">
        <w:rPr>
          <w:rFonts w:eastAsia="Calibri" w:cs="Times New Roman"/>
          <w:szCs w:val="24"/>
        </w:rPr>
        <w:t xml:space="preserve"> 2001, 43,175–185.</w:t>
      </w:r>
    </w:p>
    <w:p w:rsidR="006F53C9" w:rsidRDefault="0037177D" w:rsidP="00514F54">
      <w:pPr>
        <w:autoSpaceDE w:val="0"/>
        <w:autoSpaceDN w:val="0"/>
        <w:adjustRightInd w:val="0"/>
        <w:spacing w:before="120" w:after="240"/>
        <w:ind w:firstLine="0"/>
        <w:rPr>
          <w:rFonts w:eastAsia="Calibri" w:cs="Times New Roman"/>
          <w:szCs w:val="24"/>
        </w:rPr>
      </w:pPr>
      <w:hyperlink r:id="rId722" w:history="1">
        <w:r w:rsidR="006F53C9" w:rsidRPr="00E81743">
          <w:rPr>
            <w:rFonts w:eastAsiaTheme="majorEastAsia" w:cs="Times New Roman"/>
            <w:b/>
            <w:bCs/>
            <w:szCs w:val="24"/>
          </w:rPr>
          <w:t>Ren BF</w:t>
        </w:r>
      </w:hyperlink>
      <w:r w:rsidR="006F53C9" w:rsidRPr="00E81743">
        <w:rPr>
          <w:rFonts w:eastAsiaTheme="majorEastAsia" w:cs="Times New Roman"/>
          <w:b/>
          <w:bCs/>
          <w:szCs w:val="24"/>
        </w:rPr>
        <w:t>, </w:t>
      </w:r>
      <w:hyperlink r:id="rId723" w:history="1">
        <w:r w:rsidR="006F53C9" w:rsidRPr="00E81743">
          <w:rPr>
            <w:rFonts w:eastAsiaTheme="majorEastAsia" w:cs="Times New Roman"/>
            <w:b/>
            <w:bCs/>
            <w:szCs w:val="24"/>
          </w:rPr>
          <w:t>Deng LF</w:t>
        </w:r>
      </w:hyperlink>
      <w:r w:rsidR="006F53C9" w:rsidRPr="00E81743">
        <w:rPr>
          <w:rFonts w:eastAsiaTheme="majorEastAsia" w:cs="Times New Roman"/>
          <w:b/>
          <w:bCs/>
          <w:szCs w:val="24"/>
        </w:rPr>
        <w:t>, </w:t>
      </w:r>
      <w:hyperlink r:id="rId724" w:history="1">
        <w:r w:rsidR="006F53C9" w:rsidRPr="00E81743">
          <w:rPr>
            <w:rFonts w:eastAsiaTheme="majorEastAsia" w:cs="Times New Roman"/>
            <w:b/>
            <w:bCs/>
            <w:szCs w:val="24"/>
          </w:rPr>
          <w:t>Wang J</w:t>
        </w:r>
      </w:hyperlink>
      <w:r w:rsidR="006F53C9" w:rsidRPr="00E81743">
        <w:rPr>
          <w:rFonts w:eastAsiaTheme="majorEastAsia" w:cs="Times New Roman"/>
          <w:b/>
          <w:bCs/>
          <w:szCs w:val="24"/>
        </w:rPr>
        <w:t>, </w:t>
      </w:r>
      <w:hyperlink r:id="rId725" w:history="1">
        <w:r w:rsidR="006F53C9" w:rsidRPr="00E81743">
          <w:rPr>
            <w:rFonts w:eastAsiaTheme="majorEastAsia" w:cs="Times New Roman"/>
            <w:b/>
            <w:bCs/>
            <w:szCs w:val="24"/>
          </w:rPr>
          <w:t>Zhu YP</w:t>
        </w:r>
      </w:hyperlink>
      <w:r w:rsidR="006F53C9" w:rsidRPr="00E81743">
        <w:rPr>
          <w:rFonts w:eastAsiaTheme="majorEastAsia" w:cs="Times New Roman"/>
          <w:b/>
          <w:bCs/>
          <w:szCs w:val="24"/>
        </w:rPr>
        <w:t>, </w:t>
      </w:r>
      <w:hyperlink r:id="rId726" w:history="1">
        <w:r w:rsidR="006F53C9" w:rsidRPr="00E81743">
          <w:rPr>
            <w:rFonts w:eastAsiaTheme="majorEastAsia" w:cs="Times New Roman"/>
            <w:b/>
            <w:bCs/>
            <w:szCs w:val="24"/>
          </w:rPr>
          <w:t>Wei L</w:t>
        </w:r>
      </w:hyperlink>
      <w:r w:rsidR="006F53C9" w:rsidRPr="00E81743">
        <w:rPr>
          <w:rFonts w:eastAsiaTheme="majorEastAsia" w:cs="Times New Roman"/>
          <w:b/>
          <w:bCs/>
          <w:szCs w:val="24"/>
        </w:rPr>
        <w:t>, </w:t>
      </w:r>
      <w:hyperlink r:id="rId727" w:history="1">
        <w:r w:rsidR="006F53C9" w:rsidRPr="00E81743">
          <w:rPr>
            <w:rFonts w:eastAsiaTheme="majorEastAsia" w:cs="Times New Roman"/>
            <w:b/>
            <w:bCs/>
            <w:szCs w:val="24"/>
          </w:rPr>
          <w:t>Zhou Q</w:t>
        </w:r>
      </w:hyperlink>
      <w:r w:rsidR="006F53C9" w:rsidRPr="00E81743">
        <w:rPr>
          <w:rFonts w:eastAsiaTheme="majorEastAsia" w:cs="Times New Roman"/>
          <w:b/>
          <w:bCs/>
          <w:szCs w:val="24"/>
        </w:rPr>
        <w:t>.</w:t>
      </w:r>
      <w:r w:rsidR="006F53C9" w:rsidRPr="00E81743">
        <w:rPr>
          <w:rFonts w:eastAsia="Calibri" w:cs="Times New Roman"/>
          <w:szCs w:val="24"/>
        </w:rPr>
        <w:t xml:space="preserve"> Hypoxia regulation of facilitated glucose transporter-1 and glucose transporter-3 in mouse chondrocytes mediated by HIF-1alpha. Joint, Bone, Spine 2008, 75 (2), 176-181.</w:t>
      </w:r>
    </w:p>
    <w:p w:rsidR="006F53C9" w:rsidRDefault="0037177D" w:rsidP="00514F54">
      <w:pPr>
        <w:autoSpaceDE w:val="0"/>
        <w:autoSpaceDN w:val="0"/>
        <w:adjustRightInd w:val="0"/>
        <w:spacing w:before="120" w:after="240"/>
        <w:ind w:firstLine="0"/>
        <w:rPr>
          <w:rFonts w:eastAsia="Calibri" w:cs="Times New Roman"/>
          <w:szCs w:val="24"/>
        </w:rPr>
      </w:pPr>
      <w:hyperlink r:id="rId728" w:history="1">
        <w:r w:rsidR="006F53C9" w:rsidRPr="00E81743">
          <w:rPr>
            <w:rFonts w:eastAsiaTheme="majorEastAsia" w:cs="Times New Roman"/>
            <w:b/>
            <w:bCs/>
            <w:szCs w:val="24"/>
          </w:rPr>
          <w:t>Rider MH</w:t>
        </w:r>
      </w:hyperlink>
      <w:r w:rsidR="006F53C9" w:rsidRPr="00E81743">
        <w:rPr>
          <w:rFonts w:eastAsiaTheme="majorEastAsia" w:cs="Times New Roman"/>
          <w:b/>
          <w:bCs/>
          <w:szCs w:val="24"/>
        </w:rPr>
        <w:t>, </w:t>
      </w:r>
      <w:hyperlink r:id="rId729" w:history="1">
        <w:r w:rsidR="006F53C9" w:rsidRPr="00E81743">
          <w:rPr>
            <w:rFonts w:eastAsiaTheme="majorEastAsia" w:cs="Times New Roman"/>
            <w:b/>
            <w:bCs/>
            <w:szCs w:val="24"/>
          </w:rPr>
          <w:t>Bertrand L</w:t>
        </w:r>
      </w:hyperlink>
      <w:r w:rsidR="006F53C9" w:rsidRPr="00E81743">
        <w:rPr>
          <w:rFonts w:eastAsiaTheme="majorEastAsia" w:cs="Times New Roman"/>
          <w:b/>
          <w:bCs/>
          <w:szCs w:val="24"/>
        </w:rPr>
        <w:t>, </w:t>
      </w:r>
      <w:hyperlink r:id="rId730" w:history="1">
        <w:r w:rsidR="006F53C9" w:rsidRPr="00E81743">
          <w:rPr>
            <w:rFonts w:eastAsiaTheme="majorEastAsia" w:cs="Times New Roman"/>
            <w:b/>
            <w:bCs/>
            <w:szCs w:val="24"/>
          </w:rPr>
          <w:t>Vertommen D</w:t>
        </w:r>
      </w:hyperlink>
      <w:r w:rsidR="006F53C9" w:rsidRPr="00E81743">
        <w:rPr>
          <w:rFonts w:eastAsiaTheme="majorEastAsia" w:cs="Times New Roman"/>
          <w:b/>
          <w:bCs/>
          <w:szCs w:val="24"/>
        </w:rPr>
        <w:t>, </w:t>
      </w:r>
      <w:hyperlink r:id="rId731" w:history="1">
        <w:r w:rsidR="006F53C9" w:rsidRPr="00E81743">
          <w:rPr>
            <w:rFonts w:eastAsiaTheme="majorEastAsia" w:cs="Times New Roman"/>
            <w:b/>
            <w:bCs/>
            <w:szCs w:val="24"/>
          </w:rPr>
          <w:t>Michels PA</w:t>
        </w:r>
      </w:hyperlink>
      <w:r w:rsidR="006F53C9" w:rsidRPr="00E81743">
        <w:rPr>
          <w:rFonts w:eastAsiaTheme="majorEastAsia" w:cs="Times New Roman"/>
          <w:b/>
          <w:bCs/>
          <w:szCs w:val="24"/>
        </w:rPr>
        <w:t>, </w:t>
      </w:r>
      <w:hyperlink r:id="rId732" w:history="1">
        <w:r w:rsidR="006F53C9" w:rsidRPr="00E81743">
          <w:rPr>
            <w:rFonts w:eastAsiaTheme="majorEastAsia" w:cs="Times New Roman"/>
            <w:b/>
            <w:bCs/>
            <w:szCs w:val="24"/>
          </w:rPr>
          <w:t>Rousseau GG</w:t>
        </w:r>
      </w:hyperlink>
      <w:r w:rsidR="006F53C9" w:rsidRPr="00E81743">
        <w:rPr>
          <w:rFonts w:eastAsiaTheme="majorEastAsia" w:cs="Times New Roman"/>
          <w:b/>
          <w:bCs/>
          <w:szCs w:val="24"/>
        </w:rPr>
        <w:t>, </w:t>
      </w:r>
      <w:hyperlink r:id="rId733" w:history="1">
        <w:r w:rsidR="006F53C9" w:rsidRPr="00E81743">
          <w:rPr>
            <w:rFonts w:eastAsiaTheme="majorEastAsia" w:cs="Times New Roman"/>
            <w:b/>
            <w:bCs/>
            <w:szCs w:val="24"/>
          </w:rPr>
          <w:t>Hue L</w:t>
        </w:r>
      </w:hyperlink>
      <w:r w:rsidR="006F53C9" w:rsidRPr="00E81743">
        <w:rPr>
          <w:rFonts w:eastAsiaTheme="majorEastAsia" w:cs="Times New Roman"/>
          <w:b/>
          <w:bCs/>
          <w:szCs w:val="24"/>
        </w:rPr>
        <w:t xml:space="preserve">. </w:t>
      </w:r>
      <w:r w:rsidR="006F53C9" w:rsidRPr="00E81743">
        <w:rPr>
          <w:rFonts w:eastAsia="Calibri" w:cs="Times New Roman"/>
          <w:szCs w:val="24"/>
        </w:rPr>
        <w:t xml:space="preserve">6-phosphofructo-2-kinase/fructose-2,6-bisphosphatase: head-to-head with a bifunctional enzyme that controls glycolysis. </w:t>
      </w:r>
      <w:r w:rsidR="006F53C9" w:rsidRPr="00E81743">
        <w:rPr>
          <w:rFonts w:eastAsia="Calibri" w:cs="Times New Roman"/>
          <w:i/>
          <w:szCs w:val="24"/>
        </w:rPr>
        <w:t>The Biochemical Journal</w:t>
      </w:r>
      <w:r w:rsidR="006F53C9" w:rsidRPr="00E81743">
        <w:rPr>
          <w:rFonts w:eastAsia="Calibri" w:cs="Times New Roman"/>
          <w:szCs w:val="24"/>
        </w:rPr>
        <w:t xml:space="preserve"> 2004</w:t>
      </w:r>
      <w:r w:rsidR="006F53C9" w:rsidRPr="00E81743">
        <w:rPr>
          <w:rFonts w:ascii="Arial" w:eastAsiaTheme="majorEastAsia" w:hAnsi="Arial" w:cs="Arial"/>
          <w:b/>
          <w:bCs/>
          <w:color w:val="000000"/>
          <w:sz w:val="17"/>
          <w:szCs w:val="17"/>
          <w:shd w:val="clear" w:color="auto" w:fill="FFFFFF"/>
        </w:rPr>
        <w:t xml:space="preserve">, </w:t>
      </w:r>
      <w:r w:rsidR="006F53C9" w:rsidRPr="00E81743">
        <w:rPr>
          <w:rFonts w:eastAsia="Calibri" w:cs="Times New Roman"/>
          <w:szCs w:val="24"/>
        </w:rPr>
        <w:t>381(Pt 3), 561-579.</w:t>
      </w:r>
    </w:p>
    <w:p w:rsidR="00514F54" w:rsidRDefault="0037177D" w:rsidP="00514F54">
      <w:pPr>
        <w:autoSpaceDE w:val="0"/>
        <w:autoSpaceDN w:val="0"/>
        <w:adjustRightInd w:val="0"/>
        <w:spacing w:before="120" w:after="240"/>
        <w:ind w:firstLine="0"/>
        <w:rPr>
          <w:rFonts w:eastAsia="Calibri" w:cs="Times New Roman"/>
          <w:bCs/>
          <w:szCs w:val="24"/>
        </w:rPr>
      </w:pPr>
      <w:hyperlink r:id="rId734" w:history="1">
        <w:r w:rsidR="006F53C9" w:rsidRPr="006F53C9">
          <w:rPr>
            <w:rFonts w:eastAsia="Calibri" w:cs="Times New Roman"/>
            <w:b/>
            <w:szCs w:val="24"/>
          </w:rPr>
          <w:t>Riganti C</w:t>
        </w:r>
      </w:hyperlink>
      <w:r w:rsidR="006F53C9" w:rsidRPr="006F53C9">
        <w:rPr>
          <w:rFonts w:eastAsia="Calibri" w:cs="Times New Roman"/>
          <w:b/>
          <w:szCs w:val="24"/>
        </w:rPr>
        <w:t>, </w:t>
      </w:r>
      <w:hyperlink r:id="rId735" w:history="1">
        <w:r w:rsidR="006F53C9" w:rsidRPr="006F53C9">
          <w:rPr>
            <w:rFonts w:eastAsia="Calibri" w:cs="Times New Roman"/>
            <w:b/>
            <w:szCs w:val="24"/>
          </w:rPr>
          <w:t>Gazzano E</w:t>
        </w:r>
      </w:hyperlink>
      <w:r w:rsidR="006F53C9" w:rsidRPr="006F53C9">
        <w:rPr>
          <w:rFonts w:eastAsia="Calibri" w:cs="Times New Roman"/>
          <w:b/>
          <w:szCs w:val="24"/>
        </w:rPr>
        <w:t>, </w:t>
      </w:r>
      <w:hyperlink r:id="rId736" w:history="1">
        <w:r w:rsidR="006F53C9" w:rsidRPr="006F53C9">
          <w:rPr>
            <w:rFonts w:eastAsia="Calibri" w:cs="Times New Roman"/>
            <w:b/>
            <w:szCs w:val="24"/>
          </w:rPr>
          <w:t>Polimeni M</w:t>
        </w:r>
      </w:hyperlink>
      <w:r w:rsidR="006F53C9" w:rsidRPr="006F53C9">
        <w:rPr>
          <w:rFonts w:eastAsia="Calibri" w:cs="Times New Roman"/>
          <w:b/>
          <w:szCs w:val="24"/>
        </w:rPr>
        <w:t>, </w:t>
      </w:r>
      <w:hyperlink r:id="rId737" w:history="1">
        <w:r w:rsidR="006F53C9" w:rsidRPr="006F53C9">
          <w:rPr>
            <w:rFonts w:eastAsia="Calibri" w:cs="Times New Roman"/>
            <w:b/>
            <w:szCs w:val="24"/>
          </w:rPr>
          <w:t>Aldieri E</w:t>
        </w:r>
      </w:hyperlink>
      <w:r w:rsidR="006F53C9" w:rsidRPr="006F53C9">
        <w:rPr>
          <w:rFonts w:eastAsia="Calibri" w:cs="Times New Roman"/>
          <w:b/>
          <w:szCs w:val="24"/>
        </w:rPr>
        <w:t>, </w:t>
      </w:r>
      <w:hyperlink r:id="rId738" w:history="1">
        <w:r w:rsidR="006F53C9" w:rsidRPr="006F53C9">
          <w:rPr>
            <w:rFonts w:eastAsia="Calibri" w:cs="Times New Roman"/>
            <w:b/>
            <w:szCs w:val="24"/>
          </w:rPr>
          <w:t>Ghigo D</w:t>
        </w:r>
      </w:hyperlink>
      <w:r w:rsidR="006F53C9" w:rsidRPr="006F53C9">
        <w:rPr>
          <w:rFonts w:eastAsia="Calibri" w:cs="Times New Roman"/>
          <w:b/>
          <w:szCs w:val="24"/>
        </w:rPr>
        <w:t xml:space="preserve">. </w:t>
      </w:r>
      <w:r w:rsidR="006F53C9" w:rsidRPr="006F53C9">
        <w:rPr>
          <w:rFonts w:eastAsia="Calibri" w:cs="Times New Roman"/>
          <w:bCs/>
          <w:szCs w:val="24"/>
        </w:rPr>
        <w:t xml:space="preserve">The pentose phosphate pathway: an antioxidant defense and a cross road in tumor cell fate. </w:t>
      </w:r>
      <w:r w:rsidR="006F53C9" w:rsidRPr="006F53C9">
        <w:rPr>
          <w:rFonts w:eastAsia="Calibri" w:cs="Times New Roman"/>
          <w:bCs/>
          <w:i/>
          <w:szCs w:val="24"/>
        </w:rPr>
        <w:t>Free Radical Biology &amp; Medicine</w:t>
      </w:r>
      <w:r w:rsidR="006F53C9" w:rsidRPr="006F53C9">
        <w:rPr>
          <w:rFonts w:eastAsia="Calibri" w:cs="Times New Roman"/>
          <w:bCs/>
          <w:szCs w:val="24"/>
        </w:rPr>
        <w:t xml:space="preserve">  2012, 53, 421–436.</w:t>
      </w:r>
    </w:p>
    <w:p w:rsidR="006F53C9" w:rsidRPr="00E81743" w:rsidRDefault="0037177D" w:rsidP="00514F54">
      <w:pPr>
        <w:autoSpaceDE w:val="0"/>
        <w:autoSpaceDN w:val="0"/>
        <w:adjustRightInd w:val="0"/>
        <w:spacing w:before="120" w:after="240"/>
        <w:ind w:firstLine="0"/>
        <w:rPr>
          <w:rFonts w:eastAsia="Calibri" w:cs="Times New Roman"/>
          <w:szCs w:val="24"/>
        </w:rPr>
      </w:pPr>
      <w:hyperlink r:id="rId739" w:history="1">
        <w:r w:rsidR="006F53C9" w:rsidRPr="00E81743">
          <w:rPr>
            <w:rFonts w:eastAsia="Calibri" w:cs="Times New Roman"/>
            <w:b/>
            <w:szCs w:val="24"/>
          </w:rPr>
          <w:t>Rocha-González HI</w:t>
        </w:r>
      </w:hyperlink>
      <w:r w:rsidR="006F53C9" w:rsidRPr="00E81743">
        <w:rPr>
          <w:rFonts w:eastAsia="Calibri" w:cs="Times New Roman"/>
          <w:b/>
          <w:szCs w:val="24"/>
        </w:rPr>
        <w:t>, </w:t>
      </w:r>
      <w:hyperlink r:id="rId740" w:history="1">
        <w:r w:rsidR="006F53C9" w:rsidRPr="00E81743">
          <w:rPr>
            <w:rFonts w:eastAsia="Calibri" w:cs="Times New Roman"/>
            <w:b/>
            <w:szCs w:val="24"/>
          </w:rPr>
          <w:t>Herrejon-Abreu EB</w:t>
        </w:r>
      </w:hyperlink>
      <w:r w:rsidR="006F53C9" w:rsidRPr="00E81743">
        <w:rPr>
          <w:rFonts w:eastAsia="Calibri" w:cs="Times New Roman"/>
          <w:b/>
          <w:szCs w:val="24"/>
        </w:rPr>
        <w:t>, </w:t>
      </w:r>
      <w:hyperlink r:id="rId741" w:history="1">
        <w:r w:rsidR="006F53C9" w:rsidRPr="00E81743">
          <w:rPr>
            <w:rFonts w:eastAsia="Calibri" w:cs="Times New Roman"/>
            <w:b/>
            <w:szCs w:val="24"/>
          </w:rPr>
          <w:t>López-Santillán FJ</w:t>
        </w:r>
      </w:hyperlink>
      <w:r w:rsidR="006F53C9" w:rsidRPr="00E81743">
        <w:rPr>
          <w:rFonts w:eastAsia="Calibri" w:cs="Times New Roman"/>
          <w:b/>
          <w:szCs w:val="24"/>
        </w:rPr>
        <w:t>, </w:t>
      </w:r>
      <w:hyperlink r:id="rId742" w:history="1">
        <w:r w:rsidR="006F53C9" w:rsidRPr="00E81743">
          <w:rPr>
            <w:rFonts w:eastAsia="Calibri" w:cs="Times New Roman"/>
            <w:b/>
            <w:szCs w:val="24"/>
          </w:rPr>
          <w:t>García-López BE</w:t>
        </w:r>
      </w:hyperlink>
      <w:r w:rsidR="006F53C9" w:rsidRPr="00E81743">
        <w:rPr>
          <w:rFonts w:eastAsia="Calibri" w:cs="Times New Roman"/>
          <w:b/>
          <w:szCs w:val="24"/>
        </w:rPr>
        <w:t>, </w:t>
      </w:r>
      <w:hyperlink r:id="rId743" w:history="1">
        <w:r w:rsidR="006F53C9" w:rsidRPr="00E81743">
          <w:rPr>
            <w:rFonts w:eastAsia="Calibri" w:cs="Times New Roman"/>
            <w:b/>
            <w:szCs w:val="24"/>
          </w:rPr>
          <w:t>Murbartián J</w:t>
        </w:r>
      </w:hyperlink>
      <w:r w:rsidR="006F53C9" w:rsidRPr="00E81743">
        <w:rPr>
          <w:rFonts w:eastAsia="Calibri" w:cs="Times New Roman"/>
          <w:b/>
          <w:szCs w:val="24"/>
        </w:rPr>
        <w:t>, </w:t>
      </w:r>
      <w:hyperlink r:id="rId744" w:history="1">
        <w:r w:rsidR="006F53C9" w:rsidRPr="00E81743">
          <w:rPr>
            <w:rFonts w:eastAsia="Calibri" w:cs="Times New Roman"/>
            <w:b/>
            <w:szCs w:val="24"/>
          </w:rPr>
          <w:t>Granados-Soto V</w:t>
        </w:r>
      </w:hyperlink>
      <w:r w:rsidR="006F53C9" w:rsidRPr="00E81743">
        <w:rPr>
          <w:rFonts w:eastAsia="Calibri" w:cs="Times New Roman"/>
          <w:b/>
          <w:szCs w:val="24"/>
        </w:rPr>
        <w:t xml:space="preserve">. </w:t>
      </w:r>
      <w:r w:rsidR="006F53C9" w:rsidRPr="00E81743">
        <w:rPr>
          <w:rFonts w:eastAsia="Calibri" w:cs="Times New Roman"/>
          <w:szCs w:val="24"/>
        </w:rPr>
        <w:t xml:space="preserve">Acid increases inflammatory pain in rats: effect of local peripheral ASICs inhibitors. </w:t>
      </w:r>
      <w:r w:rsidR="006F53C9" w:rsidRPr="00E81743">
        <w:rPr>
          <w:rFonts w:eastAsia="Calibri" w:cs="Times New Roman"/>
          <w:i/>
          <w:szCs w:val="24"/>
        </w:rPr>
        <w:t>European Journal of Pharmocology</w:t>
      </w:r>
      <w:r w:rsidR="006F53C9" w:rsidRPr="00E81743">
        <w:rPr>
          <w:rFonts w:eastAsia="Calibri" w:cs="Times New Roman"/>
          <w:szCs w:val="24"/>
        </w:rPr>
        <w:t xml:space="preserve"> 2009, 603 (1-3), 56-61.</w:t>
      </w:r>
    </w:p>
    <w:p w:rsidR="006F53C9" w:rsidRPr="00E81743" w:rsidRDefault="006F53C9" w:rsidP="00514F54">
      <w:pPr>
        <w:spacing w:before="120" w:after="240"/>
        <w:ind w:firstLine="0"/>
        <w:rPr>
          <w:rFonts w:eastAsia="Calibri" w:cs="Times New Roman"/>
          <w:szCs w:val="24"/>
        </w:rPr>
      </w:pPr>
      <w:r w:rsidRPr="00E81743">
        <w:rPr>
          <w:rFonts w:eastAsia="Calibri" w:cs="Times New Roman"/>
          <w:b/>
          <w:szCs w:val="24"/>
        </w:rPr>
        <w:t xml:space="preserve">Rodríguez-Enríquez S, Carreño-Fuentes L, Gallardo-Pérez JC, Saavedra E, Quezada H, Vega A, </w:t>
      </w:r>
      <w:hyperlink r:id="rId745" w:history="1">
        <w:r w:rsidRPr="00E81743">
          <w:rPr>
            <w:rFonts w:eastAsia="Calibri" w:cs="Times New Roman"/>
            <w:b/>
            <w:szCs w:val="24"/>
          </w:rPr>
          <w:t>Marín-Hernández A</w:t>
        </w:r>
      </w:hyperlink>
      <w:r w:rsidRPr="00E81743">
        <w:rPr>
          <w:rFonts w:eastAsia="Calibri" w:cs="Times New Roman"/>
          <w:b/>
          <w:szCs w:val="24"/>
        </w:rPr>
        <w:t>, Olín-Sandavol V, Torres-Márquez ME, Moreno-Sánchez R.</w:t>
      </w:r>
      <w:r w:rsidRPr="00E81743">
        <w:rPr>
          <w:rFonts w:eastAsia="Calibri" w:cs="Times New Roman"/>
          <w:szCs w:val="24"/>
        </w:rPr>
        <w:t xml:space="preserve"> “Oxidative phosphorylation is impaired by prolonged hypoxia in breast and possibly in </w:t>
      </w:r>
      <w:r w:rsidRPr="00E81743">
        <w:rPr>
          <w:rFonts w:eastAsia="Calibri" w:cs="Times New Roman"/>
          <w:szCs w:val="24"/>
        </w:rPr>
        <w:lastRenderedPageBreak/>
        <w:t xml:space="preserve">cervix carcinoma”, </w:t>
      </w:r>
      <w:r w:rsidRPr="00E81743">
        <w:rPr>
          <w:rFonts w:eastAsia="Calibri" w:cs="Times New Roman"/>
          <w:i/>
          <w:szCs w:val="24"/>
        </w:rPr>
        <w:t>International Journal of Biochemistry and Cell Biology</w:t>
      </w:r>
      <w:r w:rsidRPr="00E81743">
        <w:rPr>
          <w:rFonts w:eastAsia="Calibri" w:cs="Times New Roman"/>
          <w:szCs w:val="24"/>
        </w:rPr>
        <w:t xml:space="preserve"> 2010, 42 (10), 1744–1751. </w:t>
      </w:r>
    </w:p>
    <w:p w:rsidR="006F53C9" w:rsidRPr="00E81743" w:rsidRDefault="0037177D" w:rsidP="00514F54">
      <w:pPr>
        <w:keepNext/>
        <w:keepLines/>
        <w:shd w:val="clear" w:color="auto" w:fill="FFFFFF"/>
        <w:spacing w:before="120" w:after="240"/>
        <w:ind w:firstLine="0"/>
        <w:outlineLvl w:val="0"/>
        <w:rPr>
          <w:rFonts w:eastAsia="Calibri" w:cs="Times New Roman"/>
          <w:szCs w:val="24"/>
        </w:rPr>
      </w:pPr>
      <w:hyperlink r:id="rId746" w:history="1">
        <w:r w:rsidR="006F53C9" w:rsidRPr="00E81743">
          <w:rPr>
            <w:rFonts w:eastAsia="Calibri" w:cs="Times New Roman"/>
            <w:b/>
            <w:szCs w:val="24"/>
          </w:rPr>
          <w:t>Rodríguez-Enríquez S</w:t>
        </w:r>
      </w:hyperlink>
      <w:r w:rsidR="006F53C9" w:rsidRPr="00E81743">
        <w:rPr>
          <w:rFonts w:eastAsia="Calibri" w:cs="Times New Roman"/>
          <w:b/>
          <w:szCs w:val="24"/>
        </w:rPr>
        <w:t>, </w:t>
      </w:r>
      <w:hyperlink r:id="rId747" w:history="1">
        <w:r w:rsidR="006F53C9" w:rsidRPr="00E81743">
          <w:rPr>
            <w:rFonts w:eastAsia="Calibri" w:cs="Times New Roman"/>
            <w:b/>
            <w:szCs w:val="24"/>
          </w:rPr>
          <w:t>Juárez O</w:t>
        </w:r>
      </w:hyperlink>
      <w:r w:rsidR="006F53C9" w:rsidRPr="00E81743">
        <w:rPr>
          <w:rFonts w:eastAsia="Calibri" w:cs="Times New Roman"/>
          <w:b/>
          <w:szCs w:val="24"/>
        </w:rPr>
        <w:t>, </w:t>
      </w:r>
      <w:hyperlink r:id="rId748" w:history="1">
        <w:r w:rsidR="006F53C9" w:rsidRPr="00E81743">
          <w:rPr>
            <w:rFonts w:eastAsia="Calibri" w:cs="Times New Roman"/>
            <w:b/>
            <w:szCs w:val="24"/>
          </w:rPr>
          <w:t>Rodríguez-Zavala JS</w:t>
        </w:r>
      </w:hyperlink>
      <w:r w:rsidR="006F53C9" w:rsidRPr="00E81743">
        <w:rPr>
          <w:rFonts w:eastAsia="Calibri" w:cs="Times New Roman"/>
          <w:b/>
          <w:szCs w:val="24"/>
        </w:rPr>
        <w:t>, </w:t>
      </w:r>
      <w:hyperlink r:id="rId749" w:history="1">
        <w:r w:rsidR="006F53C9" w:rsidRPr="00E81743">
          <w:rPr>
            <w:rFonts w:eastAsia="Calibri" w:cs="Times New Roman"/>
            <w:b/>
            <w:szCs w:val="24"/>
          </w:rPr>
          <w:t>Moreno-Sánchez R</w:t>
        </w:r>
      </w:hyperlink>
      <w:r w:rsidR="006F53C9" w:rsidRPr="00E81743">
        <w:rPr>
          <w:rFonts w:eastAsia="Calibri" w:cs="Times New Roman"/>
          <w:b/>
          <w:szCs w:val="24"/>
        </w:rPr>
        <w:t>.</w:t>
      </w:r>
      <w:r w:rsidR="006F53C9" w:rsidRPr="00E81743">
        <w:rPr>
          <w:rFonts w:eastAsia="Calibri" w:cs="Times New Roman"/>
          <w:szCs w:val="24"/>
        </w:rPr>
        <w:t xml:space="preserve"> Multisite control of the Crabtree effect in ascites hepatoma cells. </w:t>
      </w:r>
      <w:r w:rsidR="006F53C9" w:rsidRPr="00E81743">
        <w:rPr>
          <w:rFonts w:eastAsia="Calibri" w:cs="Times New Roman"/>
          <w:i/>
          <w:szCs w:val="24"/>
        </w:rPr>
        <w:t>European Journal of Biochemistry</w:t>
      </w:r>
      <w:r w:rsidR="006F53C9" w:rsidRPr="00E81743">
        <w:rPr>
          <w:rFonts w:eastAsia="Calibri" w:cs="Times New Roman"/>
          <w:szCs w:val="24"/>
        </w:rPr>
        <w:t xml:space="preserve"> 2001, 268 (8), 2512-2519.</w:t>
      </w:r>
    </w:p>
    <w:p w:rsidR="006F53C9" w:rsidRPr="00E81743" w:rsidRDefault="006F53C9" w:rsidP="00514F54">
      <w:pPr>
        <w:keepNext/>
        <w:keepLines/>
        <w:shd w:val="clear" w:color="auto" w:fill="FFFFFF"/>
        <w:spacing w:before="120" w:after="240"/>
        <w:ind w:firstLine="0"/>
        <w:outlineLvl w:val="0"/>
        <w:rPr>
          <w:rFonts w:eastAsia="Calibri" w:cs="Times New Roman"/>
          <w:szCs w:val="24"/>
        </w:rPr>
      </w:pPr>
      <w:r w:rsidRPr="00E81743">
        <w:rPr>
          <w:rFonts w:eastAsia="Calibri" w:cs="Times New Roman"/>
          <w:b/>
          <w:szCs w:val="24"/>
        </w:rPr>
        <w:t>Romero-Garcia S, Moreno-Altamirano MMB, Prado-Garcia H, Sánchez-García FJ.</w:t>
      </w:r>
      <w:r w:rsidRPr="00E81743">
        <w:rPr>
          <w:rFonts w:eastAsiaTheme="majorEastAsia" w:cstheme="majorBidi"/>
          <w:b/>
          <w:bCs/>
          <w:color w:val="365F91" w:themeColor="accent1" w:themeShade="BF"/>
          <w:szCs w:val="24"/>
        </w:rPr>
        <w:t xml:space="preserve"> </w:t>
      </w:r>
      <w:r w:rsidRPr="00E81743">
        <w:rPr>
          <w:rFonts w:eastAsia="Calibri" w:cs="Times New Roman"/>
          <w:szCs w:val="24"/>
        </w:rPr>
        <w:t xml:space="preserve">Lactate Contribution to the Tumor Microenvironment: Mechanisms, Effects on Immune Cells and Therapeutic Relevance. </w:t>
      </w:r>
      <w:r w:rsidRPr="00E81743">
        <w:rPr>
          <w:rFonts w:eastAsia="Calibri" w:cs="Times New Roman"/>
          <w:i/>
          <w:szCs w:val="24"/>
        </w:rPr>
        <w:t>Frontiers in Immunology</w:t>
      </w:r>
      <w:r w:rsidRPr="00E81743">
        <w:rPr>
          <w:rFonts w:eastAsia="Calibri" w:cs="Times New Roman"/>
          <w:szCs w:val="24"/>
        </w:rPr>
        <w:t xml:space="preserve"> 2016, 7, 52. </w:t>
      </w:r>
    </w:p>
    <w:p w:rsidR="006F53C9" w:rsidRPr="006F53C9" w:rsidRDefault="0037177D" w:rsidP="00514F54">
      <w:pPr>
        <w:keepNext/>
        <w:keepLines/>
        <w:shd w:val="clear" w:color="auto" w:fill="FFFFFF"/>
        <w:spacing w:before="120" w:after="240"/>
        <w:ind w:firstLine="0"/>
        <w:outlineLvl w:val="0"/>
        <w:rPr>
          <w:rFonts w:ascii="Arial" w:eastAsiaTheme="majorEastAsia" w:hAnsi="Arial" w:cs="Arial"/>
          <w:b/>
          <w:bCs/>
          <w:color w:val="000000"/>
          <w:sz w:val="17"/>
          <w:szCs w:val="17"/>
          <w:shd w:val="clear" w:color="auto" w:fill="FFFFFF"/>
        </w:rPr>
      </w:pPr>
      <w:hyperlink r:id="rId750" w:history="1">
        <w:r w:rsidR="006F53C9" w:rsidRPr="006F53C9">
          <w:rPr>
            <w:rFonts w:eastAsia="Calibri" w:cs="Times New Roman"/>
            <w:b/>
            <w:szCs w:val="24"/>
          </w:rPr>
          <w:t>Rong Y</w:t>
        </w:r>
      </w:hyperlink>
      <w:r w:rsidR="006F53C9" w:rsidRPr="006F53C9">
        <w:rPr>
          <w:rFonts w:eastAsia="Calibri" w:cs="Times New Roman"/>
          <w:b/>
          <w:szCs w:val="24"/>
        </w:rPr>
        <w:t>, </w:t>
      </w:r>
      <w:hyperlink r:id="rId751" w:history="1">
        <w:r w:rsidR="006F53C9" w:rsidRPr="006F53C9">
          <w:rPr>
            <w:rFonts w:eastAsia="Calibri" w:cs="Times New Roman"/>
            <w:b/>
            <w:szCs w:val="24"/>
          </w:rPr>
          <w:t>Wu W</w:t>
        </w:r>
      </w:hyperlink>
      <w:r w:rsidR="006F53C9" w:rsidRPr="006F53C9">
        <w:rPr>
          <w:rFonts w:eastAsia="Calibri" w:cs="Times New Roman"/>
          <w:b/>
          <w:szCs w:val="24"/>
        </w:rPr>
        <w:t>, </w:t>
      </w:r>
      <w:hyperlink r:id="rId752" w:history="1">
        <w:r w:rsidR="006F53C9" w:rsidRPr="006F53C9">
          <w:rPr>
            <w:rFonts w:eastAsia="Calibri" w:cs="Times New Roman"/>
            <w:b/>
            <w:szCs w:val="24"/>
          </w:rPr>
          <w:t>Ni X</w:t>
        </w:r>
      </w:hyperlink>
      <w:r w:rsidR="006F53C9" w:rsidRPr="006F53C9">
        <w:rPr>
          <w:rFonts w:eastAsia="Calibri" w:cs="Times New Roman"/>
          <w:b/>
          <w:szCs w:val="24"/>
        </w:rPr>
        <w:t>, </w:t>
      </w:r>
      <w:hyperlink r:id="rId753" w:history="1">
        <w:r w:rsidR="006F53C9" w:rsidRPr="006F53C9">
          <w:rPr>
            <w:rFonts w:eastAsia="Calibri" w:cs="Times New Roman"/>
            <w:b/>
            <w:szCs w:val="24"/>
          </w:rPr>
          <w:t>Kuang T</w:t>
        </w:r>
      </w:hyperlink>
      <w:r w:rsidR="006F53C9" w:rsidRPr="006F53C9">
        <w:rPr>
          <w:rFonts w:eastAsia="Calibri" w:cs="Times New Roman"/>
          <w:b/>
          <w:szCs w:val="24"/>
        </w:rPr>
        <w:t>, </w:t>
      </w:r>
      <w:hyperlink r:id="rId754" w:history="1">
        <w:r w:rsidR="006F53C9" w:rsidRPr="006F53C9">
          <w:rPr>
            <w:rFonts w:eastAsia="Calibri" w:cs="Times New Roman"/>
            <w:b/>
            <w:szCs w:val="24"/>
          </w:rPr>
          <w:t>Jin D</w:t>
        </w:r>
      </w:hyperlink>
      <w:r w:rsidR="006F53C9" w:rsidRPr="006F53C9">
        <w:rPr>
          <w:rFonts w:eastAsia="Calibri" w:cs="Times New Roman"/>
          <w:b/>
          <w:szCs w:val="24"/>
        </w:rPr>
        <w:t>, </w:t>
      </w:r>
      <w:hyperlink r:id="rId755" w:history="1">
        <w:r w:rsidR="006F53C9" w:rsidRPr="006F53C9">
          <w:rPr>
            <w:rFonts w:eastAsia="Calibri" w:cs="Times New Roman"/>
            <w:b/>
            <w:szCs w:val="24"/>
          </w:rPr>
          <w:t>Wang D</w:t>
        </w:r>
      </w:hyperlink>
      <w:r w:rsidR="006F53C9" w:rsidRPr="006F53C9">
        <w:rPr>
          <w:rFonts w:eastAsia="Calibri" w:cs="Times New Roman"/>
          <w:b/>
          <w:szCs w:val="24"/>
        </w:rPr>
        <w:t>, </w:t>
      </w:r>
      <w:hyperlink r:id="rId756" w:history="1">
        <w:r w:rsidR="006F53C9" w:rsidRPr="006F53C9">
          <w:rPr>
            <w:rFonts w:eastAsia="Calibri" w:cs="Times New Roman"/>
            <w:b/>
            <w:szCs w:val="24"/>
          </w:rPr>
          <w:t>Lou W</w:t>
        </w:r>
      </w:hyperlink>
      <w:r w:rsidR="006F53C9" w:rsidRPr="006F53C9">
        <w:rPr>
          <w:rFonts w:eastAsia="Calibri" w:cs="Times New Roman"/>
          <w:b/>
          <w:szCs w:val="24"/>
        </w:rPr>
        <w:t>.</w:t>
      </w:r>
      <w:r w:rsidR="006F53C9" w:rsidRPr="006F53C9">
        <w:rPr>
          <w:rFonts w:eastAsia="Calibri" w:cs="Times New Roman"/>
          <w:szCs w:val="24"/>
        </w:rPr>
        <w:t xml:space="preserve"> Lactate dehydrogenase A is overexpressed in pancreatic cancer and promotes the growth of pancreatic cancer cells. </w:t>
      </w:r>
      <w:r w:rsidR="006F53C9" w:rsidRPr="006F53C9">
        <w:rPr>
          <w:rFonts w:eastAsia="Calibri" w:cs="Times New Roman"/>
          <w:i/>
          <w:szCs w:val="24"/>
        </w:rPr>
        <w:t>Tumour Biology</w:t>
      </w:r>
      <w:r w:rsidR="006F53C9" w:rsidRPr="006F53C9">
        <w:rPr>
          <w:rFonts w:eastAsia="Calibri" w:cs="Times New Roman"/>
          <w:szCs w:val="24"/>
        </w:rPr>
        <w:t xml:space="preserve"> 2013, 34(3),1523-1530.</w:t>
      </w:r>
      <w:r w:rsidR="006F53C9" w:rsidRPr="006F53C9">
        <w:rPr>
          <w:rFonts w:ascii="Arial" w:eastAsiaTheme="majorEastAsia" w:hAnsi="Arial" w:cs="Arial"/>
          <w:b/>
          <w:bCs/>
          <w:color w:val="000000"/>
          <w:sz w:val="17"/>
          <w:szCs w:val="17"/>
          <w:shd w:val="clear" w:color="auto" w:fill="FFFFFF"/>
        </w:rPr>
        <w:t> </w:t>
      </w:r>
    </w:p>
    <w:p w:rsidR="006F53C9" w:rsidRPr="00E81743" w:rsidRDefault="006F53C9" w:rsidP="00514F54">
      <w:pPr>
        <w:spacing w:before="120" w:after="240"/>
        <w:ind w:firstLine="0"/>
        <w:rPr>
          <w:rFonts w:eastAsia="Calibri" w:cs="Times New Roman"/>
          <w:szCs w:val="24"/>
        </w:rPr>
      </w:pPr>
      <w:r w:rsidRPr="00E81743">
        <w:rPr>
          <w:rFonts w:eastAsia="Calibri" w:cs="Times New Roman"/>
          <w:b/>
          <w:szCs w:val="24"/>
        </w:rPr>
        <w:t xml:space="preserve">Roy D, Sheng GY, Herve S, Carvalho E, Mahanty A, Yuan S, Sun L. </w:t>
      </w:r>
      <w:r w:rsidRPr="00E81743">
        <w:rPr>
          <w:rFonts w:eastAsia="Calibri" w:cs="Times New Roman"/>
          <w:szCs w:val="24"/>
        </w:rPr>
        <w:t xml:space="preserve">Interplay between cancer cell cycle and metabolism: Challenges, targets and therapeutic opportunities. </w:t>
      </w:r>
      <w:r w:rsidRPr="00E81743">
        <w:rPr>
          <w:rFonts w:eastAsia="Calibri" w:cs="Times New Roman"/>
          <w:i/>
          <w:szCs w:val="24"/>
        </w:rPr>
        <w:t>Biomedicine&amp;Pharmacotherapy</w:t>
      </w:r>
      <w:r w:rsidRPr="00E81743">
        <w:rPr>
          <w:rFonts w:eastAsia="Calibri" w:cs="Times New Roman"/>
          <w:szCs w:val="24"/>
        </w:rPr>
        <w:t xml:space="preserve"> 2017, 89, 288-296. </w:t>
      </w:r>
    </w:p>
    <w:p w:rsidR="006F53C9" w:rsidRDefault="006F53C9" w:rsidP="00514F54">
      <w:pPr>
        <w:autoSpaceDE w:val="0"/>
        <w:autoSpaceDN w:val="0"/>
        <w:adjustRightInd w:val="0"/>
        <w:spacing w:before="120" w:after="240"/>
        <w:ind w:firstLine="0"/>
        <w:rPr>
          <w:rFonts w:eastAsia="Calibri" w:cs="Times New Roman"/>
          <w:szCs w:val="24"/>
        </w:rPr>
      </w:pPr>
      <w:r w:rsidRPr="00E81743">
        <w:rPr>
          <w:rFonts w:eastAsia="Calibri" w:cs="Times New Roman"/>
          <w:b/>
          <w:szCs w:val="24"/>
        </w:rPr>
        <w:t xml:space="preserve">Ruddon RW. </w:t>
      </w:r>
      <w:r w:rsidRPr="00E81743">
        <w:rPr>
          <w:rFonts w:eastAsia="Calibri" w:cs="Times New Roman"/>
          <w:szCs w:val="24"/>
        </w:rPr>
        <w:t>Cancer Biology (4 nd ed), Oxford</w:t>
      </w:r>
      <w:r w:rsidRPr="00E81743">
        <w:rPr>
          <w:rFonts w:ascii="Arial" w:eastAsia="Calibri" w:hAnsi="Arial" w:cs="Arial"/>
          <w:sz w:val="21"/>
          <w:szCs w:val="21"/>
          <w:shd w:val="clear" w:color="auto" w:fill="FFFFFF"/>
        </w:rPr>
        <w:t xml:space="preserve">, </w:t>
      </w:r>
      <w:r w:rsidRPr="00E81743">
        <w:rPr>
          <w:rFonts w:eastAsia="Calibri" w:cs="Times New Roman"/>
          <w:szCs w:val="24"/>
        </w:rPr>
        <w:t>Oxford University Press, 2007, 4.</w:t>
      </w:r>
    </w:p>
    <w:p w:rsidR="006F53C9" w:rsidRPr="00E81743" w:rsidRDefault="0037177D" w:rsidP="00514F54">
      <w:pPr>
        <w:keepNext/>
        <w:keepLines/>
        <w:shd w:val="clear" w:color="auto" w:fill="FFFFFF"/>
        <w:spacing w:before="120" w:after="240"/>
        <w:ind w:firstLine="0"/>
        <w:outlineLvl w:val="0"/>
        <w:rPr>
          <w:rFonts w:eastAsia="Calibri" w:cs="Times New Roman"/>
          <w:szCs w:val="24"/>
        </w:rPr>
      </w:pPr>
      <w:hyperlink r:id="rId757" w:history="1">
        <w:r w:rsidR="006F53C9" w:rsidRPr="00E81743">
          <w:rPr>
            <w:rFonts w:eastAsiaTheme="majorEastAsia" w:cs="Times New Roman"/>
            <w:b/>
            <w:bCs/>
            <w:szCs w:val="24"/>
          </w:rPr>
          <w:t>Santidrian AF</w:t>
        </w:r>
      </w:hyperlink>
      <w:r w:rsidR="006F53C9" w:rsidRPr="00E81743">
        <w:rPr>
          <w:rFonts w:eastAsiaTheme="majorEastAsia" w:cs="Times New Roman"/>
          <w:b/>
          <w:bCs/>
          <w:szCs w:val="24"/>
        </w:rPr>
        <w:t>, </w:t>
      </w:r>
      <w:hyperlink r:id="rId758" w:history="1">
        <w:r w:rsidR="006F53C9" w:rsidRPr="00E81743">
          <w:rPr>
            <w:rFonts w:eastAsiaTheme="majorEastAsia" w:cs="Times New Roman"/>
            <w:b/>
            <w:bCs/>
            <w:szCs w:val="24"/>
          </w:rPr>
          <w:t>Matsuno-Yagi A</w:t>
        </w:r>
      </w:hyperlink>
      <w:r w:rsidR="006F53C9" w:rsidRPr="00E81743">
        <w:rPr>
          <w:rFonts w:eastAsiaTheme="majorEastAsia" w:cs="Times New Roman"/>
          <w:b/>
          <w:bCs/>
          <w:szCs w:val="24"/>
        </w:rPr>
        <w:t>, </w:t>
      </w:r>
      <w:hyperlink r:id="rId759" w:history="1">
        <w:r w:rsidR="006F53C9" w:rsidRPr="00E81743">
          <w:rPr>
            <w:rFonts w:eastAsiaTheme="majorEastAsia" w:cs="Times New Roman"/>
            <w:b/>
            <w:bCs/>
            <w:szCs w:val="24"/>
          </w:rPr>
          <w:t>Ritland M</w:t>
        </w:r>
      </w:hyperlink>
      <w:r w:rsidR="006F53C9" w:rsidRPr="00E81743">
        <w:rPr>
          <w:rFonts w:eastAsiaTheme="majorEastAsia" w:cs="Times New Roman"/>
          <w:b/>
          <w:bCs/>
          <w:szCs w:val="24"/>
        </w:rPr>
        <w:t>, </w:t>
      </w:r>
      <w:hyperlink r:id="rId760" w:history="1">
        <w:r w:rsidR="006F53C9" w:rsidRPr="00E81743">
          <w:rPr>
            <w:rFonts w:eastAsiaTheme="majorEastAsia" w:cs="Times New Roman"/>
            <w:b/>
            <w:bCs/>
            <w:szCs w:val="24"/>
          </w:rPr>
          <w:t>Seo BB</w:t>
        </w:r>
      </w:hyperlink>
      <w:r w:rsidR="006F53C9" w:rsidRPr="00E81743">
        <w:rPr>
          <w:rFonts w:eastAsiaTheme="majorEastAsia" w:cs="Times New Roman"/>
          <w:b/>
          <w:bCs/>
          <w:szCs w:val="24"/>
        </w:rPr>
        <w:t>, </w:t>
      </w:r>
      <w:hyperlink r:id="rId761" w:history="1">
        <w:r w:rsidR="006F53C9" w:rsidRPr="00E81743">
          <w:rPr>
            <w:rFonts w:eastAsiaTheme="majorEastAsia" w:cs="Times New Roman"/>
            <w:b/>
            <w:bCs/>
            <w:szCs w:val="24"/>
          </w:rPr>
          <w:t>LeBoeuf SE</w:t>
        </w:r>
      </w:hyperlink>
      <w:r w:rsidR="006F53C9" w:rsidRPr="00E81743">
        <w:rPr>
          <w:rFonts w:eastAsiaTheme="majorEastAsia" w:cs="Times New Roman"/>
          <w:b/>
          <w:bCs/>
          <w:szCs w:val="24"/>
        </w:rPr>
        <w:t>, </w:t>
      </w:r>
      <w:hyperlink r:id="rId762" w:history="1">
        <w:r w:rsidR="006F53C9" w:rsidRPr="00E81743">
          <w:rPr>
            <w:rFonts w:eastAsiaTheme="majorEastAsia" w:cs="Times New Roman"/>
            <w:b/>
            <w:bCs/>
            <w:szCs w:val="24"/>
          </w:rPr>
          <w:t>Gay LJ</w:t>
        </w:r>
      </w:hyperlink>
      <w:r w:rsidR="006F53C9" w:rsidRPr="00E81743">
        <w:rPr>
          <w:rFonts w:eastAsiaTheme="majorEastAsia" w:cs="Times New Roman"/>
          <w:b/>
          <w:bCs/>
          <w:szCs w:val="24"/>
        </w:rPr>
        <w:t>, </w:t>
      </w:r>
      <w:hyperlink r:id="rId763" w:history="1">
        <w:r w:rsidR="006F53C9" w:rsidRPr="00E81743">
          <w:rPr>
            <w:rFonts w:eastAsiaTheme="majorEastAsia" w:cs="Times New Roman"/>
            <w:b/>
            <w:bCs/>
            <w:szCs w:val="24"/>
          </w:rPr>
          <w:t>Yagi T</w:t>
        </w:r>
      </w:hyperlink>
      <w:r w:rsidR="006F53C9" w:rsidRPr="00E81743">
        <w:rPr>
          <w:rFonts w:eastAsiaTheme="majorEastAsia" w:cs="Times New Roman"/>
          <w:b/>
          <w:bCs/>
          <w:szCs w:val="24"/>
        </w:rPr>
        <w:t>, </w:t>
      </w:r>
      <w:hyperlink r:id="rId764" w:history="1">
        <w:r w:rsidR="006F53C9" w:rsidRPr="00E81743">
          <w:rPr>
            <w:rFonts w:eastAsiaTheme="majorEastAsia" w:cs="Times New Roman"/>
            <w:b/>
            <w:bCs/>
            <w:szCs w:val="24"/>
          </w:rPr>
          <w:t>Felding-Habermann B</w:t>
        </w:r>
      </w:hyperlink>
      <w:r w:rsidR="006F53C9" w:rsidRPr="00E81743">
        <w:rPr>
          <w:rFonts w:eastAsiaTheme="majorEastAsia" w:cs="Times New Roman"/>
          <w:b/>
          <w:bCs/>
          <w:szCs w:val="24"/>
        </w:rPr>
        <w:t>.</w:t>
      </w:r>
      <w:r w:rsidR="006F53C9" w:rsidRPr="00E81743">
        <w:rPr>
          <w:rFonts w:eastAsia="Calibri" w:cs="Times New Roman"/>
          <w:szCs w:val="24"/>
        </w:rPr>
        <w:t xml:space="preserve"> Mitochondrial complex I activity and NAD+/NADH balance regulate breast cancer progression. </w:t>
      </w:r>
      <w:r w:rsidR="006F53C9" w:rsidRPr="00E81743">
        <w:rPr>
          <w:rFonts w:eastAsia="Calibri" w:cs="Times New Roman"/>
          <w:i/>
          <w:szCs w:val="24"/>
        </w:rPr>
        <w:t>The Journal of Clinical Investigation</w:t>
      </w:r>
      <w:r w:rsidR="006F53C9" w:rsidRPr="00E81743">
        <w:rPr>
          <w:rFonts w:eastAsia="Calibri" w:cs="Times New Roman"/>
          <w:szCs w:val="24"/>
        </w:rPr>
        <w:t xml:space="preserve"> 2013, 123 (3), 1068-1081.</w:t>
      </w:r>
    </w:p>
    <w:p w:rsidR="006F53C9" w:rsidRPr="00E81743" w:rsidRDefault="0037177D" w:rsidP="00514F54">
      <w:pPr>
        <w:keepNext/>
        <w:keepLines/>
        <w:shd w:val="clear" w:color="auto" w:fill="FFFFFF"/>
        <w:spacing w:before="120" w:after="240"/>
        <w:ind w:firstLine="0"/>
        <w:outlineLvl w:val="0"/>
        <w:rPr>
          <w:rFonts w:eastAsia="Calibri" w:cs="Times New Roman"/>
          <w:szCs w:val="24"/>
        </w:rPr>
      </w:pPr>
      <w:hyperlink r:id="rId765" w:history="1">
        <w:r w:rsidR="006F53C9" w:rsidRPr="00E81743">
          <w:rPr>
            <w:rFonts w:eastAsia="Calibri" w:cs="Times New Roman"/>
            <w:b/>
            <w:szCs w:val="24"/>
          </w:rPr>
          <w:t>Saraswathy S</w:t>
        </w:r>
      </w:hyperlink>
      <w:r w:rsidR="006F53C9" w:rsidRPr="00E81743">
        <w:rPr>
          <w:rFonts w:eastAsia="Calibri" w:cs="Times New Roman"/>
          <w:b/>
          <w:szCs w:val="24"/>
        </w:rPr>
        <w:t>, </w:t>
      </w:r>
      <w:hyperlink r:id="rId766" w:history="1">
        <w:r w:rsidR="006F53C9" w:rsidRPr="00E81743">
          <w:rPr>
            <w:rFonts w:eastAsia="Calibri" w:cs="Times New Roman"/>
            <w:b/>
            <w:szCs w:val="24"/>
          </w:rPr>
          <w:t>Crawford FW</w:t>
        </w:r>
      </w:hyperlink>
      <w:r w:rsidR="006F53C9" w:rsidRPr="00E81743">
        <w:rPr>
          <w:rFonts w:eastAsia="Calibri" w:cs="Times New Roman"/>
          <w:b/>
          <w:szCs w:val="24"/>
        </w:rPr>
        <w:t>, </w:t>
      </w:r>
      <w:hyperlink r:id="rId767" w:history="1">
        <w:r w:rsidR="006F53C9" w:rsidRPr="00E81743">
          <w:rPr>
            <w:rFonts w:eastAsia="Calibri" w:cs="Times New Roman"/>
            <w:b/>
            <w:szCs w:val="24"/>
          </w:rPr>
          <w:t>Lamborn KR</w:t>
        </w:r>
      </w:hyperlink>
      <w:r w:rsidR="006F53C9" w:rsidRPr="00E81743">
        <w:rPr>
          <w:rFonts w:eastAsia="Calibri" w:cs="Times New Roman"/>
          <w:b/>
          <w:szCs w:val="24"/>
        </w:rPr>
        <w:t>, </w:t>
      </w:r>
      <w:hyperlink r:id="rId768" w:history="1">
        <w:r w:rsidR="006F53C9" w:rsidRPr="00E81743">
          <w:rPr>
            <w:rFonts w:eastAsia="Calibri" w:cs="Times New Roman"/>
            <w:b/>
            <w:szCs w:val="24"/>
          </w:rPr>
          <w:t>Pirzkall A</w:t>
        </w:r>
      </w:hyperlink>
      <w:r w:rsidR="006F53C9" w:rsidRPr="00E81743">
        <w:rPr>
          <w:rFonts w:eastAsia="Calibri" w:cs="Times New Roman"/>
          <w:b/>
          <w:szCs w:val="24"/>
        </w:rPr>
        <w:t>, </w:t>
      </w:r>
      <w:hyperlink r:id="rId769" w:history="1">
        <w:r w:rsidR="006F53C9" w:rsidRPr="00E81743">
          <w:rPr>
            <w:rFonts w:eastAsia="Calibri" w:cs="Times New Roman"/>
            <w:b/>
            <w:szCs w:val="24"/>
          </w:rPr>
          <w:t>Chang S</w:t>
        </w:r>
      </w:hyperlink>
      <w:r w:rsidR="006F53C9" w:rsidRPr="00E81743">
        <w:rPr>
          <w:rFonts w:eastAsia="Calibri" w:cs="Times New Roman"/>
          <w:b/>
          <w:szCs w:val="24"/>
        </w:rPr>
        <w:t>, </w:t>
      </w:r>
      <w:hyperlink r:id="rId770" w:history="1">
        <w:r w:rsidR="006F53C9" w:rsidRPr="00E81743">
          <w:rPr>
            <w:rFonts w:eastAsia="Calibri" w:cs="Times New Roman"/>
            <w:b/>
            <w:szCs w:val="24"/>
          </w:rPr>
          <w:t>Cha S</w:t>
        </w:r>
      </w:hyperlink>
      <w:r w:rsidR="006F53C9" w:rsidRPr="00E81743">
        <w:rPr>
          <w:rFonts w:eastAsia="Calibri" w:cs="Times New Roman"/>
          <w:b/>
          <w:szCs w:val="24"/>
        </w:rPr>
        <w:t>, </w:t>
      </w:r>
      <w:hyperlink r:id="rId771" w:history="1">
        <w:r w:rsidR="006F53C9" w:rsidRPr="00E81743">
          <w:rPr>
            <w:rFonts w:eastAsia="Calibri" w:cs="Times New Roman"/>
            <w:b/>
            <w:szCs w:val="24"/>
          </w:rPr>
          <w:t>Nelson SJ</w:t>
        </w:r>
      </w:hyperlink>
      <w:r w:rsidR="006F53C9" w:rsidRPr="00E81743">
        <w:rPr>
          <w:rFonts w:eastAsia="Calibri" w:cs="Times New Roman"/>
          <w:b/>
          <w:szCs w:val="24"/>
        </w:rPr>
        <w:t xml:space="preserve">. </w:t>
      </w:r>
      <w:r w:rsidR="006F53C9" w:rsidRPr="00E81743">
        <w:rPr>
          <w:rFonts w:eastAsia="Calibri" w:cs="Times New Roman"/>
          <w:szCs w:val="24"/>
        </w:rPr>
        <w:t>Evaluation of MR markers that predict survival in patients with newly diagnosed GBM prior to adjuvant therapy</w:t>
      </w:r>
      <w:r w:rsidR="006F53C9" w:rsidRPr="00E81743">
        <w:rPr>
          <w:rFonts w:eastAsia="Calibri" w:cs="Times New Roman"/>
          <w:i/>
          <w:szCs w:val="24"/>
        </w:rPr>
        <w:t>. Journal of Neuro-oncology</w:t>
      </w:r>
      <w:r w:rsidR="006F53C9" w:rsidRPr="00E81743">
        <w:rPr>
          <w:rFonts w:eastAsia="Calibri" w:cs="Times New Roman"/>
          <w:szCs w:val="24"/>
        </w:rPr>
        <w:t xml:space="preserve"> 2009, 91(1), 69-81. </w:t>
      </w:r>
    </w:p>
    <w:p w:rsidR="006F53C9" w:rsidRPr="00E81743" w:rsidRDefault="0037177D" w:rsidP="00514F54">
      <w:pPr>
        <w:autoSpaceDE w:val="0"/>
        <w:autoSpaceDN w:val="0"/>
        <w:adjustRightInd w:val="0"/>
        <w:spacing w:before="120" w:after="240"/>
        <w:ind w:firstLine="0"/>
        <w:rPr>
          <w:rFonts w:eastAsia="Calibri" w:cs="Times New Roman"/>
          <w:szCs w:val="24"/>
        </w:rPr>
      </w:pPr>
      <w:hyperlink r:id="rId772" w:history="1">
        <w:r w:rsidR="006F53C9" w:rsidRPr="00E81743">
          <w:rPr>
            <w:rFonts w:eastAsia="Calibri" w:cs="Times New Roman"/>
            <w:b/>
            <w:szCs w:val="24"/>
          </w:rPr>
          <w:t>Seagroves TN</w:t>
        </w:r>
      </w:hyperlink>
      <w:r w:rsidR="006F53C9" w:rsidRPr="00E81743">
        <w:rPr>
          <w:rFonts w:eastAsia="Calibri" w:cs="Times New Roman"/>
          <w:b/>
          <w:szCs w:val="24"/>
        </w:rPr>
        <w:t>, </w:t>
      </w:r>
      <w:hyperlink r:id="rId773" w:history="1">
        <w:r w:rsidR="006F53C9" w:rsidRPr="00E81743">
          <w:rPr>
            <w:rFonts w:eastAsia="Calibri" w:cs="Times New Roman"/>
            <w:b/>
            <w:szCs w:val="24"/>
          </w:rPr>
          <w:t>Ryan HE</w:t>
        </w:r>
      </w:hyperlink>
      <w:r w:rsidR="006F53C9" w:rsidRPr="00E81743">
        <w:rPr>
          <w:rFonts w:eastAsia="Calibri" w:cs="Times New Roman"/>
          <w:b/>
          <w:szCs w:val="24"/>
        </w:rPr>
        <w:t>, </w:t>
      </w:r>
      <w:hyperlink r:id="rId774" w:history="1">
        <w:r w:rsidR="006F53C9" w:rsidRPr="00E81743">
          <w:rPr>
            <w:rFonts w:eastAsia="Calibri" w:cs="Times New Roman"/>
            <w:b/>
            <w:szCs w:val="24"/>
          </w:rPr>
          <w:t>Lu H</w:t>
        </w:r>
      </w:hyperlink>
      <w:r w:rsidR="006F53C9" w:rsidRPr="00E81743">
        <w:rPr>
          <w:rFonts w:eastAsia="Calibri" w:cs="Times New Roman"/>
          <w:b/>
          <w:szCs w:val="24"/>
        </w:rPr>
        <w:t>, </w:t>
      </w:r>
      <w:hyperlink r:id="rId775" w:history="1">
        <w:r w:rsidR="006F53C9" w:rsidRPr="00E81743">
          <w:rPr>
            <w:rFonts w:eastAsia="Calibri" w:cs="Times New Roman"/>
            <w:b/>
            <w:szCs w:val="24"/>
          </w:rPr>
          <w:t>Wouters BG</w:t>
        </w:r>
      </w:hyperlink>
      <w:r w:rsidR="006F53C9" w:rsidRPr="00E81743">
        <w:rPr>
          <w:rFonts w:eastAsia="Calibri" w:cs="Times New Roman"/>
          <w:b/>
          <w:szCs w:val="24"/>
        </w:rPr>
        <w:t>, </w:t>
      </w:r>
      <w:hyperlink r:id="rId776" w:history="1">
        <w:r w:rsidR="006F53C9" w:rsidRPr="00E81743">
          <w:rPr>
            <w:rFonts w:eastAsia="Calibri" w:cs="Times New Roman"/>
            <w:b/>
            <w:szCs w:val="24"/>
          </w:rPr>
          <w:t>Knapp M</w:t>
        </w:r>
      </w:hyperlink>
      <w:r w:rsidR="006F53C9" w:rsidRPr="00E81743">
        <w:rPr>
          <w:rFonts w:eastAsia="Calibri" w:cs="Times New Roman"/>
          <w:b/>
          <w:szCs w:val="24"/>
        </w:rPr>
        <w:t>, </w:t>
      </w:r>
      <w:hyperlink r:id="rId777" w:history="1">
        <w:r w:rsidR="006F53C9" w:rsidRPr="00E81743">
          <w:rPr>
            <w:rFonts w:eastAsia="Calibri" w:cs="Times New Roman"/>
            <w:b/>
            <w:szCs w:val="24"/>
          </w:rPr>
          <w:t>Thibault P</w:t>
        </w:r>
      </w:hyperlink>
      <w:r w:rsidR="006F53C9" w:rsidRPr="00E81743">
        <w:rPr>
          <w:rFonts w:eastAsia="Calibri" w:cs="Times New Roman"/>
          <w:b/>
          <w:szCs w:val="24"/>
        </w:rPr>
        <w:t>, </w:t>
      </w:r>
      <w:hyperlink r:id="rId778" w:history="1">
        <w:r w:rsidR="006F53C9" w:rsidRPr="00E81743">
          <w:rPr>
            <w:rFonts w:eastAsia="Calibri" w:cs="Times New Roman"/>
            <w:b/>
            <w:szCs w:val="24"/>
          </w:rPr>
          <w:t>Laderoute K</w:t>
        </w:r>
      </w:hyperlink>
      <w:r w:rsidR="006F53C9" w:rsidRPr="00E81743">
        <w:rPr>
          <w:rFonts w:eastAsia="Calibri" w:cs="Times New Roman"/>
          <w:b/>
          <w:szCs w:val="24"/>
        </w:rPr>
        <w:t>, </w:t>
      </w:r>
      <w:hyperlink r:id="rId779" w:history="1">
        <w:r w:rsidR="006F53C9" w:rsidRPr="00E81743">
          <w:rPr>
            <w:rFonts w:eastAsia="Calibri" w:cs="Times New Roman"/>
            <w:b/>
            <w:szCs w:val="24"/>
          </w:rPr>
          <w:t>Johnson RS</w:t>
        </w:r>
      </w:hyperlink>
      <w:r w:rsidR="006F53C9" w:rsidRPr="00E81743">
        <w:rPr>
          <w:rFonts w:eastAsia="Calibri" w:cs="Times New Roman"/>
          <w:b/>
          <w:szCs w:val="24"/>
        </w:rPr>
        <w:t>.</w:t>
      </w:r>
      <w:r w:rsidR="006F53C9" w:rsidRPr="00E81743">
        <w:rPr>
          <w:rFonts w:eastAsia="Calibri" w:cs="Times New Roman"/>
          <w:b/>
          <w:bCs/>
          <w:szCs w:val="24"/>
        </w:rPr>
        <w:t xml:space="preserve"> </w:t>
      </w:r>
      <w:r w:rsidR="006F53C9" w:rsidRPr="00E81743">
        <w:rPr>
          <w:rFonts w:eastAsia="Calibri" w:cs="Times New Roman"/>
          <w:bCs/>
          <w:szCs w:val="24"/>
        </w:rPr>
        <w:t xml:space="preserve">Transcription factor HIF-1 is a necessary mediator of the pasteur effect in mammalian cells. </w:t>
      </w:r>
      <w:r w:rsidR="006F53C9" w:rsidRPr="00E81743">
        <w:rPr>
          <w:rFonts w:eastAsia="Calibri" w:cs="Times New Roman"/>
          <w:bCs/>
          <w:i/>
          <w:szCs w:val="24"/>
        </w:rPr>
        <w:t>Molecular and cellular biology</w:t>
      </w:r>
      <w:r w:rsidR="006F53C9" w:rsidRPr="00E81743">
        <w:rPr>
          <w:rFonts w:eastAsia="Calibri" w:cs="Times New Roman"/>
          <w:bCs/>
          <w:szCs w:val="24"/>
        </w:rPr>
        <w:t xml:space="preserve"> 2001, 21 (10), 3436-3444.</w:t>
      </w:r>
    </w:p>
    <w:p w:rsidR="006F53C9" w:rsidRPr="00D47D1F" w:rsidRDefault="006F53C9" w:rsidP="00514F54">
      <w:pPr>
        <w:spacing w:before="120" w:after="240"/>
        <w:ind w:firstLine="0"/>
        <w:rPr>
          <w:rFonts w:eastAsia="Calibri" w:cs="Times New Roman"/>
          <w:szCs w:val="24"/>
        </w:rPr>
      </w:pPr>
      <w:r w:rsidRPr="00D47D1F">
        <w:rPr>
          <w:rFonts w:eastAsia="Calibri" w:cs="Times New Roman"/>
          <w:b/>
          <w:szCs w:val="24"/>
        </w:rPr>
        <w:t>Semenza GL, Nejfelt MK, Chi SM, Antonarakis SE.</w:t>
      </w:r>
      <w:r w:rsidRPr="00D47D1F">
        <w:rPr>
          <w:rFonts w:eastAsia="Calibri" w:cs="Times New Roman"/>
          <w:szCs w:val="24"/>
        </w:rPr>
        <w:t xml:space="preserve"> Hypoxia-inducible nuclear factors bind to an enhancer element located 3' to the human erythropoietin gene. </w:t>
      </w:r>
      <w:r w:rsidRPr="00D47D1F">
        <w:rPr>
          <w:rFonts w:eastAsia="Calibri" w:cs="Times New Roman"/>
          <w:i/>
          <w:szCs w:val="24"/>
        </w:rPr>
        <w:t>Proceedings of the National Academy of Sciences of the United States of America</w:t>
      </w:r>
      <w:r w:rsidRPr="00D47D1F">
        <w:rPr>
          <w:rFonts w:eastAsia="Calibri" w:cs="Times New Roman"/>
          <w:szCs w:val="24"/>
        </w:rPr>
        <w:t xml:space="preserve"> 1991, 88 (13), 5680-5684.</w:t>
      </w:r>
    </w:p>
    <w:p w:rsidR="006F53C9" w:rsidRPr="00D47D1F" w:rsidRDefault="006F53C9" w:rsidP="00514F54">
      <w:pPr>
        <w:keepNext/>
        <w:keepLines/>
        <w:shd w:val="clear" w:color="auto" w:fill="FFFFFF"/>
        <w:spacing w:before="120" w:after="240"/>
        <w:ind w:firstLine="0"/>
        <w:textAlignment w:val="baseline"/>
        <w:outlineLvl w:val="0"/>
        <w:rPr>
          <w:rFonts w:eastAsia="Calibri" w:cs="Times New Roman"/>
          <w:szCs w:val="24"/>
        </w:rPr>
      </w:pPr>
      <w:r w:rsidRPr="00D47D1F">
        <w:rPr>
          <w:rFonts w:eastAsiaTheme="majorEastAsia" w:cs="Times New Roman"/>
          <w:b/>
          <w:bCs/>
          <w:szCs w:val="24"/>
        </w:rPr>
        <w:lastRenderedPageBreak/>
        <w:t>Semenza GL, Roth PH, Fang HM, Wang GL.</w:t>
      </w:r>
      <w:r w:rsidRPr="00D47D1F">
        <w:rPr>
          <w:rFonts w:asciiTheme="majorHAnsi" w:eastAsiaTheme="majorEastAsia" w:hAnsiTheme="majorHAnsi" w:cstheme="majorBidi"/>
          <w:b/>
          <w:bCs/>
          <w:color w:val="365F91" w:themeColor="accent1" w:themeShade="BF"/>
          <w:sz w:val="28"/>
          <w:szCs w:val="28"/>
        </w:rPr>
        <w:t xml:space="preserve"> </w:t>
      </w:r>
      <w:r w:rsidRPr="00D47D1F">
        <w:rPr>
          <w:rFonts w:eastAsia="Calibri" w:cs="Times New Roman"/>
          <w:szCs w:val="24"/>
        </w:rPr>
        <w:t xml:space="preserve">Transcriptional regulation of genes encoding glycolytic enzymes by hypoxia-inducible factor 1. </w:t>
      </w:r>
      <w:r w:rsidRPr="00D47D1F">
        <w:rPr>
          <w:rFonts w:eastAsia="Calibri" w:cs="Times New Roman"/>
          <w:i/>
          <w:szCs w:val="24"/>
        </w:rPr>
        <w:t>Journal of Biological Chemistry</w:t>
      </w:r>
      <w:r w:rsidRPr="00D47D1F">
        <w:rPr>
          <w:rFonts w:eastAsia="Calibri" w:cs="Times New Roman"/>
          <w:szCs w:val="24"/>
        </w:rPr>
        <w:t xml:space="preserve"> 1994, 269, 23757-23763. </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780" w:history="1">
        <w:r w:rsidR="006F53C9" w:rsidRPr="00D47D1F">
          <w:rPr>
            <w:rFonts w:eastAsia="Calibri" w:cs="Times New Roman"/>
            <w:b/>
            <w:szCs w:val="24"/>
          </w:rPr>
          <w:t>Semenza GL</w:t>
        </w:r>
      </w:hyperlink>
      <w:r w:rsidR="006F53C9" w:rsidRPr="00D47D1F">
        <w:rPr>
          <w:rFonts w:eastAsia="Calibri" w:cs="Times New Roman"/>
          <w:b/>
          <w:szCs w:val="24"/>
        </w:rPr>
        <w:t>, </w:t>
      </w:r>
      <w:hyperlink r:id="rId781" w:history="1">
        <w:r w:rsidR="006F53C9" w:rsidRPr="00D47D1F">
          <w:rPr>
            <w:rFonts w:eastAsia="Calibri" w:cs="Times New Roman"/>
            <w:b/>
            <w:szCs w:val="24"/>
          </w:rPr>
          <w:t>Artemov D</w:t>
        </w:r>
      </w:hyperlink>
      <w:r w:rsidR="006F53C9" w:rsidRPr="00D47D1F">
        <w:rPr>
          <w:rFonts w:eastAsia="Calibri" w:cs="Times New Roman"/>
          <w:b/>
          <w:szCs w:val="24"/>
        </w:rPr>
        <w:t>, </w:t>
      </w:r>
      <w:hyperlink r:id="rId782" w:history="1">
        <w:r w:rsidR="006F53C9" w:rsidRPr="00D47D1F">
          <w:rPr>
            <w:rFonts w:eastAsia="Calibri" w:cs="Times New Roman"/>
            <w:b/>
            <w:szCs w:val="24"/>
          </w:rPr>
          <w:t>Bedi A</w:t>
        </w:r>
      </w:hyperlink>
      <w:r w:rsidR="006F53C9" w:rsidRPr="00D47D1F">
        <w:rPr>
          <w:rFonts w:eastAsia="Calibri" w:cs="Times New Roman"/>
          <w:b/>
          <w:szCs w:val="24"/>
        </w:rPr>
        <w:t>, </w:t>
      </w:r>
      <w:hyperlink r:id="rId783" w:history="1">
        <w:r w:rsidR="006F53C9" w:rsidRPr="00D47D1F">
          <w:rPr>
            <w:rFonts w:eastAsia="Calibri" w:cs="Times New Roman"/>
            <w:b/>
            <w:szCs w:val="24"/>
          </w:rPr>
          <w:t>Bhujwalla Z</w:t>
        </w:r>
      </w:hyperlink>
      <w:r w:rsidR="006F53C9" w:rsidRPr="00D47D1F">
        <w:rPr>
          <w:rFonts w:eastAsia="Calibri" w:cs="Times New Roman"/>
          <w:b/>
          <w:szCs w:val="24"/>
        </w:rPr>
        <w:t>, </w:t>
      </w:r>
      <w:hyperlink r:id="rId784" w:history="1">
        <w:r w:rsidR="006F53C9" w:rsidRPr="00D47D1F">
          <w:rPr>
            <w:rFonts w:eastAsia="Calibri" w:cs="Times New Roman"/>
            <w:b/>
            <w:szCs w:val="24"/>
          </w:rPr>
          <w:t>Chiles K</w:t>
        </w:r>
      </w:hyperlink>
      <w:r w:rsidR="006F53C9" w:rsidRPr="00D47D1F">
        <w:rPr>
          <w:rFonts w:eastAsia="Calibri" w:cs="Times New Roman"/>
          <w:b/>
          <w:szCs w:val="24"/>
        </w:rPr>
        <w:t>, </w:t>
      </w:r>
      <w:hyperlink r:id="rId785" w:history="1">
        <w:r w:rsidR="006F53C9" w:rsidRPr="00D47D1F">
          <w:rPr>
            <w:rFonts w:eastAsia="Calibri" w:cs="Times New Roman"/>
            <w:b/>
            <w:szCs w:val="24"/>
          </w:rPr>
          <w:t>Feldser D</w:t>
        </w:r>
      </w:hyperlink>
      <w:r w:rsidR="006F53C9" w:rsidRPr="00D47D1F">
        <w:rPr>
          <w:rFonts w:eastAsia="Calibri" w:cs="Times New Roman"/>
          <w:b/>
          <w:szCs w:val="24"/>
        </w:rPr>
        <w:t>, </w:t>
      </w:r>
      <w:hyperlink r:id="rId786" w:history="1">
        <w:r w:rsidR="006F53C9" w:rsidRPr="00D47D1F">
          <w:rPr>
            <w:rFonts w:eastAsia="Calibri" w:cs="Times New Roman"/>
            <w:b/>
            <w:szCs w:val="24"/>
          </w:rPr>
          <w:t>Laughner E</w:t>
        </w:r>
      </w:hyperlink>
      <w:r w:rsidR="006F53C9" w:rsidRPr="00D47D1F">
        <w:rPr>
          <w:rFonts w:eastAsia="Calibri" w:cs="Times New Roman"/>
          <w:b/>
          <w:szCs w:val="24"/>
        </w:rPr>
        <w:t>, </w:t>
      </w:r>
      <w:hyperlink r:id="rId787" w:history="1">
        <w:r w:rsidR="006F53C9" w:rsidRPr="00D47D1F">
          <w:rPr>
            <w:rFonts w:eastAsia="Calibri" w:cs="Times New Roman"/>
            <w:b/>
            <w:szCs w:val="24"/>
          </w:rPr>
          <w:t>Ravi R</w:t>
        </w:r>
      </w:hyperlink>
      <w:r w:rsidR="006F53C9" w:rsidRPr="00D47D1F">
        <w:rPr>
          <w:rFonts w:eastAsia="Calibri" w:cs="Times New Roman"/>
          <w:b/>
          <w:szCs w:val="24"/>
        </w:rPr>
        <w:t>, </w:t>
      </w:r>
      <w:hyperlink r:id="rId788" w:history="1">
        <w:r w:rsidR="006F53C9" w:rsidRPr="00D47D1F">
          <w:rPr>
            <w:rFonts w:eastAsia="Calibri" w:cs="Times New Roman"/>
            <w:b/>
            <w:szCs w:val="24"/>
          </w:rPr>
          <w:t>Simons J</w:t>
        </w:r>
      </w:hyperlink>
      <w:r w:rsidR="006F53C9" w:rsidRPr="00D47D1F">
        <w:rPr>
          <w:rFonts w:eastAsia="Calibri" w:cs="Times New Roman"/>
          <w:b/>
          <w:szCs w:val="24"/>
        </w:rPr>
        <w:t>, </w:t>
      </w:r>
      <w:hyperlink r:id="rId789" w:history="1">
        <w:r w:rsidR="006F53C9" w:rsidRPr="00D47D1F">
          <w:rPr>
            <w:rFonts w:eastAsia="Calibri" w:cs="Times New Roman"/>
            <w:b/>
            <w:szCs w:val="24"/>
          </w:rPr>
          <w:t>Taghavi P</w:t>
        </w:r>
      </w:hyperlink>
      <w:r w:rsidR="006F53C9" w:rsidRPr="00D47D1F">
        <w:rPr>
          <w:rFonts w:eastAsia="Calibri" w:cs="Times New Roman"/>
          <w:b/>
          <w:szCs w:val="24"/>
        </w:rPr>
        <w:t>, </w:t>
      </w:r>
      <w:hyperlink r:id="rId790" w:history="1">
        <w:r w:rsidR="006F53C9" w:rsidRPr="00D47D1F">
          <w:rPr>
            <w:rFonts w:eastAsia="Calibri" w:cs="Times New Roman"/>
            <w:b/>
            <w:szCs w:val="24"/>
          </w:rPr>
          <w:t>Zhong H</w:t>
        </w:r>
      </w:hyperlink>
      <w:r w:rsidR="006F53C9" w:rsidRPr="00D47D1F">
        <w:rPr>
          <w:rFonts w:eastAsia="Calibri" w:cs="Times New Roman"/>
          <w:b/>
          <w:szCs w:val="24"/>
        </w:rPr>
        <w:t>.</w:t>
      </w:r>
      <w:r w:rsidR="006F53C9" w:rsidRPr="00D47D1F">
        <w:rPr>
          <w:rFonts w:eastAsia="Calibri" w:cs="Times New Roman"/>
          <w:szCs w:val="24"/>
        </w:rPr>
        <w:t xml:space="preserve"> 'The metabolism of tumours': 70 years later. </w:t>
      </w:r>
      <w:r w:rsidR="006F53C9" w:rsidRPr="00D47D1F">
        <w:rPr>
          <w:rFonts w:eastAsia="Calibri" w:cs="Times New Roman"/>
          <w:i/>
          <w:szCs w:val="24"/>
        </w:rPr>
        <w:t>Novartis Foundation Symposium</w:t>
      </w:r>
      <w:r w:rsidR="006F53C9" w:rsidRPr="00D47D1F">
        <w:rPr>
          <w:rFonts w:eastAsia="Calibri" w:cs="Times New Roman"/>
          <w:szCs w:val="24"/>
        </w:rPr>
        <w:t xml:space="preserve"> 2001, 240, 251-260. </w:t>
      </w:r>
    </w:p>
    <w:p w:rsidR="006F53C9" w:rsidRPr="00D47D1F" w:rsidRDefault="006F53C9" w:rsidP="00514F54">
      <w:pPr>
        <w:keepNext/>
        <w:keepLines/>
        <w:shd w:val="clear" w:color="auto" w:fill="FFFFFF"/>
        <w:spacing w:before="120" w:after="240"/>
        <w:ind w:firstLine="0"/>
        <w:outlineLvl w:val="0"/>
        <w:rPr>
          <w:rFonts w:eastAsia="Calibri" w:cs="Times New Roman"/>
          <w:szCs w:val="24"/>
        </w:rPr>
      </w:pPr>
      <w:r w:rsidRPr="00D47D1F">
        <w:rPr>
          <w:rFonts w:eastAsia="Calibri" w:cs="Times New Roman"/>
          <w:b/>
          <w:szCs w:val="24"/>
        </w:rPr>
        <w:t>Semenza GL.</w:t>
      </w:r>
      <w:r w:rsidRPr="00D47D1F">
        <w:rPr>
          <w:rFonts w:eastAsia="Calibri" w:cs="Times New Roman"/>
          <w:szCs w:val="24"/>
        </w:rPr>
        <w:t xml:space="preserve"> HIF-1 mediates the Warburg effect in clear cell renal carcinoma</w:t>
      </w:r>
      <w:r w:rsidRPr="00D47D1F">
        <w:rPr>
          <w:rFonts w:eastAsia="Calibri" w:cs="Times New Roman"/>
          <w:i/>
          <w:szCs w:val="24"/>
        </w:rPr>
        <w:t>. Journal of Bioenergetics and Biomembranes</w:t>
      </w:r>
      <w:r w:rsidRPr="00D47D1F">
        <w:rPr>
          <w:rFonts w:eastAsia="Calibri" w:cs="Times New Roman"/>
          <w:szCs w:val="24"/>
        </w:rPr>
        <w:t xml:space="preserve"> 2007, 39 (3), 231-234.</w:t>
      </w:r>
    </w:p>
    <w:p w:rsidR="006F53C9" w:rsidRPr="00D47D1F" w:rsidRDefault="006F53C9" w:rsidP="00514F54">
      <w:pPr>
        <w:keepNext/>
        <w:keepLines/>
        <w:shd w:val="clear" w:color="auto" w:fill="FFFFFF"/>
        <w:spacing w:before="120" w:after="240"/>
        <w:ind w:firstLine="0"/>
        <w:outlineLvl w:val="0"/>
        <w:rPr>
          <w:rFonts w:eastAsia="Calibri" w:cs="Times New Roman"/>
          <w:szCs w:val="24"/>
        </w:rPr>
      </w:pPr>
      <w:r w:rsidRPr="00D47D1F">
        <w:rPr>
          <w:rFonts w:eastAsia="Calibri" w:cs="Times New Roman"/>
          <w:b/>
          <w:szCs w:val="24"/>
        </w:rPr>
        <w:t>Semenza GL.</w:t>
      </w:r>
      <w:r w:rsidRPr="00D47D1F">
        <w:rPr>
          <w:rFonts w:asciiTheme="majorHAnsi" w:eastAsiaTheme="majorEastAsia" w:hAnsiTheme="majorHAnsi" w:cstheme="majorBidi"/>
          <w:b/>
          <w:bCs/>
          <w:color w:val="365F91" w:themeColor="accent1" w:themeShade="BF"/>
          <w:sz w:val="28"/>
          <w:szCs w:val="28"/>
        </w:rPr>
        <w:t xml:space="preserve"> </w:t>
      </w:r>
      <w:r w:rsidRPr="00D47D1F">
        <w:rPr>
          <w:rFonts w:eastAsia="Calibri" w:cs="Times New Roman"/>
          <w:szCs w:val="24"/>
        </w:rPr>
        <w:t xml:space="preserve">Hypoxia-inducible factors in physiology and medicine. </w:t>
      </w:r>
      <w:r w:rsidRPr="00D47D1F">
        <w:rPr>
          <w:rFonts w:eastAsia="Calibri" w:cs="Times New Roman"/>
          <w:i/>
          <w:szCs w:val="24"/>
        </w:rPr>
        <w:t xml:space="preserve">Cell </w:t>
      </w:r>
      <w:r w:rsidRPr="00D47D1F">
        <w:rPr>
          <w:rFonts w:eastAsia="Calibri" w:cs="Times New Roman"/>
          <w:szCs w:val="24"/>
        </w:rPr>
        <w:t xml:space="preserve">2012, 148 (3), 399-408. </w:t>
      </w:r>
    </w:p>
    <w:p w:rsidR="006F53C9" w:rsidRPr="00D47D1F" w:rsidRDefault="006F53C9" w:rsidP="00514F54">
      <w:pPr>
        <w:keepNext/>
        <w:keepLines/>
        <w:shd w:val="clear" w:color="auto" w:fill="FFFFFF"/>
        <w:spacing w:before="120" w:after="240"/>
        <w:ind w:firstLine="0"/>
        <w:outlineLvl w:val="0"/>
        <w:rPr>
          <w:rFonts w:eastAsia="Calibri" w:cs="Times New Roman"/>
          <w:szCs w:val="24"/>
        </w:rPr>
      </w:pPr>
      <w:r w:rsidRPr="00D47D1F">
        <w:rPr>
          <w:rFonts w:eastAsia="Calibri" w:cs="Times New Roman"/>
          <w:b/>
          <w:szCs w:val="24"/>
        </w:rPr>
        <w:t xml:space="preserve">Semenza GL. </w:t>
      </w:r>
      <w:r w:rsidRPr="00D47D1F">
        <w:rPr>
          <w:rFonts w:eastAsia="Calibri" w:cs="Times New Roman"/>
          <w:szCs w:val="24"/>
        </w:rPr>
        <w:t xml:space="preserve">Oxygen homeostasis. Wiley interdisciplinary reviews. </w:t>
      </w:r>
      <w:r w:rsidRPr="00D47D1F">
        <w:rPr>
          <w:rFonts w:eastAsia="Calibri" w:cs="Times New Roman"/>
          <w:i/>
          <w:szCs w:val="24"/>
        </w:rPr>
        <w:t xml:space="preserve">Systems biology and medicine </w:t>
      </w:r>
      <w:r w:rsidRPr="00D47D1F">
        <w:rPr>
          <w:rFonts w:eastAsia="Calibri" w:cs="Times New Roman"/>
          <w:szCs w:val="24"/>
        </w:rPr>
        <w:t xml:space="preserve">2010, 2 (3), 336-361. </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791" w:history="1">
        <w:r w:rsidR="006F53C9" w:rsidRPr="00D47D1F">
          <w:rPr>
            <w:rFonts w:eastAsia="Calibri" w:cs="Times New Roman"/>
            <w:b/>
            <w:szCs w:val="24"/>
          </w:rPr>
          <w:t>Semenza GL</w:t>
        </w:r>
      </w:hyperlink>
      <w:r w:rsidR="006F53C9" w:rsidRPr="00D47D1F">
        <w:rPr>
          <w:rFonts w:eastAsia="Calibri" w:cs="Times New Roman"/>
          <w:b/>
          <w:szCs w:val="24"/>
        </w:rPr>
        <w:t xml:space="preserve">. </w:t>
      </w:r>
      <w:r w:rsidR="006F53C9" w:rsidRPr="00D47D1F">
        <w:rPr>
          <w:rFonts w:eastAsia="Calibri" w:cs="Times New Roman"/>
          <w:szCs w:val="24"/>
        </w:rPr>
        <w:t>Oxygen sensing, homeostasis, and disease</w:t>
      </w:r>
      <w:r w:rsidR="006F53C9" w:rsidRPr="00D47D1F">
        <w:rPr>
          <w:rFonts w:eastAsia="Calibri" w:cs="Times New Roman"/>
          <w:i/>
          <w:szCs w:val="24"/>
        </w:rPr>
        <w:t>. The New England Journal of Medicine</w:t>
      </w:r>
      <w:r w:rsidR="006F53C9" w:rsidRPr="00D47D1F">
        <w:rPr>
          <w:rFonts w:eastAsia="Calibri" w:cs="Times New Roman"/>
          <w:szCs w:val="24"/>
        </w:rPr>
        <w:t xml:space="preserve"> 2011, 365 (6), 537-547.</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792" w:history="1">
        <w:r w:rsidR="006F53C9" w:rsidRPr="00D47D1F">
          <w:rPr>
            <w:rFonts w:eastAsia="Calibri" w:cs="Times New Roman"/>
            <w:b/>
            <w:szCs w:val="24"/>
          </w:rPr>
          <w:t>Semenza GL</w:t>
        </w:r>
      </w:hyperlink>
      <w:r w:rsidR="006F53C9" w:rsidRPr="00D47D1F">
        <w:rPr>
          <w:rFonts w:eastAsia="Calibri" w:cs="Times New Roman"/>
          <w:b/>
          <w:szCs w:val="24"/>
        </w:rPr>
        <w:t>.</w:t>
      </w:r>
      <w:r w:rsidR="006F53C9" w:rsidRPr="00D47D1F">
        <w:rPr>
          <w:rFonts w:eastAsiaTheme="majorEastAsia" w:cs="Times New Roman"/>
          <w:bCs/>
          <w:szCs w:val="24"/>
        </w:rPr>
        <w:t xml:space="preserve"> </w:t>
      </w:r>
      <w:r w:rsidR="006F53C9" w:rsidRPr="00D47D1F">
        <w:rPr>
          <w:rFonts w:eastAsia="Calibri" w:cs="Times New Roman"/>
          <w:szCs w:val="24"/>
        </w:rPr>
        <w:t xml:space="preserve">Tumor metabolism: cancer cells give and take lactate. </w:t>
      </w:r>
      <w:r w:rsidR="006F53C9" w:rsidRPr="00D47D1F">
        <w:rPr>
          <w:rFonts w:eastAsia="Calibri" w:cs="Times New Roman"/>
          <w:i/>
          <w:szCs w:val="24"/>
        </w:rPr>
        <w:t>The Journal of Clinical Investigation</w:t>
      </w:r>
      <w:r w:rsidR="006F53C9" w:rsidRPr="00D47D1F">
        <w:rPr>
          <w:rFonts w:eastAsia="Calibri" w:cs="Times New Roman"/>
          <w:szCs w:val="24"/>
        </w:rPr>
        <w:t xml:space="preserve"> 2008, 118 (12), 3835-3837.</w:t>
      </w:r>
    </w:p>
    <w:p w:rsidR="006F53C9" w:rsidRPr="00D47D1F" w:rsidRDefault="006F53C9" w:rsidP="00514F54">
      <w:pPr>
        <w:keepNext/>
        <w:keepLines/>
        <w:shd w:val="clear" w:color="auto" w:fill="FFFFFF"/>
        <w:spacing w:before="120" w:after="240"/>
        <w:ind w:firstLine="0"/>
        <w:outlineLvl w:val="0"/>
        <w:rPr>
          <w:rFonts w:eastAsia="Calibri" w:cs="Times New Roman"/>
          <w:szCs w:val="24"/>
        </w:rPr>
      </w:pPr>
      <w:r w:rsidRPr="00D47D1F">
        <w:rPr>
          <w:rFonts w:eastAsia="Calibri" w:cs="Times New Roman"/>
          <w:b/>
          <w:szCs w:val="24"/>
        </w:rPr>
        <w:t>Shackelford DB, Shaw RJ.</w:t>
      </w:r>
      <w:r w:rsidRPr="00D47D1F">
        <w:rPr>
          <w:rFonts w:asciiTheme="majorHAnsi" w:eastAsiaTheme="majorEastAsia" w:hAnsiTheme="majorHAnsi" w:cstheme="majorBidi"/>
          <w:b/>
          <w:bCs/>
          <w:color w:val="365F91" w:themeColor="accent1" w:themeShade="BF"/>
          <w:sz w:val="28"/>
          <w:szCs w:val="28"/>
        </w:rPr>
        <w:t xml:space="preserve"> </w:t>
      </w:r>
      <w:r w:rsidRPr="00D47D1F">
        <w:rPr>
          <w:rFonts w:eastAsia="Calibri" w:cs="Times New Roman"/>
          <w:szCs w:val="24"/>
        </w:rPr>
        <w:t xml:space="preserve">The LKB1-AMPK pathway: metabolism and growth control in tumour suppression. </w:t>
      </w:r>
      <w:r w:rsidRPr="00D47D1F">
        <w:rPr>
          <w:rFonts w:eastAsia="Calibri" w:cs="Times New Roman"/>
          <w:i/>
          <w:szCs w:val="24"/>
        </w:rPr>
        <w:t>Nature Reviews Cancer</w:t>
      </w:r>
      <w:r w:rsidRPr="00D47D1F">
        <w:rPr>
          <w:rFonts w:eastAsia="Calibri" w:cs="Times New Roman"/>
          <w:szCs w:val="24"/>
        </w:rPr>
        <w:t xml:space="preserve"> 2009, 9 (8), 563-575. </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793" w:history="1">
        <w:r w:rsidR="006F53C9" w:rsidRPr="00D47D1F">
          <w:rPr>
            <w:rFonts w:eastAsia="Calibri" w:cs="Times New Roman"/>
            <w:b/>
            <w:szCs w:val="24"/>
          </w:rPr>
          <w:t>Shestov AA</w:t>
        </w:r>
      </w:hyperlink>
      <w:r w:rsidR="006F53C9" w:rsidRPr="00D47D1F">
        <w:rPr>
          <w:rFonts w:eastAsia="Calibri" w:cs="Times New Roman"/>
          <w:b/>
          <w:szCs w:val="24"/>
        </w:rPr>
        <w:t>, </w:t>
      </w:r>
      <w:hyperlink r:id="rId794" w:history="1">
        <w:r w:rsidR="006F53C9" w:rsidRPr="00D47D1F">
          <w:rPr>
            <w:rFonts w:eastAsia="Calibri" w:cs="Times New Roman"/>
            <w:b/>
            <w:szCs w:val="24"/>
          </w:rPr>
          <w:t>Liu X</w:t>
        </w:r>
      </w:hyperlink>
      <w:r w:rsidR="006F53C9" w:rsidRPr="00D47D1F">
        <w:rPr>
          <w:rFonts w:eastAsia="Calibri" w:cs="Times New Roman"/>
          <w:b/>
          <w:szCs w:val="24"/>
        </w:rPr>
        <w:t xml:space="preserve">,  </w:t>
      </w:r>
      <w:hyperlink r:id="rId795" w:history="1">
        <w:r w:rsidR="006F53C9" w:rsidRPr="00D47D1F">
          <w:rPr>
            <w:rFonts w:eastAsia="Calibri" w:cs="Times New Roman"/>
            <w:b/>
            <w:szCs w:val="24"/>
          </w:rPr>
          <w:t>Ser Z</w:t>
        </w:r>
      </w:hyperlink>
      <w:r w:rsidR="006F53C9" w:rsidRPr="00D47D1F">
        <w:rPr>
          <w:rFonts w:eastAsia="Calibri" w:cs="Times New Roman"/>
          <w:b/>
          <w:szCs w:val="24"/>
        </w:rPr>
        <w:t>, </w:t>
      </w:r>
      <w:hyperlink r:id="rId796" w:history="1">
        <w:r w:rsidR="006F53C9" w:rsidRPr="00D47D1F">
          <w:rPr>
            <w:rFonts w:eastAsia="Calibri" w:cs="Times New Roman"/>
            <w:b/>
            <w:szCs w:val="24"/>
          </w:rPr>
          <w:t>Cluntun AA</w:t>
        </w:r>
      </w:hyperlink>
      <w:r w:rsidR="006F53C9" w:rsidRPr="00D47D1F">
        <w:rPr>
          <w:rFonts w:eastAsia="Calibri" w:cs="Times New Roman"/>
          <w:b/>
          <w:szCs w:val="24"/>
        </w:rPr>
        <w:t>, </w:t>
      </w:r>
      <w:hyperlink r:id="rId797" w:history="1">
        <w:r w:rsidR="006F53C9" w:rsidRPr="00D47D1F">
          <w:rPr>
            <w:rFonts w:eastAsia="Calibri" w:cs="Times New Roman"/>
            <w:b/>
            <w:szCs w:val="24"/>
          </w:rPr>
          <w:t>Hung YP</w:t>
        </w:r>
      </w:hyperlink>
      <w:r w:rsidR="006F53C9" w:rsidRPr="00D47D1F">
        <w:rPr>
          <w:rFonts w:eastAsia="Calibri" w:cs="Times New Roman"/>
          <w:b/>
          <w:szCs w:val="24"/>
        </w:rPr>
        <w:t>, </w:t>
      </w:r>
      <w:hyperlink r:id="rId798" w:history="1">
        <w:r w:rsidR="006F53C9" w:rsidRPr="00D47D1F">
          <w:rPr>
            <w:rFonts w:eastAsia="Calibri" w:cs="Times New Roman"/>
            <w:b/>
            <w:szCs w:val="24"/>
          </w:rPr>
          <w:t>Huang L</w:t>
        </w:r>
      </w:hyperlink>
      <w:r w:rsidR="006F53C9" w:rsidRPr="00D47D1F">
        <w:rPr>
          <w:rFonts w:eastAsia="Calibri" w:cs="Times New Roman"/>
          <w:b/>
          <w:szCs w:val="24"/>
        </w:rPr>
        <w:t>, </w:t>
      </w:r>
      <w:hyperlink r:id="rId799" w:history="1">
        <w:r w:rsidR="006F53C9" w:rsidRPr="00D47D1F">
          <w:rPr>
            <w:rFonts w:eastAsia="Calibri" w:cs="Times New Roman"/>
            <w:b/>
            <w:szCs w:val="24"/>
          </w:rPr>
          <w:t>Kim D</w:t>
        </w:r>
      </w:hyperlink>
      <w:r w:rsidR="006F53C9" w:rsidRPr="00D47D1F">
        <w:rPr>
          <w:rFonts w:eastAsia="Calibri" w:cs="Times New Roman"/>
          <w:b/>
          <w:szCs w:val="24"/>
        </w:rPr>
        <w:t>, </w:t>
      </w:r>
      <w:hyperlink r:id="rId800" w:history="1">
        <w:r w:rsidR="006F53C9" w:rsidRPr="00D47D1F">
          <w:rPr>
            <w:rFonts w:eastAsia="Calibri" w:cs="Times New Roman"/>
            <w:b/>
            <w:szCs w:val="24"/>
          </w:rPr>
          <w:t>Le A</w:t>
        </w:r>
      </w:hyperlink>
      <w:r w:rsidR="006F53C9" w:rsidRPr="00D47D1F">
        <w:rPr>
          <w:rFonts w:eastAsia="Calibri" w:cs="Times New Roman"/>
          <w:b/>
          <w:szCs w:val="24"/>
        </w:rPr>
        <w:t>, </w:t>
      </w:r>
      <w:hyperlink r:id="rId801" w:history="1">
        <w:r w:rsidR="006F53C9" w:rsidRPr="00D47D1F">
          <w:rPr>
            <w:rFonts w:eastAsia="Calibri" w:cs="Times New Roman"/>
            <w:b/>
            <w:szCs w:val="24"/>
          </w:rPr>
          <w:t>Yellen G</w:t>
        </w:r>
      </w:hyperlink>
      <w:r w:rsidR="006F53C9" w:rsidRPr="00D47D1F">
        <w:rPr>
          <w:rFonts w:eastAsia="Calibri" w:cs="Times New Roman"/>
          <w:b/>
          <w:szCs w:val="24"/>
        </w:rPr>
        <w:t>, </w:t>
      </w:r>
      <w:hyperlink r:id="rId802" w:history="1">
        <w:r w:rsidR="006F53C9" w:rsidRPr="00D47D1F">
          <w:rPr>
            <w:rFonts w:eastAsia="Calibri" w:cs="Times New Roman"/>
            <w:b/>
            <w:szCs w:val="24"/>
          </w:rPr>
          <w:t>Albeck JG</w:t>
        </w:r>
      </w:hyperlink>
      <w:r w:rsidR="006F53C9" w:rsidRPr="00D47D1F">
        <w:rPr>
          <w:rFonts w:eastAsia="Calibri" w:cs="Times New Roman"/>
          <w:b/>
          <w:szCs w:val="24"/>
        </w:rPr>
        <w:t>, </w:t>
      </w:r>
      <w:hyperlink r:id="rId803" w:history="1">
        <w:r w:rsidR="006F53C9" w:rsidRPr="00D47D1F">
          <w:rPr>
            <w:rFonts w:eastAsia="Calibri" w:cs="Times New Roman"/>
            <w:b/>
            <w:szCs w:val="24"/>
          </w:rPr>
          <w:t>Locasale JW</w:t>
        </w:r>
      </w:hyperlink>
      <w:r w:rsidR="006F53C9" w:rsidRPr="00D47D1F">
        <w:rPr>
          <w:rFonts w:eastAsia="Calibri" w:cs="Times New Roman"/>
          <w:b/>
          <w:szCs w:val="24"/>
        </w:rPr>
        <w:t xml:space="preserve">. </w:t>
      </w:r>
      <w:r w:rsidR="006F53C9" w:rsidRPr="00D47D1F">
        <w:rPr>
          <w:rFonts w:eastAsia="Calibri" w:cs="Times New Roman"/>
          <w:szCs w:val="24"/>
        </w:rPr>
        <w:t xml:space="preserve">Quantitative determinants of aerobic glycolysis identify flux through the enzyme GAPDH as a limiting step. </w:t>
      </w:r>
      <w:r w:rsidR="006F53C9" w:rsidRPr="00D47D1F">
        <w:rPr>
          <w:rFonts w:eastAsia="Calibri" w:cs="Times New Roman"/>
          <w:i/>
          <w:szCs w:val="24"/>
        </w:rPr>
        <w:t>Elife</w:t>
      </w:r>
      <w:r w:rsidR="006F53C9" w:rsidRPr="00D47D1F">
        <w:rPr>
          <w:rFonts w:eastAsia="Calibri" w:cs="Times New Roman"/>
          <w:szCs w:val="24"/>
        </w:rPr>
        <w:t xml:space="preserve"> 2014, 9, 3.</w:t>
      </w:r>
    </w:p>
    <w:p w:rsidR="006F53C9" w:rsidRPr="00D47D1F" w:rsidRDefault="0037177D" w:rsidP="00514F54">
      <w:pPr>
        <w:spacing w:before="120" w:after="240"/>
        <w:ind w:firstLine="0"/>
        <w:rPr>
          <w:rFonts w:eastAsia="Calibri" w:cs="Times New Roman"/>
          <w:szCs w:val="24"/>
        </w:rPr>
      </w:pPr>
      <w:hyperlink r:id="rId804" w:history="1">
        <w:r w:rsidR="006F53C9" w:rsidRPr="00D47D1F">
          <w:rPr>
            <w:rFonts w:eastAsia="Calibri" w:cs="Times New Roman"/>
            <w:b/>
            <w:bCs/>
            <w:szCs w:val="24"/>
          </w:rPr>
          <w:t>Shim H</w:t>
        </w:r>
      </w:hyperlink>
      <w:r w:rsidR="006F53C9" w:rsidRPr="00D47D1F">
        <w:rPr>
          <w:rFonts w:eastAsia="Calibri" w:cs="Times New Roman"/>
          <w:b/>
          <w:bCs/>
          <w:szCs w:val="24"/>
        </w:rPr>
        <w:t>, </w:t>
      </w:r>
      <w:hyperlink r:id="rId805" w:history="1">
        <w:r w:rsidR="006F53C9" w:rsidRPr="00D47D1F">
          <w:rPr>
            <w:rFonts w:eastAsia="Calibri" w:cs="Times New Roman"/>
            <w:b/>
            <w:bCs/>
            <w:szCs w:val="24"/>
          </w:rPr>
          <w:t>Dolde C</w:t>
        </w:r>
      </w:hyperlink>
      <w:r w:rsidR="006F53C9" w:rsidRPr="00D47D1F">
        <w:rPr>
          <w:rFonts w:eastAsia="Calibri" w:cs="Times New Roman"/>
          <w:b/>
          <w:bCs/>
          <w:szCs w:val="24"/>
        </w:rPr>
        <w:t>, </w:t>
      </w:r>
      <w:hyperlink r:id="rId806" w:history="1">
        <w:r w:rsidR="006F53C9" w:rsidRPr="00D47D1F">
          <w:rPr>
            <w:rFonts w:eastAsia="Calibri" w:cs="Times New Roman"/>
            <w:b/>
            <w:bCs/>
            <w:szCs w:val="24"/>
          </w:rPr>
          <w:t>Lewis BC</w:t>
        </w:r>
      </w:hyperlink>
      <w:r w:rsidR="006F53C9" w:rsidRPr="00D47D1F">
        <w:rPr>
          <w:rFonts w:eastAsia="Calibri" w:cs="Times New Roman"/>
          <w:b/>
          <w:bCs/>
          <w:szCs w:val="24"/>
        </w:rPr>
        <w:t>, </w:t>
      </w:r>
      <w:hyperlink r:id="rId807" w:history="1">
        <w:r w:rsidR="006F53C9" w:rsidRPr="00D47D1F">
          <w:rPr>
            <w:rFonts w:eastAsia="Calibri" w:cs="Times New Roman"/>
            <w:b/>
            <w:bCs/>
            <w:szCs w:val="24"/>
          </w:rPr>
          <w:t>Wu CS</w:t>
        </w:r>
      </w:hyperlink>
      <w:r w:rsidR="006F53C9" w:rsidRPr="00D47D1F">
        <w:rPr>
          <w:rFonts w:eastAsia="Calibri" w:cs="Times New Roman"/>
          <w:b/>
          <w:bCs/>
          <w:szCs w:val="24"/>
        </w:rPr>
        <w:t>, </w:t>
      </w:r>
      <w:hyperlink r:id="rId808" w:history="1">
        <w:r w:rsidR="006F53C9" w:rsidRPr="00D47D1F">
          <w:rPr>
            <w:rFonts w:eastAsia="Calibri" w:cs="Times New Roman"/>
            <w:b/>
            <w:bCs/>
            <w:szCs w:val="24"/>
          </w:rPr>
          <w:t>Dang G</w:t>
        </w:r>
      </w:hyperlink>
      <w:r w:rsidR="006F53C9" w:rsidRPr="00D47D1F">
        <w:rPr>
          <w:rFonts w:eastAsia="Calibri" w:cs="Times New Roman"/>
          <w:b/>
          <w:bCs/>
          <w:szCs w:val="24"/>
        </w:rPr>
        <w:t>, </w:t>
      </w:r>
      <w:hyperlink r:id="rId809" w:history="1">
        <w:r w:rsidR="006F53C9" w:rsidRPr="00D47D1F">
          <w:rPr>
            <w:rFonts w:eastAsia="Calibri" w:cs="Times New Roman"/>
            <w:b/>
            <w:bCs/>
            <w:szCs w:val="24"/>
          </w:rPr>
          <w:t>Jungmann RA</w:t>
        </w:r>
      </w:hyperlink>
      <w:r w:rsidR="006F53C9" w:rsidRPr="00D47D1F">
        <w:rPr>
          <w:rFonts w:eastAsia="Calibri" w:cs="Times New Roman"/>
          <w:b/>
          <w:bCs/>
          <w:szCs w:val="24"/>
        </w:rPr>
        <w:t>, </w:t>
      </w:r>
      <w:hyperlink r:id="rId810" w:history="1">
        <w:r w:rsidR="006F53C9" w:rsidRPr="00D47D1F">
          <w:rPr>
            <w:rFonts w:eastAsia="Calibri" w:cs="Times New Roman"/>
            <w:b/>
            <w:bCs/>
            <w:szCs w:val="24"/>
          </w:rPr>
          <w:t>Dalla-Favera R</w:t>
        </w:r>
      </w:hyperlink>
      <w:r w:rsidR="006F53C9" w:rsidRPr="00D47D1F">
        <w:rPr>
          <w:rFonts w:eastAsia="Calibri" w:cs="Times New Roman"/>
          <w:b/>
          <w:bCs/>
          <w:szCs w:val="24"/>
        </w:rPr>
        <w:t>, </w:t>
      </w:r>
      <w:hyperlink r:id="rId811" w:history="1">
        <w:r w:rsidR="006F53C9" w:rsidRPr="00D47D1F">
          <w:rPr>
            <w:rFonts w:eastAsia="Calibri" w:cs="Times New Roman"/>
            <w:b/>
            <w:bCs/>
            <w:szCs w:val="24"/>
          </w:rPr>
          <w:t>Dang CV</w:t>
        </w:r>
      </w:hyperlink>
      <w:r w:rsidR="006F53C9" w:rsidRPr="00D47D1F">
        <w:rPr>
          <w:rFonts w:eastAsia="Calibri" w:cs="Times New Roman"/>
          <w:b/>
          <w:bCs/>
          <w:szCs w:val="24"/>
        </w:rPr>
        <w:t xml:space="preserve">. c-Myc transactivation of LDH-A: implications for tumor metabolism and growth. </w:t>
      </w:r>
      <w:r w:rsidR="006F53C9" w:rsidRPr="00D47D1F">
        <w:rPr>
          <w:rFonts w:eastAsia="Calibri" w:cs="Times New Roman"/>
          <w:i/>
          <w:szCs w:val="24"/>
        </w:rPr>
        <w:t>Proceedings of the National Academy of Sciences of the United States</w:t>
      </w:r>
      <w:r w:rsidR="006F53C9" w:rsidRPr="00D47D1F">
        <w:rPr>
          <w:rFonts w:eastAsia="Calibri" w:cs="Times New Roman"/>
          <w:szCs w:val="24"/>
        </w:rPr>
        <w:t xml:space="preserve"> </w:t>
      </w:r>
      <w:r w:rsidR="006F53C9" w:rsidRPr="00D47D1F">
        <w:rPr>
          <w:rFonts w:eastAsia="Calibri" w:cs="Times New Roman"/>
          <w:i/>
          <w:szCs w:val="24"/>
        </w:rPr>
        <w:t>of America</w:t>
      </w:r>
      <w:r w:rsidR="006F53C9" w:rsidRPr="00D47D1F">
        <w:rPr>
          <w:rFonts w:eastAsia="Calibri" w:cs="Times New Roman"/>
          <w:szCs w:val="24"/>
        </w:rPr>
        <w:t xml:space="preserve"> 1997, 94 (13), 6658-6663. </w:t>
      </w:r>
    </w:p>
    <w:p w:rsidR="006F53C9" w:rsidRPr="006F53C9" w:rsidRDefault="006F53C9" w:rsidP="00514F54">
      <w:pPr>
        <w:autoSpaceDE w:val="0"/>
        <w:autoSpaceDN w:val="0"/>
        <w:adjustRightInd w:val="0"/>
        <w:spacing w:before="120" w:after="240"/>
        <w:ind w:firstLine="0"/>
        <w:rPr>
          <w:rFonts w:eastAsia="Calibri" w:cs="Times New Roman"/>
          <w:szCs w:val="24"/>
        </w:rPr>
      </w:pPr>
      <w:r w:rsidRPr="006F53C9">
        <w:rPr>
          <w:rFonts w:eastAsia="Calibri" w:cs="Times New Roman"/>
          <w:b/>
          <w:szCs w:val="24"/>
        </w:rPr>
        <w:t>Shuch B, Linehan WM, Srinivasan R.</w:t>
      </w:r>
      <w:r w:rsidRPr="006F53C9">
        <w:rPr>
          <w:rFonts w:eastAsia="Calibri" w:cs="Times New Roman"/>
          <w:szCs w:val="24"/>
        </w:rPr>
        <w:t xml:space="preserve"> Aerobic glycolysis: a novel target in kidney cancer. </w:t>
      </w:r>
      <w:r w:rsidRPr="006F53C9">
        <w:rPr>
          <w:rFonts w:eastAsia="Calibri" w:cs="Times New Roman"/>
          <w:i/>
          <w:szCs w:val="24"/>
        </w:rPr>
        <w:t>Expert Review of Anticancer Therapy</w:t>
      </w:r>
      <w:r w:rsidRPr="006F53C9">
        <w:rPr>
          <w:rFonts w:eastAsia="Calibri" w:cs="Times New Roman"/>
          <w:szCs w:val="24"/>
        </w:rPr>
        <w:t xml:space="preserve">. 2013, 13, 711–719. </w:t>
      </w:r>
    </w:p>
    <w:p w:rsidR="006F53C9" w:rsidRPr="006F53C9" w:rsidRDefault="006F53C9" w:rsidP="00514F54">
      <w:pPr>
        <w:spacing w:before="120" w:after="240"/>
        <w:ind w:firstLine="0"/>
        <w:rPr>
          <w:szCs w:val="24"/>
        </w:rPr>
      </w:pPr>
      <w:r w:rsidRPr="006F53C9">
        <w:rPr>
          <w:rFonts w:eastAsiaTheme="majorEastAsia"/>
          <w:b/>
          <w:bCs/>
          <w:szCs w:val="24"/>
        </w:rPr>
        <w:lastRenderedPageBreak/>
        <w:t>Šmerc A, Sodja E, Legiša M.</w:t>
      </w:r>
      <w:r w:rsidRPr="006F53C9">
        <w:rPr>
          <w:rFonts w:asciiTheme="minorHAnsi" w:hAnsiTheme="minorHAnsi"/>
          <w:sz w:val="22"/>
        </w:rPr>
        <w:t xml:space="preserve"> </w:t>
      </w:r>
      <w:r w:rsidRPr="006F53C9">
        <w:rPr>
          <w:szCs w:val="24"/>
        </w:rPr>
        <w:t xml:space="preserve">Posttranslational modification of 6-phosphofructo-1-kinase as an important feature of cancer metabolism. </w:t>
      </w:r>
      <w:r w:rsidRPr="006F53C9">
        <w:rPr>
          <w:i/>
          <w:szCs w:val="24"/>
        </w:rPr>
        <w:t>PLoS One</w:t>
      </w:r>
      <w:r w:rsidRPr="006F53C9">
        <w:rPr>
          <w:szCs w:val="24"/>
        </w:rPr>
        <w:t xml:space="preserve"> 2011, 6, e19645. </w:t>
      </w:r>
    </w:p>
    <w:p w:rsidR="006F53C9" w:rsidRPr="00D47D1F" w:rsidRDefault="006F53C9" w:rsidP="00514F54">
      <w:pPr>
        <w:autoSpaceDE w:val="0"/>
        <w:autoSpaceDN w:val="0"/>
        <w:adjustRightInd w:val="0"/>
        <w:spacing w:before="120" w:after="240"/>
        <w:ind w:firstLine="0"/>
        <w:rPr>
          <w:rFonts w:eastAsia="Calibri" w:cs="Times New Roman"/>
          <w:szCs w:val="24"/>
        </w:rPr>
      </w:pPr>
      <w:r w:rsidRPr="00D47D1F">
        <w:rPr>
          <w:rFonts w:eastAsia="Calibri" w:cs="Times New Roman"/>
          <w:b/>
          <w:szCs w:val="24"/>
        </w:rPr>
        <w:t>Smith HB.</w:t>
      </w:r>
      <w:r w:rsidRPr="00D47D1F">
        <w:rPr>
          <w:rFonts w:eastAsia="Calibri" w:cs="Times New Roman"/>
          <w:szCs w:val="24"/>
        </w:rPr>
        <w:t xml:space="preserve"> Metabolic Adaptations to MicroEnvironmental Stress in Tumour Spheroids, Doktora Tezi, University of Oxford Nuffield Department of Clinical Laboratory Sciences, Oxford 2014.</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812" w:history="1">
        <w:r w:rsidR="006F53C9" w:rsidRPr="00D47D1F">
          <w:rPr>
            <w:rFonts w:eastAsiaTheme="majorEastAsia" w:cs="Times New Roman"/>
            <w:b/>
            <w:bCs/>
            <w:szCs w:val="24"/>
          </w:rPr>
          <w:t>Sola-Penna M</w:t>
        </w:r>
      </w:hyperlink>
      <w:r w:rsidR="006F53C9" w:rsidRPr="00D47D1F">
        <w:rPr>
          <w:rFonts w:eastAsiaTheme="majorEastAsia" w:cs="Times New Roman"/>
          <w:b/>
          <w:bCs/>
          <w:szCs w:val="24"/>
        </w:rPr>
        <w:t>, </w:t>
      </w:r>
      <w:hyperlink r:id="rId813" w:history="1">
        <w:r w:rsidR="006F53C9" w:rsidRPr="00D47D1F">
          <w:rPr>
            <w:rFonts w:eastAsiaTheme="majorEastAsia" w:cs="Times New Roman"/>
            <w:b/>
            <w:bCs/>
            <w:szCs w:val="24"/>
          </w:rPr>
          <w:t>Da Silva D</w:t>
        </w:r>
      </w:hyperlink>
      <w:r w:rsidR="006F53C9" w:rsidRPr="00D47D1F">
        <w:rPr>
          <w:rFonts w:eastAsiaTheme="majorEastAsia" w:cs="Times New Roman"/>
          <w:b/>
          <w:bCs/>
          <w:szCs w:val="24"/>
        </w:rPr>
        <w:t>, </w:t>
      </w:r>
      <w:hyperlink r:id="rId814" w:history="1">
        <w:r w:rsidR="006F53C9" w:rsidRPr="00D47D1F">
          <w:rPr>
            <w:rFonts w:eastAsiaTheme="majorEastAsia" w:cs="Times New Roman"/>
            <w:b/>
            <w:bCs/>
            <w:szCs w:val="24"/>
          </w:rPr>
          <w:t>Coelho WS</w:t>
        </w:r>
      </w:hyperlink>
      <w:r w:rsidR="006F53C9" w:rsidRPr="00D47D1F">
        <w:rPr>
          <w:rFonts w:eastAsiaTheme="majorEastAsia" w:cs="Times New Roman"/>
          <w:b/>
          <w:bCs/>
          <w:szCs w:val="24"/>
        </w:rPr>
        <w:t>, </w:t>
      </w:r>
      <w:hyperlink r:id="rId815" w:history="1">
        <w:r w:rsidR="006F53C9" w:rsidRPr="00D47D1F">
          <w:rPr>
            <w:rFonts w:eastAsiaTheme="majorEastAsia" w:cs="Times New Roman"/>
            <w:b/>
            <w:bCs/>
            <w:szCs w:val="24"/>
          </w:rPr>
          <w:t>Marinho-Carvalho MM</w:t>
        </w:r>
      </w:hyperlink>
      <w:r w:rsidR="006F53C9" w:rsidRPr="00D47D1F">
        <w:rPr>
          <w:rFonts w:eastAsiaTheme="majorEastAsia" w:cs="Times New Roman"/>
          <w:b/>
          <w:bCs/>
          <w:szCs w:val="24"/>
        </w:rPr>
        <w:t>, </w:t>
      </w:r>
      <w:hyperlink r:id="rId816" w:history="1">
        <w:r w:rsidR="006F53C9" w:rsidRPr="00D47D1F">
          <w:rPr>
            <w:rFonts w:eastAsiaTheme="majorEastAsia" w:cs="Times New Roman"/>
            <w:b/>
            <w:bCs/>
            <w:szCs w:val="24"/>
          </w:rPr>
          <w:t>Zancan P</w:t>
        </w:r>
      </w:hyperlink>
      <w:r w:rsidR="006F53C9" w:rsidRPr="00D47D1F">
        <w:rPr>
          <w:rFonts w:eastAsiaTheme="majorEastAsia" w:cs="Times New Roman"/>
          <w:b/>
          <w:bCs/>
          <w:szCs w:val="24"/>
        </w:rPr>
        <w:t>.</w:t>
      </w:r>
      <w:r w:rsidR="006F53C9" w:rsidRPr="00D47D1F">
        <w:rPr>
          <w:rFonts w:eastAsia="Calibri" w:cs="Times New Roman"/>
          <w:szCs w:val="24"/>
        </w:rPr>
        <w:t xml:space="preserve"> Regulation of mammalian muscle type 6-phosphofructo-1-kinase and its implication for the control of the metabolism. </w:t>
      </w:r>
      <w:r w:rsidR="006F53C9" w:rsidRPr="00D47D1F">
        <w:rPr>
          <w:rFonts w:eastAsia="Calibri" w:cs="Times New Roman"/>
          <w:i/>
          <w:szCs w:val="24"/>
        </w:rPr>
        <w:t>IUBMB Life</w:t>
      </w:r>
      <w:r w:rsidR="006F53C9" w:rsidRPr="00D47D1F">
        <w:rPr>
          <w:rFonts w:eastAsia="Calibri" w:cs="Times New Roman"/>
          <w:szCs w:val="24"/>
        </w:rPr>
        <w:t xml:space="preserve"> 2010, 62 (11), 791-796.</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817" w:history="1">
        <w:r w:rsidR="006F53C9" w:rsidRPr="00D47D1F">
          <w:rPr>
            <w:rFonts w:eastAsiaTheme="majorEastAsia" w:cs="Times New Roman"/>
            <w:b/>
            <w:bCs/>
            <w:szCs w:val="24"/>
          </w:rPr>
          <w:t>Song K</w:t>
        </w:r>
      </w:hyperlink>
      <w:r w:rsidR="006F53C9" w:rsidRPr="00D47D1F">
        <w:rPr>
          <w:rFonts w:eastAsiaTheme="majorEastAsia" w:cs="Times New Roman"/>
          <w:b/>
          <w:bCs/>
          <w:szCs w:val="24"/>
        </w:rPr>
        <w:t>, </w:t>
      </w:r>
      <w:hyperlink r:id="rId818" w:history="1">
        <w:r w:rsidR="006F53C9" w:rsidRPr="00D47D1F">
          <w:rPr>
            <w:rFonts w:eastAsiaTheme="majorEastAsia" w:cs="Times New Roman"/>
            <w:b/>
            <w:bCs/>
            <w:szCs w:val="24"/>
          </w:rPr>
          <w:t>Li M</w:t>
        </w:r>
      </w:hyperlink>
      <w:r w:rsidR="006F53C9" w:rsidRPr="00D47D1F">
        <w:rPr>
          <w:rFonts w:eastAsiaTheme="majorEastAsia" w:cs="Times New Roman"/>
          <w:b/>
          <w:bCs/>
          <w:szCs w:val="24"/>
        </w:rPr>
        <w:t>, </w:t>
      </w:r>
      <w:hyperlink r:id="rId819" w:history="1">
        <w:r w:rsidR="006F53C9" w:rsidRPr="00D47D1F">
          <w:rPr>
            <w:rFonts w:eastAsiaTheme="majorEastAsia" w:cs="Times New Roman"/>
            <w:b/>
            <w:bCs/>
            <w:szCs w:val="24"/>
          </w:rPr>
          <w:t>Xu XJ</w:t>
        </w:r>
      </w:hyperlink>
      <w:r w:rsidR="006F53C9" w:rsidRPr="00D47D1F">
        <w:rPr>
          <w:rFonts w:eastAsiaTheme="majorEastAsia" w:cs="Times New Roman"/>
          <w:b/>
          <w:bCs/>
          <w:szCs w:val="24"/>
        </w:rPr>
        <w:t>, </w:t>
      </w:r>
      <w:hyperlink r:id="rId820" w:history="1">
        <w:r w:rsidR="006F53C9" w:rsidRPr="00D47D1F">
          <w:rPr>
            <w:rFonts w:eastAsiaTheme="majorEastAsia" w:cs="Times New Roman"/>
            <w:b/>
            <w:bCs/>
            <w:szCs w:val="24"/>
          </w:rPr>
          <w:t>Xuan L</w:t>
        </w:r>
      </w:hyperlink>
      <w:r w:rsidR="006F53C9" w:rsidRPr="00D47D1F">
        <w:rPr>
          <w:rFonts w:eastAsiaTheme="majorEastAsia" w:cs="Times New Roman"/>
          <w:b/>
          <w:bCs/>
          <w:szCs w:val="24"/>
        </w:rPr>
        <w:t>, </w:t>
      </w:r>
      <w:hyperlink r:id="rId821" w:history="1">
        <w:r w:rsidR="006F53C9" w:rsidRPr="00D47D1F">
          <w:rPr>
            <w:rFonts w:eastAsiaTheme="majorEastAsia" w:cs="Times New Roman"/>
            <w:b/>
            <w:bCs/>
            <w:szCs w:val="24"/>
          </w:rPr>
          <w:t>Huang GN</w:t>
        </w:r>
      </w:hyperlink>
      <w:r w:rsidR="006F53C9" w:rsidRPr="00D47D1F">
        <w:rPr>
          <w:rFonts w:eastAsiaTheme="majorEastAsia" w:cs="Times New Roman"/>
          <w:b/>
          <w:bCs/>
          <w:szCs w:val="24"/>
        </w:rPr>
        <w:t>, </w:t>
      </w:r>
      <w:hyperlink r:id="rId822" w:history="1">
        <w:r w:rsidR="006F53C9" w:rsidRPr="00D47D1F">
          <w:rPr>
            <w:rFonts w:eastAsiaTheme="majorEastAsia" w:cs="Times New Roman"/>
            <w:b/>
            <w:bCs/>
            <w:szCs w:val="24"/>
          </w:rPr>
          <w:t>Song XL</w:t>
        </w:r>
      </w:hyperlink>
      <w:r w:rsidR="006F53C9" w:rsidRPr="00D47D1F">
        <w:rPr>
          <w:rFonts w:eastAsiaTheme="majorEastAsia" w:cs="Times New Roman"/>
          <w:b/>
          <w:bCs/>
          <w:szCs w:val="24"/>
        </w:rPr>
        <w:t>, </w:t>
      </w:r>
      <w:hyperlink r:id="rId823" w:history="1">
        <w:r w:rsidR="006F53C9" w:rsidRPr="00D47D1F">
          <w:rPr>
            <w:rFonts w:eastAsiaTheme="majorEastAsia" w:cs="Times New Roman"/>
            <w:b/>
            <w:bCs/>
            <w:szCs w:val="24"/>
          </w:rPr>
          <w:t>Liu QF</w:t>
        </w:r>
      </w:hyperlink>
      <w:r w:rsidR="006F53C9" w:rsidRPr="00D47D1F">
        <w:rPr>
          <w:rFonts w:eastAsiaTheme="majorEastAsia" w:cs="Times New Roman"/>
          <w:b/>
          <w:bCs/>
          <w:szCs w:val="24"/>
        </w:rPr>
        <w:t>.</w:t>
      </w:r>
      <w:r w:rsidR="006F53C9" w:rsidRPr="00D47D1F">
        <w:rPr>
          <w:rFonts w:eastAsiaTheme="majorEastAsia" w:cstheme="majorBidi"/>
          <w:color w:val="365F91" w:themeColor="accent1" w:themeShade="BF"/>
          <w:szCs w:val="24"/>
        </w:rPr>
        <w:t xml:space="preserve"> </w:t>
      </w:r>
      <w:r w:rsidR="006F53C9" w:rsidRPr="00D47D1F">
        <w:rPr>
          <w:rFonts w:eastAsia="Calibri" w:cs="Times New Roman"/>
          <w:szCs w:val="24"/>
        </w:rPr>
        <w:t xml:space="preserve">HIF-1α and GLUT1 gene expression is associated with chemoresistance of acute myeloid leukemia. </w:t>
      </w:r>
      <w:r w:rsidR="006F53C9" w:rsidRPr="00D47D1F">
        <w:rPr>
          <w:rFonts w:eastAsia="Calibri" w:cs="Times New Roman"/>
          <w:i/>
          <w:szCs w:val="24"/>
        </w:rPr>
        <w:t>Asian Pacific journal of cancer prevention</w:t>
      </w:r>
      <w:r w:rsidR="006F53C9" w:rsidRPr="00D47D1F">
        <w:rPr>
          <w:rFonts w:eastAsia="Calibri" w:cs="Times New Roman"/>
          <w:szCs w:val="24"/>
        </w:rPr>
        <w:t xml:space="preserve"> 2014, 15 (4),1823-1829.</w:t>
      </w:r>
    </w:p>
    <w:p w:rsidR="006F53C9" w:rsidRPr="006F53C9" w:rsidRDefault="0037177D" w:rsidP="00514F54">
      <w:pPr>
        <w:keepNext/>
        <w:keepLines/>
        <w:shd w:val="clear" w:color="auto" w:fill="FFFFFF"/>
        <w:spacing w:before="120" w:after="240"/>
        <w:ind w:firstLine="0"/>
        <w:outlineLvl w:val="0"/>
        <w:rPr>
          <w:rFonts w:eastAsia="Calibri" w:cs="Times New Roman"/>
          <w:szCs w:val="24"/>
        </w:rPr>
      </w:pPr>
      <w:hyperlink r:id="rId824" w:history="1">
        <w:r w:rsidR="006F53C9" w:rsidRPr="006F53C9">
          <w:rPr>
            <w:rFonts w:eastAsia="Calibri" w:cs="Times New Roman"/>
            <w:b/>
            <w:szCs w:val="24"/>
          </w:rPr>
          <w:t>Sonveaux P</w:t>
        </w:r>
      </w:hyperlink>
      <w:r w:rsidR="006F53C9" w:rsidRPr="006F53C9">
        <w:rPr>
          <w:rFonts w:eastAsia="Calibri" w:cs="Times New Roman"/>
          <w:b/>
          <w:szCs w:val="24"/>
        </w:rPr>
        <w:t>, </w:t>
      </w:r>
      <w:hyperlink r:id="rId825" w:history="1">
        <w:r w:rsidR="006F53C9" w:rsidRPr="006F53C9">
          <w:rPr>
            <w:rFonts w:eastAsia="Calibri" w:cs="Times New Roman"/>
            <w:b/>
            <w:szCs w:val="24"/>
          </w:rPr>
          <w:t>Végran F</w:t>
        </w:r>
      </w:hyperlink>
      <w:r w:rsidR="006F53C9" w:rsidRPr="006F53C9">
        <w:rPr>
          <w:rFonts w:eastAsia="Calibri" w:cs="Times New Roman"/>
          <w:b/>
          <w:szCs w:val="24"/>
        </w:rPr>
        <w:t>, </w:t>
      </w:r>
      <w:hyperlink r:id="rId826" w:history="1">
        <w:r w:rsidR="006F53C9" w:rsidRPr="006F53C9">
          <w:rPr>
            <w:rFonts w:eastAsia="Calibri" w:cs="Times New Roman"/>
            <w:b/>
            <w:szCs w:val="24"/>
          </w:rPr>
          <w:t>Schroeder T</w:t>
        </w:r>
      </w:hyperlink>
      <w:r w:rsidR="006F53C9" w:rsidRPr="006F53C9">
        <w:rPr>
          <w:rFonts w:eastAsia="Calibri" w:cs="Times New Roman"/>
          <w:b/>
          <w:szCs w:val="24"/>
        </w:rPr>
        <w:t>, </w:t>
      </w:r>
      <w:hyperlink r:id="rId827" w:history="1">
        <w:r w:rsidR="006F53C9" w:rsidRPr="006F53C9">
          <w:rPr>
            <w:rFonts w:eastAsia="Calibri" w:cs="Times New Roman"/>
            <w:b/>
            <w:szCs w:val="24"/>
          </w:rPr>
          <w:t>Wergin MC</w:t>
        </w:r>
      </w:hyperlink>
      <w:r w:rsidR="006F53C9" w:rsidRPr="006F53C9">
        <w:rPr>
          <w:rFonts w:eastAsia="Calibri" w:cs="Times New Roman"/>
          <w:b/>
          <w:szCs w:val="24"/>
        </w:rPr>
        <w:t>, </w:t>
      </w:r>
      <w:hyperlink r:id="rId828" w:history="1">
        <w:r w:rsidR="006F53C9" w:rsidRPr="006F53C9">
          <w:rPr>
            <w:rFonts w:eastAsia="Calibri" w:cs="Times New Roman"/>
            <w:b/>
            <w:szCs w:val="24"/>
          </w:rPr>
          <w:t>Verrax J</w:t>
        </w:r>
      </w:hyperlink>
      <w:r w:rsidR="006F53C9" w:rsidRPr="006F53C9">
        <w:rPr>
          <w:rFonts w:eastAsia="Calibri" w:cs="Times New Roman"/>
          <w:b/>
          <w:szCs w:val="24"/>
        </w:rPr>
        <w:t>, </w:t>
      </w:r>
      <w:hyperlink r:id="rId829" w:history="1">
        <w:r w:rsidR="006F53C9" w:rsidRPr="006F53C9">
          <w:rPr>
            <w:rFonts w:eastAsia="Calibri" w:cs="Times New Roman"/>
            <w:b/>
            <w:szCs w:val="24"/>
          </w:rPr>
          <w:t>Rabbani ZN</w:t>
        </w:r>
      </w:hyperlink>
      <w:r w:rsidR="006F53C9" w:rsidRPr="006F53C9">
        <w:rPr>
          <w:rFonts w:eastAsia="Calibri" w:cs="Times New Roman"/>
          <w:b/>
          <w:szCs w:val="24"/>
        </w:rPr>
        <w:t>, </w:t>
      </w:r>
      <w:hyperlink r:id="rId830" w:history="1">
        <w:r w:rsidR="006F53C9" w:rsidRPr="006F53C9">
          <w:rPr>
            <w:rFonts w:eastAsia="Calibri" w:cs="Times New Roman"/>
            <w:b/>
            <w:szCs w:val="24"/>
          </w:rPr>
          <w:t>De Saedeleer CJ</w:t>
        </w:r>
      </w:hyperlink>
      <w:r w:rsidR="006F53C9" w:rsidRPr="006F53C9">
        <w:rPr>
          <w:rFonts w:eastAsia="Calibri" w:cs="Times New Roman"/>
          <w:b/>
          <w:szCs w:val="24"/>
        </w:rPr>
        <w:t>, </w:t>
      </w:r>
      <w:hyperlink r:id="rId831" w:history="1">
        <w:r w:rsidR="006F53C9" w:rsidRPr="006F53C9">
          <w:rPr>
            <w:rFonts w:eastAsia="Calibri" w:cs="Times New Roman"/>
            <w:b/>
            <w:szCs w:val="24"/>
          </w:rPr>
          <w:t>Kennedy KM</w:t>
        </w:r>
      </w:hyperlink>
      <w:r w:rsidR="006F53C9" w:rsidRPr="006F53C9">
        <w:rPr>
          <w:rFonts w:eastAsia="Calibri" w:cs="Times New Roman"/>
          <w:b/>
          <w:szCs w:val="24"/>
        </w:rPr>
        <w:t>, </w:t>
      </w:r>
      <w:hyperlink r:id="rId832" w:history="1">
        <w:r w:rsidR="006F53C9" w:rsidRPr="006F53C9">
          <w:rPr>
            <w:rFonts w:eastAsia="Calibri" w:cs="Times New Roman"/>
            <w:b/>
            <w:szCs w:val="24"/>
          </w:rPr>
          <w:t>Diepart C</w:t>
        </w:r>
      </w:hyperlink>
      <w:r w:rsidR="006F53C9" w:rsidRPr="006F53C9">
        <w:rPr>
          <w:rFonts w:eastAsia="Calibri" w:cs="Times New Roman"/>
          <w:b/>
          <w:szCs w:val="24"/>
        </w:rPr>
        <w:t>, </w:t>
      </w:r>
      <w:hyperlink r:id="rId833" w:history="1">
        <w:r w:rsidR="006F53C9" w:rsidRPr="006F53C9">
          <w:rPr>
            <w:rFonts w:eastAsia="Calibri" w:cs="Times New Roman"/>
            <w:b/>
            <w:szCs w:val="24"/>
          </w:rPr>
          <w:t>Jordan BF</w:t>
        </w:r>
      </w:hyperlink>
      <w:r w:rsidR="006F53C9" w:rsidRPr="006F53C9">
        <w:rPr>
          <w:rFonts w:eastAsia="Calibri" w:cs="Times New Roman"/>
          <w:b/>
          <w:szCs w:val="24"/>
        </w:rPr>
        <w:t>, </w:t>
      </w:r>
      <w:hyperlink r:id="rId834" w:history="1">
        <w:r w:rsidR="006F53C9" w:rsidRPr="006F53C9">
          <w:rPr>
            <w:rFonts w:eastAsia="Calibri" w:cs="Times New Roman"/>
            <w:b/>
            <w:szCs w:val="24"/>
          </w:rPr>
          <w:t>Kelley MJ</w:t>
        </w:r>
      </w:hyperlink>
      <w:r w:rsidR="006F53C9" w:rsidRPr="006F53C9">
        <w:rPr>
          <w:rFonts w:eastAsia="Calibri" w:cs="Times New Roman"/>
          <w:b/>
          <w:szCs w:val="24"/>
        </w:rPr>
        <w:t>, </w:t>
      </w:r>
      <w:hyperlink r:id="rId835" w:history="1">
        <w:r w:rsidR="006F53C9" w:rsidRPr="006F53C9">
          <w:rPr>
            <w:rFonts w:eastAsia="Calibri" w:cs="Times New Roman"/>
            <w:b/>
            <w:szCs w:val="24"/>
          </w:rPr>
          <w:t>Gallez B</w:t>
        </w:r>
      </w:hyperlink>
      <w:r w:rsidR="006F53C9" w:rsidRPr="006F53C9">
        <w:rPr>
          <w:rFonts w:eastAsia="Calibri" w:cs="Times New Roman"/>
          <w:b/>
          <w:szCs w:val="24"/>
        </w:rPr>
        <w:t>, </w:t>
      </w:r>
      <w:hyperlink r:id="rId836" w:history="1">
        <w:r w:rsidR="006F53C9" w:rsidRPr="006F53C9">
          <w:rPr>
            <w:rFonts w:eastAsia="Calibri" w:cs="Times New Roman"/>
            <w:b/>
            <w:szCs w:val="24"/>
          </w:rPr>
          <w:t>Wahl ML</w:t>
        </w:r>
      </w:hyperlink>
      <w:r w:rsidR="006F53C9" w:rsidRPr="006F53C9">
        <w:rPr>
          <w:rFonts w:eastAsia="Calibri" w:cs="Times New Roman"/>
          <w:b/>
          <w:szCs w:val="24"/>
        </w:rPr>
        <w:t>, </w:t>
      </w:r>
      <w:hyperlink r:id="rId837" w:history="1">
        <w:r w:rsidR="006F53C9" w:rsidRPr="006F53C9">
          <w:rPr>
            <w:rFonts w:eastAsia="Calibri" w:cs="Times New Roman"/>
            <w:b/>
            <w:szCs w:val="24"/>
          </w:rPr>
          <w:t>Feron O</w:t>
        </w:r>
      </w:hyperlink>
      <w:r w:rsidR="006F53C9" w:rsidRPr="006F53C9">
        <w:rPr>
          <w:rFonts w:eastAsia="Calibri" w:cs="Times New Roman"/>
          <w:b/>
          <w:szCs w:val="24"/>
        </w:rPr>
        <w:t>, </w:t>
      </w:r>
      <w:hyperlink r:id="rId838" w:history="1">
        <w:r w:rsidR="006F53C9" w:rsidRPr="006F53C9">
          <w:rPr>
            <w:rFonts w:eastAsia="Calibri" w:cs="Times New Roman"/>
            <w:b/>
            <w:szCs w:val="24"/>
          </w:rPr>
          <w:t>Dewhirst MW</w:t>
        </w:r>
      </w:hyperlink>
      <w:r w:rsidR="006F53C9" w:rsidRPr="006F53C9">
        <w:rPr>
          <w:rFonts w:eastAsia="Calibri" w:cs="Times New Roman"/>
          <w:b/>
          <w:szCs w:val="24"/>
        </w:rPr>
        <w:t>.</w:t>
      </w:r>
      <w:r w:rsidR="006F53C9" w:rsidRPr="006F53C9">
        <w:rPr>
          <w:rFonts w:eastAsia="Calibri" w:cs="Times New Roman"/>
          <w:szCs w:val="24"/>
        </w:rPr>
        <w:t xml:space="preserve"> Targeting lactate-fueled respiration selectively kills hypoxic tumor cells in mice. </w:t>
      </w:r>
      <w:r w:rsidR="006F53C9" w:rsidRPr="006F53C9">
        <w:rPr>
          <w:rFonts w:eastAsia="Calibri" w:cs="Times New Roman"/>
          <w:i/>
          <w:szCs w:val="24"/>
        </w:rPr>
        <w:t>The Journal of Clinical Investigation</w:t>
      </w:r>
      <w:r w:rsidR="006F53C9" w:rsidRPr="006F53C9">
        <w:rPr>
          <w:rFonts w:eastAsia="Calibri" w:cs="Times New Roman"/>
          <w:szCs w:val="24"/>
        </w:rPr>
        <w:t xml:space="preserve"> 2008, 118(12),3930-3942.</w:t>
      </w:r>
    </w:p>
    <w:p w:rsidR="006F53C9" w:rsidRPr="00D47D1F" w:rsidRDefault="006F53C9" w:rsidP="00514F54">
      <w:pPr>
        <w:spacing w:before="120" w:after="240"/>
        <w:ind w:firstLine="0"/>
        <w:rPr>
          <w:rFonts w:eastAsia="Calibri" w:cs="Times New Roman"/>
          <w:szCs w:val="24"/>
        </w:rPr>
      </w:pPr>
      <w:r w:rsidRPr="00D47D1F">
        <w:rPr>
          <w:rFonts w:eastAsia="Calibri" w:cs="Times New Roman"/>
          <w:b/>
          <w:szCs w:val="24"/>
        </w:rPr>
        <w:t>Soule HD, Vazguez J, Long A, Albert S and Brennan M.</w:t>
      </w:r>
      <w:r w:rsidRPr="00D47D1F">
        <w:rPr>
          <w:rFonts w:ascii="Calibri" w:eastAsia="Calibri" w:hAnsi="Calibri" w:cs="Times New Roman"/>
          <w:sz w:val="22"/>
        </w:rPr>
        <w:t xml:space="preserve"> </w:t>
      </w:r>
      <w:r w:rsidRPr="00D47D1F">
        <w:rPr>
          <w:rFonts w:eastAsia="Calibri" w:cs="Times New Roman"/>
          <w:szCs w:val="24"/>
        </w:rPr>
        <w:t xml:space="preserve">A human cell line from a pleural effusion derived from a breast carcinoma. </w:t>
      </w:r>
      <w:r w:rsidRPr="00D47D1F">
        <w:rPr>
          <w:rFonts w:eastAsia="Calibri" w:cs="Times New Roman"/>
          <w:i/>
          <w:szCs w:val="24"/>
        </w:rPr>
        <w:t>Journal of the National Cancer Institute</w:t>
      </w:r>
      <w:r w:rsidRPr="00D47D1F">
        <w:rPr>
          <w:rFonts w:eastAsia="Calibri" w:cs="Times New Roman"/>
          <w:szCs w:val="24"/>
        </w:rPr>
        <w:t xml:space="preserve"> 1973, 51, 1409-1416. </w:t>
      </w:r>
    </w:p>
    <w:p w:rsidR="006F53C9" w:rsidRPr="006F53C9" w:rsidRDefault="0037177D" w:rsidP="00514F54">
      <w:pPr>
        <w:keepNext/>
        <w:keepLines/>
        <w:shd w:val="clear" w:color="auto" w:fill="FFFFFF"/>
        <w:spacing w:before="120" w:after="240"/>
        <w:ind w:firstLine="0"/>
        <w:outlineLvl w:val="0"/>
        <w:rPr>
          <w:rFonts w:eastAsia="Calibri" w:cs="Times New Roman"/>
          <w:szCs w:val="24"/>
        </w:rPr>
      </w:pPr>
      <w:hyperlink r:id="rId839" w:history="1">
        <w:r w:rsidR="006F53C9" w:rsidRPr="006F53C9">
          <w:rPr>
            <w:rFonts w:eastAsia="Calibri" w:cs="Times New Roman"/>
            <w:b/>
            <w:szCs w:val="24"/>
          </w:rPr>
          <w:t>Spoden GA</w:t>
        </w:r>
      </w:hyperlink>
      <w:r w:rsidR="006F53C9" w:rsidRPr="006F53C9">
        <w:rPr>
          <w:rFonts w:eastAsia="Calibri" w:cs="Times New Roman"/>
          <w:b/>
          <w:szCs w:val="24"/>
        </w:rPr>
        <w:t>, </w:t>
      </w:r>
      <w:hyperlink r:id="rId840" w:history="1">
        <w:r w:rsidR="006F53C9" w:rsidRPr="006F53C9">
          <w:rPr>
            <w:rFonts w:eastAsia="Calibri" w:cs="Times New Roman"/>
            <w:b/>
            <w:szCs w:val="24"/>
          </w:rPr>
          <w:t>Rostek U</w:t>
        </w:r>
      </w:hyperlink>
      <w:r w:rsidR="006F53C9" w:rsidRPr="006F53C9">
        <w:rPr>
          <w:rFonts w:eastAsia="Calibri" w:cs="Times New Roman"/>
          <w:b/>
          <w:szCs w:val="24"/>
        </w:rPr>
        <w:t>, </w:t>
      </w:r>
      <w:hyperlink r:id="rId841" w:history="1">
        <w:r w:rsidR="006F53C9" w:rsidRPr="006F53C9">
          <w:rPr>
            <w:rFonts w:eastAsia="Calibri" w:cs="Times New Roman"/>
            <w:b/>
            <w:szCs w:val="24"/>
          </w:rPr>
          <w:t>Lechner S</w:t>
        </w:r>
      </w:hyperlink>
      <w:r w:rsidR="006F53C9" w:rsidRPr="006F53C9">
        <w:rPr>
          <w:rFonts w:eastAsia="Calibri" w:cs="Times New Roman"/>
          <w:b/>
          <w:szCs w:val="24"/>
        </w:rPr>
        <w:t>, </w:t>
      </w:r>
      <w:hyperlink r:id="rId842" w:history="1">
        <w:r w:rsidR="006F53C9" w:rsidRPr="006F53C9">
          <w:rPr>
            <w:rFonts w:eastAsia="Calibri" w:cs="Times New Roman"/>
            <w:b/>
            <w:szCs w:val="24"/>
          </w:rPr>
          <w:t>Mitterberger M</w:t>
        </w:r>
      </w:hyperlink>
      <w:r w:rsidR="006F53C9" w:rsidRPr="006F53C9">
        <w:rPr>
          <w:rFonts w:eastAsia="Calibri" w:cs="Times New Roman"/>
          <w:b/>
          <w:szCs w:val="24"/>
        </w:rPr>
        <w:t>, </w:t>
      </w:r>
      <w:hyperlink r:id="rId843" w:history="1">
        <w:r w:rsidR="006F53C9" w:rsidRPr="006F53C9">
          <w:rPr>
            <w:rFonts w:eastAsia="Calibri" w:cs="Times New Roman"/>
            <w:b/>
            <w:szCs w:val="24"/>
          </w:rPr>
          <w:t>Mazurek S</w:t>
        </w:r>
      </w:hyperlink>
      <w:r w:rsidR="006F53C9" w:rsidRPr="006F53C9">
        <w:rPr>
          <w:rFonts w:eastAsia="Calibri" w:cs="Times New Roman"/>
          <w:b/>
          <w:szCs w:val="24"/>
        </w:rPr>
        <w:t>, </w:t>
      </w:r>
      <w:hyperlink r:id="rId844" w:history="1">
        <w:r w:rsidR="006F53C9" w:rsidRPr="006F53C9">
          <w:rPr>
            <w:rFonts w:eastAsia="Calibri" w:cs="Times New Roman"/>
            <w:b/>
            <w:szCs w:val="24"/>
          </w:rPr>
          <w:t>Zwerschke W</w:t>
        </w:r>
      </w:hyperlink>
      <w:r w:rsidR="006F53C9" w:rsidRPr="006F53C9">
        <w:rPr>
          <w:rFonts w:eastAsia="Calibri" w:cs="Times New Roman"/>
          <w:b/>
          <w:szCs w:val="24"/>
        </w:rPr>
        <w:t>.</w:t>
      </w:r>
      <w:r w:rsidR="006F53C9" w:rsidRPr="006F53C9">
        <w:rPr>
          <w:rFonts w:eastAsia="Calibri" w:cs="Times New Roman"/>
          <w:szCs w:val="24"/>
        </w:rPr>
        <w:t xml:space="preserve"> Pyruvate kinase isoenzyme M2 is a glycolytic sensor differentially regulating cell proliferation, cell size and apoptotic cell death dependent on glucose supply</w:t>
      </w:r>
      <w:r w:rsidR="006F53C9" w:rsidRPr="006F53C9">
        <w:rPr>
          <w:rFonts w:eastAsia="Calibri" w:cs="Times New Roman"/>
          <w:i/>
          <w:szCs w:val="24"/>
        </w:rPr>
        <w:t>. Experimental Cell Research</w:t>
      </w:r>
      <w:r w:rsidR="006F53C9" w:rsidRPr="006F53C9">
        <w:rPr>
          <w:rFonts w:eastAsia="Calibri" w:cs="Times New Roman"/>
          <w:szCs w:val="24"/>
        </w:rPr>
        <w:t xml:space="preserve"> 2009, 315(16), 2765-2774.</w:t>
      </w:r>
    </w:p>
    <w:p w:rsidR="006F53C9" w:rsidRPr="00D47D1F" w:rsidRDefault="006F53C9" w:rsidP="00514F54">
      <w:pPr>
        <w:autoSpaceDE w:val="0"/>
        <w:autoSpaceDN w:val="0"/>
        <w:adjustRightInd w:val="0"/>
        <w:spacing w:before="120" w:after="240"/>
        <w:ind w:firstLine="0"/>
        <w:rPr>
          <w:rFonts w:eastAsia="Calibri" w:cs="Times New Roman"/>
          <w:szCs w:val="24"/>
        </w:rPr>
      </w:pPr>
      <w:r w:rsidRPr="00D47D1F">
        <w:rPr>
          <w:rFonts w:eastAsiaTheme="majorEastAsia" w:cs="Times New Roman"/>
          <w:b/>
          <w:bCs/>
          <w:szCs w:val="24"/>
        </w:rPr>
        <w:t xml:space="preserve">Stanton RC. </w:t>
      </w:r>
      <w:r w:rsidRPr="00D47D1F">
        <w:rPr>
          <w:rFonts w:eastAsia="Calibri" w:cs="Times New Roman"/>
          <w:szCs w:val="24"/>
        </w:rPr>
        <w:t xml:space="preserve">Glucose-6-phosphate dehydrogenase, NADPH, and cell survival. </w:t>
      </w:r>
      <w:r w:rsidRPr="00D47D1F">
        <w:rPr>
          <w:rFonts w:eastAsia="Calibri" w:cs="Times New Roman"/>
          <w:i/>
          <w:szCs w:val="24"/>
        </w:rPr>
        <w:t>IUBMB Life</w:t>
      </w:r>
      <w:r w:rsidRPr="00D47D1F">
        <w:rPr>
          <w:rFonts w:eastAsia="Calibri" w:cs="Times New Roman"/>
          <w:szCs w:val="24"/>
        </w:rPr>
        <w:t xml:space="preserve"> 2012,  64, 362</w:t>
      </w:r>
      <w:r w:rsidRPr="00D47D1F">
        <w:rPr>
          <w:rFonts w:eastAsia="Calibri" w:cs="Times New Roman" w:hint="eastAsia"/>
          <w:szCs w:val="24"/>
        </w:rPr>
        <w:t>–</w:t>
      </w:r>
      <w:r w:rsidRPr="00D47D1F">
        <w:rPr>
          <w:rFonts w:eastAsia="Calibri" w:cs="Times New Roman"/>
          <w:szCs w:val="24"/>
        </w:rPr>
        <w:t>369.</w:t>
      </w:r>
    </w:p>
    <w:p w:rsidR="00193A10" w:rsidRDefault="006F53C9" w:rsidP="00193A10">
      <w:pPr>
        <w:spacing w:before="120" w:after="240"/>
        <w:ind w:firstLine="0"/>
        <w:rPr>
          <w:rFonts w:eastAsia="Calibri" w:cs="Times New Roman"/>
          <w:szCs w:val="24"/>
        </w:rPr>
      </w:pPr>
      <w:r w:rsidRPr="00D47D1F">
        <w:rPr>
          <w:rFonts w:eastAsia="Calibri" w:cs="Times New Roman"/>
          <w:b/>
          <w:szCs w:val="24"/>
        </w:rPr>
        <w:t>Steen KH, Issberner U, Reeh PW.</w:t>
      </w:r>
      <w:r w:rsidRPr="00D47D1F">
        <w:rPr>
          <w:rFonts w:eastAsia="Calibri" w:cs="Times New Roman"/>
          <w:szCs w:val="24"/>
        </w:rPr>
        <w:t xml:space="preserve"> Pain due to experimental acidosis in human skin: evidence for non-adapting nociceptor excitation</w:t>
      </w:r>
      <w:r w:rsidRPr="00D47D1F">
        <w:rPr>
          <w:rFonts w:eastAsia="Calibri" w:cs="Times New Roman"/>
          <w:i/>
          <w:szCs w:val="24"/>
        </w:rPr>
        <w:t>. Neuroscience Letters</w:t>
      </w:r>
      <w:r w:rsidRPr="00D47D1F">
        <w:rPr>
          <w:rFonts w:eastAsia="Calibri" w:cs="Times New Roman"/>
          <w:szCs w:val="24"/>
        </w:rPr>
        <w:t xml:space="preserve"> 1995, 199(1),29–32.</w:t>
      </w:r>
    </w:p>
    <w:p w:rsidR="006F53C9" w:rsidRPr="00D47D1F" w:rsidRDefault="0037177D" w:rsidP="00193A10">
      <w:pPr>
        <w:spacing w:before="120" w:after="240"/>
        <w:ind w:firstLine="0"/>
        <w:rPr>
          <w:rFonts w:eastAsia="Calibri" w:cs="Times New Roman"/>
          <w:szCs w:val="24"/>
        </w:rPr>
      </w:pPr>
      <w:hyperlink r:id="rId845" w:history="1">
        <w:r w:rsidR="006F53C9" w:rsidRPr="00D47D1F">
          <w:rPr>
            <w:rFonts w:eastAsia="Calibri" w:cs="Times New Roman"/>
            <w:b/>
            <w:szCs w:val="24"/>
          </w:rPr>
          <w:t>Sumiyoshi Y</w:t>
        </w:r>
      </w:hyperlink>
      <w:r w:rsidR="006F53C9" w:rsidRPr="00D47D1F">
        <w:rPr>
          <w:rFonts w:eastAsia="Calibri" w:cs="Times New Roman"/>
          <w:b/>
          <w:szCs w:val="24"/>
        </w:rPr>
        <w:t>, </w:t>
      </w:r>
      <w:hyperlink r:id="rId846" w:history="1">
        <w:r w:rsidR="006F53C9" w:rsidRPr="00D47D1F">
          <w:rPr>
            <w:rFonts w:eastAsia="Calibri" w:cs="Times New Roman"/>
            <w:b/>
            <w:szCs w:val="24"/>
          </w:rPr>
          <w:t>Kakeji Y</w:t>
        </w:r>
      </w:hyperlink>
      <w:r w:rsidR="006F53C9" w:rsidRPr="00D47D1F">
        <w:rPr>
          <w:rFonts w:eastAsia="Calibri" w:cs="Times New Roman"/>
          <w:b/>
          <w:szCs w:val="24"/>
        </w:rPr>
        <w:t>, </w:t>
      </w:r>
      <w:hyperlink r:id="rId847" w:history="1">
        <w:r w:rsidR="006F53C9" w:rsidRPr="00D47D1F">
          <w:rPr>
            <w:rFonts w:eastAsia="Calibri" w:cs="Times New Roman"/>
            <w:b/>
            <w:szCs w:val="24"/>
          </w:rPr>
          <w:t>Egashira A</w:t>
        </w:r>
      </w:hyperlink>
      <w:r w:rsidR="006F53C9" w:rsidRPr="00D47D1F">
        <w:rPr>
          <w:rFonts w:eastAsia="Calibri" w:cs="Times New Roman"/>
          <w:b/>
          <w:szCs w:val="24"/>
        </w:rPr>
        <w:t>, </w:t>
      </w:r>
      <w:hyperlink r:id="rId848" w:history="1">
        <w:r w:rsidR="006F53C9" w:rsidRPr="00D47D1F">
          <w:rPr>
            <w:rFonts w:eastAsia="Calibri" w:cs="Times New Roman"/>
            <w:b/>
            <w:szCs w:val="24"/>
          </w:rPr>
          <w:t>Mizokami K</w:t>
        </w:r>
      </w:hyperlink>
      <w:r w:rsidR="006F53C9" w:rsidRPr="00D47D1F">
        <w:rPr>
          <w:rFonts w:eastAsia="Calibri" w:cs="Times New Roman"/>
          <w:b/>
          <w:szCs w:val="24"/>
        </w:rPr>
        <w:t>, </w:t>
      </w:r>
      <w:hyperlink r:id="rId849" w:history="1">
        <w:r w:rsidR="006F53C9" w:rsidRPr="00D47D1F">
          <w:rPr>
            <w:rFonts w:eastAsia="Calibri" w:cs="Times New Roman"/>
            <w:b/>
            <w:szCs w:val="24"/>
          </w:rPr>
          <w:t>Orita H</w:t>
        </w:r>
      </w:hyperlink>
      <w:r w:rsidR="006F53C9" w:rsidRPr="00D47D1F">
        <w:rPr>
          <w:rFonts w:eastAsia="Calibri" w:cs="Times New Roman"/>
          <w:b/>
          <w:szCs w:val="24"/>
        </w:rPr>
        <w:t>, </w:t>
      </w:r>
      <w:hyperlink r:id="rId850" w:history="1">
        <w:r w:rsidR="006F53C9" w:rsidRPr="00D47D1F">
          <w:rPr>
            <w:rFonts w:eastAsia="Calibri" w:cs="Times New Roman"/>
            <w:b/>
            <w:szCs w:val="24"/>
          </w:rPr>
          <w:t>Maehara Y</w:t>
        </w:r>
      </w:hyperlink>
      <w:r w:rsidR="006F53C9" w:rsidRPr="00D47D1F">
        <w:rPr>
          <w:rFonts w:eastAsia="Calibri" w:cs="Times New Roman"/>
          <w:b/>
          <w:szCs w:val="24"/>
        </w:rPr>
        <w:t>.</w:t>
      </w:r>
      <w:r w:rsidR="006F53C9" w:rsidRPr="00D47D1F">
        <w:rPr>
          <w:rFonts w:eastAsia="Calibri" w:cs="Times New Roman"/>
          <w:szCs w:val="24"/>
        </w:rPr>
        <w:t xml:space="preserve"> Overexpression of hypoxia-inducible factor 1alpha and p53 is a marker for an unfavorable prognosis in gastric cancer. </w:t>
      </w:r>
      <w:r w:rsidR="006F53C9" w:rsidRPr="00D47D1F">
        <w:rPr>
          <w:rFonts w:eastAsia="Calibri" w:cs="Times New Roman"/>
          <w:i/>
          <w:szCs w:val="24"/>
        </w:rPr>
        <w:t>Clinical Cancer Research</w:t>
      </w:r>
      <w:r w:rsidR="006F53C9" w:rsidRPr="00D47D1F">
        <w:rPr>
          <w:rFonts w:eastAsia="Calibri" w:cs="Times New Roman"/>
          <w:szCs w:val="24"/>
        </w:rPr>
        <w:t xml:space="preserve"> 2006, 12 (17), 5112-5117.</w:t>
      </w:r>
    </w:p>
    <w:p w:rsidR="006F53C9" w:rsidRPr="00D47D1F" w:rsidRDefault="006F53C9" w:rsidP="00514F54">
      <w:pPr>
        <w:keepNext/>
        <w:keepLines/>
        <w:shd w:val="clear" w:color="auto" w:fill="FFFFFF"/>
        <w:spacing w:before="120" w:after="240"/>
        <w:ind w:firstLine="0"/>
        <w:textAlignment w:val="baseline"/>
        <w:outlineLvl w:val="0"/>
        <w:rPr>
          <w:rFonts w:eastAsia="Calibri" w:cs="Times New Roman"/>
          <w:szCs w:val="24"/>
        </w:rPr>
      </w:pPr>
      <w:r w:rsidRPr="00D47D1F">
        <w:rPr>
          <w:rFonts w:eastAsia="Calibri" w:cs="Times New Roman"/>
          <w:b/>
          <w:szCs w:val="24"/>
        </w:rPr>
        <w:t>Sun L, Suo C, Li S, Zhang H, Gao P.</w:t>
      </w:r>
      <w:r w:rsidRPr="00D47D1F">
        <w:rPr>
          <w:rFonts w:eastAsia="Calibri" w:cs="Times New Roman"/>
          <w:szCs w:val="24"/>
        </w:rPr>
        <w:t xml:space="preserve"> Metabolic reprogramming for cancer cells and their microenvironment: Beyond the Warburg Effect. </w:t>
      </w:r>
      <w:r w:rsidRPr="00D47D1F">
        <w:rPr>
          <w:rFonts w:eastAsia="Calibri" w:cs="Times New Roman"/>
          <w:i/>
          <w:szCs w:val="24"/>
        </w:rPr>
        <w:t xml:space="preserve">Biochimica et Biophysica Acta - Reviews on Cancer </w:t>
      </w:r>
      <w:r w:rsidRPr="00D47D1F">
        <w:rPr>
          <w:rFonts w:eastAsia="Calibri" w:cs="Times New Roman"/>
          <w:szCs w:val="24"/>
        </w:rPr>
        <w:t>2018, 1870, 51-66.</w:t>
      </w:r>
    </w:p>
    <w:p w:rsidR="006F53C9" w:rsidRPr="00D47D1F" w:rsidRDefault="006F53C9" w:rsidP="00514F54">
      <w:pPr>
        <w:spacing w:before="120" w:after="240"/>
        <w:ind w:firstLine="0"/>
        <w:rPr>
          <w:rFonts w:eastAsia="Calibri" w:cs="Times New Roman"/>
          <w:szCs w:val="24"/>
        </w:rPr>
      </w:pPr>
      <w:r w:rsidRPr="00D47D1F">
        <w:rPr>
          <w:rFonts w:eastAsia="Calibri" w:cs="Times New Roman"/>
          <w:b/>
          <w:szCs w:val="24"/>
        </w:rPr>
        <w:t xml:space="preserve">Sun YS, Zhao Z, Yang ZN, Xu F, Lu HJ, Zhu ZY, Shi W, Jiang J, Yao PP, Zhu HP. </w:t>
      </w:r>
      <w:r w:rsidRPr="00D47D1F">
        <w:rPr>
          <w:rFonts w:eastAsia="Calibri" w:cs="Times New Roman"/>
          <w:szCs w:val="24"/>
        </w:rPr>
        <w:t xml:space="preserve">Risk Factors and Preventions of Breast Cancer. </w:t>
      </w:r>
      <w:r w:rsidRPr="00D47D1F">
        <w:rPr>
          <w:rFonts w:eastAsia="Calibri" w:cs="Times New Roman"/>
          <w:i/>
          <w:szCs w:val="24"/>
        </w:rPr>
        <w:t>International Journal of Biological Sciences</w:t>
      </w:r>
      <w:r w:rsidRPr="00D47D1F">
        <w:rPr>
          <w:rFonts w:eastAsia="Calibri" w:cs="Times New Roman"/>
          <w:szCs w:val="24"/>
        </w:rPr>
        <w:t xml:space="preserve"> 2017, 13 (11), 1387-1397. </w:t>
      </w:r>
    </w:p>
    <w:p w:rsidR="006F53C9" w:rsidRPr="00D47D1F" w:rsidRDefault="006F53C9" w:rsidP="00514F54">
      <w:pPr>
        <w:keepNext/>
        <w:keepLines/>
        <w:spacing w:before="120" w:after="240"/>
        <w:ind w:firstLine="0"/>
        <w:outlineLvl w:val="1"/>
        <w:rPr>
          <w:rFonts w:eastAsia="Calibri" w:cs="Times New Roman"/>
          <w:szCs w:val="24"/>
        </w:rPr>
      </w:pPr>
      <w:r w:rsidRPr="00D47D1F">
        <w:rPr>
          <w:rFonts w:eastAsia="Calibri" w:cs="Times New Roman"/>
          <w:b/>
          <w:szCs w:val="24"/>
        </w:rPr>
        <w:t>Sussman I, Erecínska M, Wilson DF.</w:t>
      </w:r>
      <w:r w:rsidRPr="00D47D1F">
        <w:rPr>
          <w:rFonts w:eastAsiaTheme="majorEastAsia" w:cstheme="majorBidi"/>
          <w:b/>
          <w:bCs/>
          <w:color w:val="4F81BD" w:themeColor="accent1"/>
          <w:szCs w:val="24"/>
        </w:rPr>
        <w:t xml:space="preserve"> </w:t>
      </w:r>
      <w:r w:rsidRPr="00D47D1F">
        <w:rPr>
          <w:rFonts w:eastAsia="Calibri" w:cs="Times New Roman"/>
          <w:szCs w:val="24"/>
        </w:rPr>
        <w:t xml:space="preserve">Regulation of cellular energy metabolism. The Crabtree effect. </w:t>
      </w:r>
      <w:hyperlink r:id="rId851" w:tooltip="Go to Biochimica et Biophysica Acta (BBA) - Bioenergetics on ScienceDirect" w:history="1">
        <w:r w:rsidRPr="00D47D1F">
          <w:rPr>
            <w:rFonts w:eastAsia="Calibri" w:cs="Times New Roman"/>
            <w:i/>
            <w:szCs w:val="24"/>
          </w:rPr>
          <w:t>Biochimica et Biophysica Acta (BBA) - Bioenergetics</w:t>
        </w:r>
      </w:hyperlink>
      <w:r w:rsidRPr="00D47D1F">
        <w:rPr>
          <w:rFonts w:eastAsia="Calibri" w:cs="Times New Roman"/>
          <w:szCs w:val="24"/>
        </w:rPr>
        <w:t xml:space="preserve"> 1980, 591, 209-223. </w:t>
      </w:r>
    </w:p>
    <w:p w:rsidR="006F53C9" w:rsidRPr="00D47D1F" w:rsidRDefault="006F53C9" w:rsidP="00514F54">
      <w:pPr>
        <w:autoSpaceDE w:val="0"/>
        <w:autoSpaceDN w:val="0"/>
        <w:adjustRightInd w:val="0"/>
        <w:spacing w:before="120" w:after="240"/>
        <w:ind w:firstLine="0"/>
        <w:rPr>
          <w:rFonts w:eastAsia="Calibri" w:cs="Times New Roman"/>
          <w:szCs w:val="24"/>
        </w:rPr>
      </w:pPr>
      <w:r w:rsidRPr="00C65026">
        <w:rPr>
          <w:rFonts w:eastAsiaTheme="majorEastAsia"/>
          <w:b/>
          <w:bCs/>
          <w:szCs w:val="24"/>
        </w:rPr>
        <w:t>Sutter CH, Laughner E, Semenza GL.</w:t>
      </w:r>
      <w:r w:rsidRPr="00C65026">
        <w:rPr>
          <w:szCs w:val="24"/>
        </w:rPr>
        <w:t xml:space="preserve"> Hypoxia-inducible factor 1α protein expression is</w:t>
      </w:r>
      <w:r>
        <w:rPr>
          <w:szCs w:val="24"/>
        </w:rPr>
        <w:t xml:space="preserve"> </w:t>
      </w:r>
      <w:r w:rsidRPr="00D47D1F">
        <w:rPr>
          <w:rFonts w:eastAsia="Calibri" w:cs="Times New Roman"/>
          <w:szCs w:val="24"/>
        </w:rPr>
        <w:t xml:space="preserve">controlled by oxygen-regulated ubiquitination that is disrupted by deletions and missense mutations. </w:t>
      </w:r>
      <w:r w:rsidRPr="00D47D1F">
        <w:rPr>
          <w:rFonts w:eastAsia="Calibri" w:cs="Times New Roman"/>
          <w:i/>
          <w:szCs w:val="24"/>
        </w:rPr>
        <w:t>Proceedings of the National Academy of Sciences</w:t>
      </w:r>
      <w:r w:rsidRPr="00D47D1F">
        <w:rPr>
          <w:rFonts w:eastAsia="Calibri" w:cs="Times New Roman"/>
          <w:szCs w:val="24"/>
        </w:rPr>
        <w:t xml:space="preserve"> 2000, 97(9),4748-4753.</w:t>
      </w:r>
    </w:p>
    <w:p w:rsidR="006F53C9" w:rsidRPr="00D47D1F" w:rsidRDefault="006F53C9" w:rsidP="00514F54">
      <w:pPr>
        <w:keepNext/>
        <w:keepLines/>
        <w:shd w:val="clear" w:color="auto" w:fill="FFFFFF"/>
        <w:spacing w:before="120" w:after="240"/>
        <w:ind w:firstLine="0"/>
        <w:outlineLvl w:val="0"/>
        <w:rPr>
          <w:rFonts w:eastAsia="Calibri" w:cs="Times New Roman"/>
          <w:szCs w:val="24"/>
        </w:rPr>
      </w:pPr>
      <w:r w:rsidRPr="00D47D1F">
        <w:rPr>
          <w:rFonts w:eastAsia="Calibri" w:cs="Times New Roman"/>
          <w:b/>
          <w:szCs w:val="24"/>
        </w:rPr>
        <w:t>Swietach P, Vaughan-Jones RD, Harris AL.</w:t>
      </w:r>
      <w:r w:rsidRPr="00D47D1F">
        <w:rPr>
          <w:rFonts w:asciiTheme="majorHAnsi" w:eastAsiaTheme="majorEastAsia" w:hAnsiTheme="majorHAnsi" w:cstheme="majorBidi"/>
          <w:b/>
          <w:bCs/>
          <w:color w:val="365F91" w:themeColor="accent1" w:themeShade="BF"/>
          <w:sz w:val="28"/>
          <w:szCs w:val="28"/>
        </w:rPr>
        <w:t xml:space="preserve"> </w:t>
      </w:r>
      <w:r w:rsidRPr="00D47D1F">
        <w:rPr>
          <w:rFonts w:eastAsia="Calibri" w:cs="Times New Roman"/>
          <w:szCs w:val="24"/>
        </w:rPr>
        <w:t xml:space="preserve">Regulation of tumor pH and the role of carbonic anhydrase 9. </w:t>
      </w:r>
      <w:r w:rsidRPr="00D47D1F">
        <w:rPr>
          <w:rFonts w:eastAsia="Calibri" w:cs="Times New Roman"/>
          <w:i/>
          <w:szCs w:val="24"/>
        </w:rPr>
        <w:t>Cancer metastasis reviews</w:t>
      </w:r>
      <w:r w:rsidRPr="00D47D1F">
        <w:rPr>
          <w:rFonts w:eastAsia="Calibri" w:cs="Times New Roman"/>
          <w:szCs w:val="24"/>
        </w:rPr>
        <w:t xml:space="preserve"> 2007, 26 (2), 299-310. </w:t>
      </w:r>
    </w:p>
    <w:p w:rsidR="006F53C9" w:rsidRDefault="006F53C9" w:rsidP="00514F54">
      <w:pPr>
        <w:spacing w:before="120" w:after="240"/>
        <w:ind w:firstLine="0"/>
        <w:rPr>
          <w:rFonts w:eastAsia="Calibri" w:cs="Times New Roman"/>
          <w:szCs w:val="24"/>
        </w:rPr>
      </w:pPr>
      <w:r w:rsidRPr="00D47D1F">
        <w:rPr>
          <w:rFonts w:eastAsia="Calibri" w:cs="Times New Roman"/>
          <w:b/>
          <w:szCs w:val="24"/>
        </w:rPr>
        <w:t>Szablewski L.</w:t>
      </w:r>
      <w:r w:rsidRPr="00D47D1F">
        <w:rPr>
          <w:rFonts w:ascii="Calibri" w:eastAsia="Calibri" w:hAnsi="Calibri" w:cs="Times New Roman"/>
          <w:sz w:val="22"/>
        </w:rPr>
        <w:t xml:space="preserve"> </w:t>
      </w:r>
      <w:r w:rsidRPr="00D47D1F">
        <w:rPr>
          <w:rFonts w:eastAsia="Calibri" w:cs="Times New Roman"/>
          <w:bCs/>
          <w:szCs w:val="24"/>
        </w:rPr>
        <w:t xml:space="preserve">Expression of glucose transporters in cancers. </w:t>
      </w:r>
      <w:r w:rsidRPr="00D47D1F">
        <w:rPr>
          <w:rFonts w:eastAsia="Calibri" w:cs="Times New Roman"/>
          <w:bCs/>
          <w:i/>
          <w:szCs w:val="24"/>
        </w:rPr>
        <w:t>Biochimica et biophysica acta</w:t>
      </w:r>
      <w:r w:rsidRPr="00D47D1F">
        <w:rPr>
          <w:rFonts w:eastAsia="Calibri" w:cs="Times New Roman"/>
          <w:bCs/>
          <w:szCs w:val="24"/>
        </w:rPr>
        <w:t xml:space="preserve"> 2013, 835 (2), 164-169.</w:t>
      </w:r>
    </w:p>
    <w:p w:rsidR="00514F54" w:rsidRDefault="006F53C9" w:rsidP="00514F54">
      <w:pPr>
        <w:autoSpaceDE w:val="0"/>
        <w:autoSpaceDN w:val="0"/>
        <w:adjustRightInd w:val="0"/>
        <w:spacing w:before="120" w:after="240"/>
        <w:ind w:firstLine="0"/>
        <w:rPr>
          <w:rFonts w:eastAsia="Calibri" w:cs="Times New Roman"/>
          <w:szCs w:val="24"/>
        </w:rPr>
      </w:pPr>
      <w:r w:rsidRPr="00D47D1F">
        <w:rPr>
          <w:rFonts w:eastAsiaTheme="majorEastAsia" w:cs="Times New Roman"/>
          <w:b/>
          <w:bCs/>
          <w:szCs w:val="24"/>
        </w:rPr>
        <w:t xml:space="preserve">Takata K, Kasahara T, Kasahara M, Ezaki O, Hirano H. </w:t>
      </w:r>
      <w:r w:rsidRPr="00D47D1F">
        <w:rPr>
          <w:rFonts w:eastAsia="Calibri" w:cs="Times New Roman"/>
          <w:szCs w:val="24"/>
        </w:rPr>
        <w:t xml:space="preserve">Erythrocyte/HepG2-type glucose transporter is concentrated in cells of blood-tissue barriers. </w:t>
      </w:r>
      <w:r w:rsidRPr="00D47D1F">
        <w:rPr>
          <w:rFonts w:eastAsia="Calibri" w:cs="Times New Roman"/>
          <w:i/>
          <w:szCs w:val="24"/>
        </w:rPr>
        <w:t>Biochemical Biophyscal Research Communications</w:t>
      </w:r>
      <w:r w:rsidRPr="00D47D1F">
        <w:rPr>
          <w:rFonts w:eastAsia="Calibri" w:cs="Times New Roman"/>
          <w:szCs w:val="24"/>
        </w:rPr>
        <w:t xml:space="preserve"> 1990, 173, 67–73.</w:t>
      </w:r>
    </w:p>
    <w:p w:rsidR="00514F54" w:rsidRDefault="0037177D" w:rsidP="00514F54">
      <w:pPr>
        <w:autoSpaceDE w:val="0"/>
        <w:autoSpaceDN w:val="0"/>
        <w:adjustRightInd w:val="0"/>
        <w:spacing w:before="120" w:after="240"/>
        <w:ind w:firstLine="0"/>
        <w:rPr>
          <w:rFonts w:eastAsia="Calibri" w:cs="Times New Roman"/>
          <w:szCs w:val="24"/>
        </w:rPr>
      </w:pPr>
      <w:hyperlink r:id="rId852" w:history="1">
        <w:r w:rsidR="006F53C9" w:rsidRPr="00D47D1F">
          <w:rPr>
            <w:rFonts w:eastAsia="Calibri" w:cs="Times New Roman"/>
            <w:b/>
            <w:szCs w:val="24"/>
          </w:rPr>
          <w:t>Talasniemi JP</w:t>
        </w:r>
      </w:hyperlink>
      <w:r w:rsidR="006F53C9" w:rsidRPr="00D47D1F">
        <w:rPr>
          <w:rFonts w:eastAsia="Calibri" w:cs="Times New Roman"/>
          <w:b/>
          <w:szCs w:val="24"/>
        </w:rPr>
        <w:t>, </w:t>
      </w:r>
      <w:hyperlink r:id="rId853" w:history="1">
        <w:r w:rsidR="006F53C9" w:rsidRPr="00D47D1F">
          <w:rPr>
            <w:rFonts w:eastAsia="Calibri" w:cs="Times New Roman"/>
            <w:b/>
            <w:szCs w:val="24"/>
          </w:rPr>
          <w:t>Pennanen S</w:t>
        </w:r>
      </w:hyperlink>
      <w:r w:rsidR="006F53C9" w:rsidRPr="00D47D1F">
        <w:rPr>
          <w:rFonts w:eastAsia="Calibri" w:cs="Times New Roman"/>
          <w:b/>
          <w:szCs w:val="24"/>
        </w:rPr>
        <w:t>, </w:t>
      </w:r>
      <w:hyperlink r:id="rId854" w:history="1">
        <w:r w:rsidR="006F53C9" w:rsidRPr="00D47D1F">
          <w:rPr>
            <w:rFonts w:eastAsia="Calibri" w:cs="Times New Roman"/>
            <w:b/>
            <w:szCs w:val="24"/>
          </w:rPr>
          <w:t>Savolainen H</w:t>
        </w:r>
      </w:hyperlink>
      <w:r w:rsidR="006F53C9" w:rsidRPr="00D47D1F">
        <w:rPr>
          <w:rFonts w:eastAsia="Calibri" w:cs="Times New Roman"/>
          <w:b/>
          <w:szCs w:val="24"/>
        </w:rPr>
        <w:t>, </w:t>
      </w:r>
      <w:hyperlink r:id="rId855" w:history="1">
        <w:r w:rsidR="006F53C9" w:rsidRPr="00D47D1F">
          <w:rPr>
            <w:rFonts w:eastAsia="Calibri" w:cs="Times New Roman"/>
            <w:b/>
            <w:szCs w:val="24"/>
          </w:rPr>
          <w:t>Niskanen L</w:t>
        </w:r>
      </w:hyperlink>
      <w:r w:rsidR="006F53C9" w:rsidRPr="00D47D1F">
        <w:rPr>
          <w:rFonts w:eastAsia="Calibri" w:cs="Times New Roman"/>
          <w:b/>
          <w:szCs w:val="24"/>
        </w:rPr>
        <w:t>, </w:t>
      </w:r>
      <w:hyperlink r:id="rId856" w:history="1">
        <w:r w:rsidR="006F53C9" w:rsidRPr="00D47D1F">
          <w:rPr>
            <w:rFonts w:eastAsia="Calibri" w:cs="Times New Roman"/>
            <w:b/>
            <w:szCs w:val="24"/>
          </w:rPr>
          <w:t>Liesivuori J</w:t>
        </w:r>
      </w:hyperlink>
      <w:r w:rsidR="006F53C9" w:rsidRPr="00D47D1F">
        <w:rPr>
          <w:rFonts w:eastAsia="Calibri" w:cs="Times New Roman"/>
          <w:b/>
          <w:szCs w:val="24"/>
        </w:rPr>
        <w:t xml:space="preserve">. </w:t>
      </w:r>
      <w:r w:rsidR="006F53C9" w:rsidRPr="00D47D1F">
        <w:rPr>
          <w:rFonts w:eastAsia="Calibri" w:cs="Times New Roman"/>
          <w:szCs w:val="24"/>
        </w:rPr>
        <w:t xml:space="preserve">Analytical investigation: assay of D-lactate in diabetic plasma and urine. </w:t>
      </w:r>
      <w:r w:rsidR="006F53C9" w:rsidRPr="00D47D1F">
        <w:rPr>
          <w:rFonts w:eastAsia="Calibri" w:cs="Times New Roman"/>
          <w:i/>
          <w:szCs w:val="24"/>
        </w:rPr>
        <w:t>Clinical Biochemistry</w:t>
      </w:r>
      <w:r w:rsidR="006F53C9" w:rsidRPr="00D47D1F">
        <w:rPr>
          <w:rFonts w:eastAsia="Calibri" w:cs="Times New Roman"/>
          <w:szCs w:val="24"/>
        </w:rPr>
        <w:t xml:space="preserve"> 2008, 41(13), 1099-1103.</w:t>
      </w:r>
    </w:p>
    <w:p w:rsidR="006F53C9" w:rsidRPr="00D47D1F" w:rsidRDefault="006F53C9" w:rsidP="00514F54">
      <w:pPr>
        <w:autoSpaceDE w:val="0"/>
        <w:autoSpaceDN w:val="0"/>
        <w:adjustRightInd w:val="0"/>
        <w:spacing w:before="120" w:after="240"/>
        <w:ind w:firstLine="0"/>
        <w:rPr>
          <w:rFonts w:eastAsia="Calibri" w:cs="Times New Roman"/>
          <w:szCs w:val="24"/>
        </w:rPr>
      </w:pPr>
      <w:r w:rsidRPr="00D47D1F">
        <w:rPr>
          <w:rFonts w:eastAsia="Calibri" w:cs="Times New Roman"/>
          <w:b/>
          <w:szCs w:val="24"/>
        </w:rPr>
        <w:t>Tao L, Wei L, Liu Y, Ding Y, Liu X, Zhang X, Wang X, Yao Y, Lu J, Wang Q, Hu R.</w:t>
      </w:r>
      <w:r w:rsidRPr="00D47D1F">
        <w:rPr>
          <w:rFonts w:eastAsia="Calibri" w:cs="Times New Roman"/>
          <w:szCs w:val="24"/>
        </w:rPr>
        <w:t xml:space="preserve"> Gen-27, a newly synthesized flavonoid, inhibits glycolysis and induces cell apoptosis via suppression of hexokinase II in human breast cancer cells. </w:t>
      </w:r>
      <w:r w:rsidRPr="00D47D1F">
        <w:rPr>
          <w:rFonts w:eastAsia="Calibri" w:cs="Times New Roman"/>
          <w:i/>
          <w:szCs w:val="24"/>
        </w:rPr>
        <w:t>Biochemical Pharmacology</w:t>
      </w:r>
      <w:r w:rsidRPr="00D47D1F">
        <w:rPr>
          <w:rFonts w:eastAsia="Calibri" w:cs="Times New Roman"/>
          <w:szCs w:val="24"/>
        </w:rPr>
        <w:t xml:space="preserve"> 2017, 125, 12-25. </w:t>
      </w:r>
    </w:p>
    <w:p w:rsidR="006F53C9" w:rsidRPr="00D47D1F" w:rsidRDefault="006F53C9" w:rsidP="00514F54">
      <w:pPr>
        <w:keepNext/>
        <w:keepLines/>
        <w:shd w:val="clear" w:color="auto" w:fill="FFFFFF"/>
        <w:spacing w:before="120" w:after="240"/>
        <w:ind w:firstLine="0"/>
        <w:outlineLvl w:val="0"/>
        <w:rPr>
          <w:rFonts w:eastAsia="Calibri" w:cs="Times New Roman"/>
          <w:szCs w:val="24"/>
        </w:rPr>
      </w:pPr>
      <w:r w:rsidRPr="00D47D1F">
        <w:rPr>
          <w:b/>
          <w:szCs w:val="24"/>
        </w:rPr>
        <w:lastRenderedPageBreak/>
        <w:t xml:space="preserve">Tátrai E, Bartal </w:t>
      </w:r>
      <w:hyperlink r:id="rId857" w:history="1">
        <w:r w:rsidRPr="00D47D1F">
          <w:rPr>
            <w:b/>
            <w:szCs w:val="24"/>
          </w:rPr>
          <w:t xml:space="preserve">A, </w:t>
        </w:r>
      </w:hyperlink>
      <w:r w:rsidRPr="00D47D1F">
        <w:rPr>
          <w:b/>
          <w:szCs w:val="24"/>
        </w:rPr>
        <w:t xml:space="preserve"> Gacs </w:t>
      </w:r>
      <w:hyperlink r:id="rId858" w:history="1">
        <w:r w:rsidRPr="00D47D1F">
          <w:rPr>
            <w:b/>
            <w:szCs w:val="24"/>
          </w:rPr>
          <w:t xml:space="preserve">A, </w:t>
        </w:r>
      </w:hyperlink>
      <w:r w:rsidRPr="00D47D1F">
        <w:rPr>
          <w:b/>
          <w:szCs w:val="24"/>
        </w:rPr>
        <w:t xml:space="preserve"> Paku </w:t>
      </w:r>
      <w:hyperlink r:id="rId859" w:history="1">
        <w:r w:rsidRPr="00D47D1F">
          <w:rPr>
            <w:b/>
            <w:szCs w:val="24"/>
          </w:rPr>
          <w:t xml:space="preserve">S, </w:t>
        </w:r>
      </w:hyperlink>
      <w:r w:rsidRPr="00D47D1F">
        <w:rPr>
          <w:b/>
          <w:szCs w:val="24"/>
        </w:rPr>
        <w:t xml:space="preserve"> Kenessey </w:t>
      </w:r>
      <w:hyperlink r:id="rId860" w:history="1">
        <w:r w:rsidRPr="00D47D1F">
          <w:rPr>
            <w:b/>
            <w:szCs w:val="24"/>
          </w:rPr>
          <w:t xml:space="preserve">I, </w:t>
        </w:r>
      </w:hyperlink>
      <w:r w:rsidRPr="00D47D1F">
        <w:rPr>
          <w:b/>
          <w:szCs w:val="24"/>
        </w:rPr>
        <w:t xml:space="preserve"> Garay </w:t>
      </w:r>
      <w:hyperlink r:id="rId861" w:history="1">
        <w:r w:rsidRPr="00D47D1F">
          <w:rPr>
            <w:b/>
            <w:szCs w:val="24"/>
          </w:rPr>
          <w:t xml:space="preserve">T, </w:t>
        </w:r>
      </w:hyperlink>
      <w:r w:rsidRPr="00D47D1F">
        <w:rPr>
          <w:b/>
          <w:szCs w:val="24"/>
        </w:rPr>
        <w:t xml:space="preserve"> Hegedűs </w:t>
      </w:r>
      <w:hyperlink r:id="rId862" w:history="1">
        <w:r w:rsidRPr="00D47D1F">
          <w:rPr>
            <w:b/>
            <w:szCs w:val="24"/>
          </w:rPr>
          <w:t xml:space="preserve">B, </w:t>
        </w:r>
      </w:hyperlink>
      <w:r w:rsidRPr="00D47D1F">
        <w:rPr>
          <w:b/>
          <w:szCs w:val="24"/>
        </w:rPr>
        <w:t xml:space="preserve"> Molnár </w:t>
      </w:r>
      <w:hyperlink r:id="rId863" w:history="1">
        <w:r w:rsidRPr="00D47D1F">
          <w:rPr>
            <w:b/>
            <w:szCs w:val="24"/>
          </w:rPr>
          <w:t xml:space="preserve">E, </w:t>
        </w:r>
      </w:hyperlink>
      <w:r w:rsidRPr="00D47D1F">
        <w:rPr>
          <w:b/>
          <w:szCs w:val="24"/>
        </w:rPr>
        <w:t xml:space="preserve"> Cserepes </w:t>
      </w:r>
      <w:hyperlink r:id="rId864" w:history="1">
        <w:r w:rsidRPr="00D47D1F">
          <w:rPr>
            <w:b/>
            <w:szCs w:val="24"/>
          </w:rPr>
          <w:t xml:space="preserve">MT, </w:t>
        </w:r>
      </w:hyperlink>
      <w:r w:rsidRPr="00D47D1F">
        <w:rPr>
          <w:b/>
          <w:szCs w:val="24"/>
        </w:rPr>
        <w:t xml:space="preserve"> Hegedűs </w:t>
      </w:r>
      <w:hyperlink r:id="rId865" w:history="1">
        <w:r w:rsidRPr="00D47D1F">
          <w:rPr>
            <w:b/>
            <w:szCs w:val="24"/>
          </w:rPr>
          <w:t xml:space="preserve">Z </w:t>
        </w:r>
      </w:hyperlink>
      <w:r w:rsidRPr="00D47D1F">
        <w:rPr>
          <w:b/>
          <w:szCs w:val="24"/>
        </w:rPr>
        <w:t xml:space="preserve">, Kucsma </w:t>
      </w:r>
      <w:hyperlink r:id="rId866" w:history="1">
        <w:r w:rsidRPr="00D47D1F">
          <w:rPr>
            <w:b/>
            <w:szCs w:val="24"/>
          </w:rPr>
          <w:t xml:space="preserve">N, </w:t>
        </w:r>
      </w:hyperlink>
      <w:r w:rsidRPr="00D47D1F">
        <w:rPr>
          <w:b/>
          <w:szCs w:val="24"/>
        </w:rPr>
        <w:t xml:space="preserve"> Szakács </w:t>
      </w:r>
      <w:hyperlink r:id="rId867" w:history="1">
        <w:r w:rsidRPr="00D47D1F">
          <w:rPr>
            <w:b/>
            <w:szCs w:val="24"/>
          </w:rPr>
          <w:t xml:space="preserve">G, </w:t>
        </w:r>
      </w:hyperlink>
      <w:r w:rsidRPr="00D47D1F">
        <w:rPr>
          <w:b/>
          <w:szCs w:val="24"/>
        </w:rPr>
        <w:t> </w:t>
      </w:r>
      <w:hyperlink r:id="rId868" w:history="1">
        <w:r w:rsidRPr="00D47D1F">
          <w:rPr>
            <w:b/>
            <w:szCs w:val="24"/>
          </w:rPr>
          <w:t>Tóvári</w:t>
        </w:r>
      </w:hyperlink>
      <w:r w:rsidRPr="00D47D1F">
        <w:rPr>
          <w:b/>
          <w:szCs w:val="24"/>
        </w:rPr>
        <w:t>1 J.</w:t>
      </w:r>
      <w:r w:rsidRPr="00D47D1F">
        <w:rPr>
          <w:rFonts w:eastAsia="Calibri" w:cs="Times New Roman"/>
          <w:szCs w:val="24"/>
        </w:rPr>
        <w:t xml:space="preserve"> Cell type-dependent HIF1 α-mediated effects of hypoxia on proliferation, migration and metastatic potential of human tumor cells. </w:t>
      </w:r>
      <w:r w:rsidRPr="00D47D1F">
        <w:rPr>
          <w:rFonts w:eastAsia="Calibri" w:cs="Times New Roman"/>
          <w:i/>
          <w:szCs w:val="24"/>
        </w:rPr>
        <w:t>Oncotarget</w:t>
      </w:r>
      <w:r w:rsidRPr="00D47D1F">
        <w:rPr>
          <w:rFonts w:eastAsia="Calibri" w:cs="Times New Roman"/>
          <w:szCs w:val="24"/>
        </w:rPr>
        <w:t xml:space="preserve"> 2017, 4, 8 (27), 44498–44510.</w:t>
      </w:r>
    </w:p>
    <w:p w:rsidR="006F53C9" w:rsidRDefault="0037177D" w:rsidP="00514F54">
      <w:pPr>
        <w:spacing w:before="120" w:after="240"/>
        <w:ind w:firstLine="0"/>
        <w:rPr>
          <w:rFonts w:eastAsia="Calibri" w:cs="Times New Roman"/>
          <w:szCs w:val="24"/>
        </w:rPr>
      </w:pPr>
      <w:hyperlink r:id="rId869" w:history="1">
        <w:r w:rsidR="006F53C9" w:rsidRPr="00D47D1F">
          <w:rPr>
            <w:rFonts w:eastAsia="Calibri" w:cs="Times New Roman"/>
            <w:b/>
            <w:szCs w:val="24"/>
          </w:rPr>
          <w:t>Tatum JL</w:t>
        </w:r>
      </w:hyperlink>
      <w:r w:rsidR="006F53C9" w:rsidRPr="00D47D1F">
        <w:rPr>
          <w:rFonts w:eastAsia="Calibri" w:cs="Times New Roman"/>
          <w:b/>
          <w:szCs w:val="24"/>
        </w:rPr>
        <w:t>, </w:t>
      </w:r>
      <w:hyperlink r:id="rId870" w:history="1">
        <w:r w:rsidR="006F53C9" w:rsidRPr="00D47D1F">
          <w:rPr>
            <w:rFonts w:eastAsia="Calibri" w:cs="Times New Roman"/>
            <w:b/>
            <w:szCs w:val="24"/>
          </w:rPr>
          <w:t>Kelloff GJ</w:t>
        </w:r>
      </w:hyperlink>
      <w:r w:rsidR="006F53C9" w:rsidRPr="00D47D1F">
        <w:rPr>
          <w:rFonts w:eastAsia="Calibri" w:cs="Times New Roman"/>
          <w:b/>
          <w:szCs w:val="24"/>
        </w:rPr>
        <w:t>, </w:t>
      </w:r>
      <w:hyperlink r:id="rId871" w:history="1">
        <w:r w:rsidR="006F53C9" w:rsidRPr="00D47D1F">
          <w:rPr>
            <w:rFonts w:eastAsia="Calibri" w:cs="Times New Roman"/>
            <w:b/>
            <w:szCs w:val="24"/>
          </w:rPr>
          <w:t>Gillies RJ</w:t>
        </w:r>
      </w:hyperlink>
      <w:r w:rsidR="006F53C9" w:rsidRPr="00D47D1F">
        <w:rPr>
          <w:rFonts w:eastAsia="Calibri" w:cs="Times New Roman"/>
          <w:b/>
          <w:szCs w:val="24"/>
        </w:rPr>
        <w:t>, </w:t>
      </w:r>
      <w:hyperlink r:id="rId872" w:history="1">
        <w:r w:rsidR="006F53C9" w:rsidRPr="00D47D1F">
          <w:rPr>
            <w:rFonts w:eastAsia="Calibri" w:cs="Times New Roman"/>
            <w:b/>
            <w:szCs w:val="24"/>
          </w:rPr>
          <w:t>Arbeit JM</w:t>
        </w:r>
      </w:hyperlink>
      <w:r w:rsidR="006F53C9" w:rsidRPr="00D47D1F">
        <w:rPr>
          <w:rFonts w:eastAsia="Calibri" w:cs="Times New Roman"/>
          <w:b/>
          <w:szCs w:val="24"/>
        </w:rPr>
        <w:t>, </w:t>
      </w:r>
      <w:hyperlink r:id="rId873" w:history="1">
        <w:r w:rsidR="006F53C9" w:rsidRPr="00D47D1F">
          <w:rPr>
            <w:rFonts w:eastAsia="Calibri" w:cs="Times New Roman"/>
            <w:b/>
            <w:szCs w:val="24"/>
          </w:rPr>
          <w:t>Brown JM</w:t>
        </w:r>
      </w:hyperlink>
      <w:r w:rsidR="006F53C9" w:rsidRPr="00D47D1F">
        <w:rPr>
          <w:rFonts w:eastAsia="Calibri" w:cs="Times New Roman"/>
          <w:b/>
          <w:szCs w:val="24"/>
        </w:rPr>
        <w:t>, </w:t>
      </w:r>
      <w:hyperlink r:id="rId874" w:history="1">
        <w:r w:rsidR="006F53C9" w:rsidRPr="00D47D1F">
          <w:rPr>
            <w:rFonts w:eastAsia="Calibri" w:cs="Times New Roman"/>
            <w:b/>
            <w:szCs w:val="24"/>
          </w:rPr>
          <w:t>Chao KS</w:t>
        </w:r>
      </w:hyperlink>
      <w:r w:rsidR="006F53C9" w:rsidRPr="00D47D1F">
        <w:rPr>
          <w:rFonts w:eastAsia="Calibri" w:cs="Times New Roman"/>
          <w:b/>
          <w:szCs w:val="24"/>
        </w:rPr>
        <w:t>, </w:t>
      </w:r>
      <w:hyperlink r:id="rId875" w:history="1">
        <w:r w:rsidR="006F53C9" w:rsidRPr="00D47D1F">
          <w:rPr>
            <w:rFonts w:eastAsia="Calibri" w:cs="Times New Roman"/>
            <w:b/>
            <w:szCs w:val="24"/>
          </w:rPr>
          <w:t>Chapman JD</w:t>
        </w:r>
      </w:hyperlink>
      <w:r w:rsidR="006F53C9" w:rsidRPr="00D47D1F">
        <w:rPr>
          <w:rFonts w:eastAsia="Calibri" w:cs="Times New Roman"/>
          <w:b/>
          <w:szCs w:val="24"/>
        </w:rPr>
        <w:t>, </w:t>
      </w:r>
      <w:hyperlink r:id="rId876" w:history="1">
        <w:r w:rsidR="006F53C9" w:rsidRPr="00D47D1F">
          <w:rPr>
            <w:rFonts w:eastAsia="Calibri" w:cs="Times New Roman"/>
            <w:b/>
            <w:szCs w:val="24"/>
          </w:rPr>
          <w:t>Eckelman WC</w:t>
        </w:r>
      </w:hyperlink>
      <w:r w:rsidR="006F53C9" w:rsidRPr="00D47D1F">
        <w:rPr>
          <w:rFonts w:eastAsia="Calibri" w:cs="Times New Roman"/>
          <w:b/>
          <w:szCs w:val="24"/>
        </w:rPr>
        <w:t>, </w:t>
      </w:r>
      <w:hyperlink r:id="rId877" w:history="1">
        <w:r w:rsidR="006F53C9" w:rsidRPr="00D47D1F">
          <w:rPr>
            <w:rFonts w:eastAsia="Calibri" w:cs="Times New Roman"/>
            <w:b/>
            <w:szCs w:val="24"/>
          </w:rPr>
          <w:t>Fyles AW</w:t>
        </w:r>
      </w:hyperlink>
      <w:r w:rsidR="006F53C9" w:rsidRPr="00D47D1F">
        <w:rPr>
          <w:rFonts w:eastAsia="Calibri" w:cs="Times New Roman"/>
          <w:b/>
          <w:szCs w:val="24"/>
        </w:rPr>
        <w:t>, </w:t>
      </w:r>
      <w:hyperlink r:id="rId878" w:history="1">
        <w:r w:rsidR="006F53C9" w:rsidRPr="00D47D1F">
          <w:rPr>
            <w:rFonts w:eastAsia="Calibri" w:cs="Times New Roman"/>
            <w:b/>
            <w:szCs w:val="24"/>
          </w:rPr>
          <w:t>Giaccia AJ</w:t>
        </w:r>
      </w:hyperlink>
      <w:r w:rsidR="006F53C9" w:rsidRPr="00D47D1F">
        <w:rPr>
          <w:rFonts w:eastAsia="Calibri" w:cs="Times New Roman"/>
          <w:b/>
          <w:szCs w:val="24"/>
        </w:rPr>
        <w:t>, </w:t>
      </w:r>
      <w:hyperlink r:id="rId879" w:history="1">
        <w:r w:rsidR="006F53C9" w:rsidRPr="00D47D1F">
          <w:rPr>
            <w:rFonts w:eastAsia="Calibri" w:cs="Times New Roman"/>
            <w:b/>
            <w:szCs w:val="24"/>
          </w:rPr>
          <w:t>Hill RP</w:t>
        </w:r>
      </w:hyperlink>
      <w:r w:rsidR="006F53C9" w:rsidRPr="00D47D1F">
        <w:rPr>
          <w:rFonts w:eastAsia="Calibri" w:cs="Times New Roman"/>
          <w:b/>
          <w:szCs w:val="24"/>
        </w:rPr>
        <w:t>, </w:t>
      </w:r>
      <w:hyperlink r:id="rId880" w:history="1">
        <w:r w:rsidR="006F53C9" w:rsidRPr="00D47D1F">
          <w:rPr>
            <w:rFonts w:eastAsia="Calibri" w:cs="Times New Roman"/>
            <w:b/>
            <w:szCs w:val="24"/>
          </w:rPr>
          <w:t>Koch CJ</w:t>
        </w:r>
      </w:hyperlink>
      <w:r w:rsidR="006F53C9" w:rsidRPr="00D47D1F">
        <w:rPr>
          <w:rFonts w:eastAsia="Calibri" w:cs="Times New Roman"/>
          <w:b/>
          <w:szCs w:val="24"/>
        </w:rPr>
        <w:t>, </w:t>
      </w:r>
      <w:hyperlink r:id="rId881" w:history="1">
        <w:r w:rsidR="006F53C9" w:rsidRPr="00D47D1F">
          <w:rPr>
            <w:rFonts w:eastAsia="Calibri" w:cs="Times New Roman"/>
            <w:b/>
            <w:szCs w:val="24"/>
          </w:rPr>
          <w:t>Krishna MC</w:t>
        </w:r>
      </w:hyperlink>
      <w:r w:rsidR="006F53C9" w:rsidRPr="00D47D1F">
        <w:rPr>
          <w:rFonts w:eastAsia="Calibri" w:cs="Times New Roman"/>
          <w:b/>
          <w:szCs w:val="24"/>
        </w:rPr>
        <w:t>, </w:t>
      </w:r>
      <w:hyperlink r:id="rId882" w:history="1">
        <w:r w:rsidR="006F53C9" w:rsidRPr="00D47D1F">
          <w:rPr>
            <w:rFonts w:eastAsia="Calibri" w:cs="Times New Roman"/>
            <w:b/>
            <w:szCs w:val="24"/>
          </w:rPr>
          <w:t>Krohn KA</w:t>
        </w:r>
      </w:hyperlink>
      <w:r w:rsidR="006F53C9" w:rsidRPr="00D47D1F">
        <w:rPr>
          <w:rFonts w:eastAsia="Calibri" w:cs="Times New Roman"/>
          <w:b/>
          <w:szCs w:val="24"/>
        </w:rPr>
        <w:t>, </w:t>
      </w:r>
      <w:hyperlink r:id="rId883" w:history="1">
        <w:r w:rsidR="006F53C9" w:rsidRPr="00D47D1F">
          <w:rPr>
            <w:rFonts w:eastAsia="Calibri" w:cs="Times New Roman"/>
            <w:b/>
            <w:szCs w:val="24"/>
          </w:rPr>
          <w:t>Lewis JS</w:t>
        </w:r>
      </w:hyperlink>
      <w:r w:rsidR="006F53C9" w:rsidRPr="00D47D1F">
        <w:rPr>
          <w:rFonts w:eastAsia="Calibri" w:cs="Times New Roman"/>
          <w:b/>
          <w:szCs w:val="24"/>
        </w:rPr>
        <w:t>, </w:t>
      </w:r>
      <w:hyperlink r:id="rId884" w:history="1">
        <w:r w:rsidR="006F53C9" w:rsidRPr="00D47D1F">
          <w:rPr>
            <w:rFonts w:eastAsia="Calibri" w:cs="Times New Roman"/>
            <w:b/>
            <w:szCs w:val="24"/>
          </w:rPr>
          <w:t>Mason RP</w:t>
        </w:r>
      </w:hyperlink>
      <w:r w:rsidR="006F53C9" w:rsidRPr="00D47D1F">
        <w:rPr>
          <w:rFonts w:eastAsia="Calibri" w:cs="Times New Roman"/>
          <w:b/>
          <w:szCs w:val="24"/>
        </w:rPr>
        <w:t>, </w:t>
      </w:r>
      <w:hyperlink r:id="rId885" w:history="1">
        <w:r w:rsidR="006F53C9" w:rsidRPr="00D47D1F">
          <w:rPr>
            <w:rFonts w:eastAsia="Calibri" w:cs="Times New Roman"/>
            <w:b/>
            <w:szCs w:val="24"/>
          </w:rPr>
          <w:t>Melillo G</w:t>
        </w:r>
      </w:hyperlink>
      <w:r w:rsidR="006F53C9" w:rsidRPr="00D47D1F">
        <w:rPr>
          <w:rFonts w:eastAsia="Calibri" w:cs="Times New Roman"/>
          <w:b/>
          <w:szCs w:val="24"/>
        </w:rPr>
        <w:t>, </w:t>
      </w:r>
      <w:hyperlink r:id="rId886" w:history="1">
        <w:r w:rsidR="006F53C9" w:rsidRPr="00D47D1F">
          <w:rPr>
            <w:rFonts w:eastAsia="Calibri" w:cs="Times New Roman"/>
            <w:b/>
            <w:szCs w:val="24"/>
          </w:rPr>
          <w:t>Padhani AR</w:t>
        </w:r>
      </w:hyperlink>
      <w:r w:rsidR="006F53C9" w:rsidRPr="00D47D1F">
        <w:rPr>
          <w:rFonts w:eastAsia="Calibri" w:cs="Times New Roman"/>
          <w:b/>
          <w:szCs w:val="24"/>
        </w:rPr>
        <w:t>, </w:t>
      </w:r>
      <w:hyperlink r:id="rId887" w:history="1">
        <w:r w:rsidR="006F53C9" w:rsidRPr="00D47D1F">
          <w:rPr>
            <w:rFonts w:eastAsia="Calibri" w:cs="Times New Roman"/>
            <w:b/>
            <w:szCs w:val="24"/>
          </w:rPr>
          <w:t>Powis G</w:t>
        </w:r>
      </w:hyperlink>
      <w:r w:rsidR="006F53C9" w:rsidRPr="00D47D1F">
        <w:rPr>
          <w:rFonts w:eastAsia="Calibri" w:cs="Times New Roman"/>
          <w:b/>
          <w:szCs w:val="24"/>
        </w:rPr>
        <w:t>, </w:t>
      </w:r>
      <w:hyperlink r:id="rId888" w:history="1">
        <w:r w:rsidR="006F53C9" w:rsidRPr="00D47D1F">
          <w:rPr>
            <w:rFonts w:eastAsia="Calibri" w:cs="Times New Roman"/>
            <w:b/>
            <w:szCs w:val="24"/>
          </w:rPr>
          <w:t>Rajendran JG</w:t>
        </w:r>
      </w:hyperlink>
      <w:r w:rsidR="006F53C9" w:rsidRPr="00D47D1F">
        <w:rPr>
          <w:rFonts w:eastAsia="Calibri" w:cs="Times New Roman"/>
          <w:b/>
          <w:szCs w:val="24"/>
        </w:rPr>
        <w:t>, </w:t>
      </w:r>
      <w:hyperlink r:id="rId889" w:history="1">
        <w:r w:rsidR="006F53C9" w:rsidRPr="00D47D1F">
          <w:rPr>
            <w:rFonts w:eastAsia="Calibri" w:cs="Times New Roman"/>
            <w:b/>
            <w:szCs w:val="24"/>
          </w:rPr>
          <w:t>Reba R</w:t>
        </w:r>
      </w:hyperlink>
      <w:r w:rsidR="006F53C9" w:rsidRPr="00D47D1F">
        <w:rPr>
          <w:rFonts w:eastAsia="Calibri" w:cs="Times New Roman"/>
          <w:b/>
          <w:szCs w:val="24"/>
        </w:rPr>
        <w:t>, </w:t>
      </w:r>
      <w:hyperlink r:id="rId890" w:history="1">
        <w:r w:rsidR="006F53C9" w:rsidRPr="00D47D1F">
          <w:rPr>
            <w:rFonts w:eastAsia="Calibri" w:cs="Times New Roman"/>
            <w:b/>
            <w:szCs w:val="24"/>
          </w:rPr>
          <w:t>Robinson SP</w:t>
        </w:r>
      </w:hyperlink>
      <w:r w:rsidR="006F53C9" w:rsidRPr="00D47D1F">
        <w:rPr>
          <w:rFonts w:eastAsia="Calibri" w:cs="Times New Roman"/>
          <w:b/>
          <w:szCs w:val="24"/>
        </w:rPr>
        <w:t>, </w:t>
      </w:r>
      <w:hyperlink r:id="rId891" w:history="1">
        <w:r w:rsidR="006F53C9" w:rsidRPr="00D47D1F">
          <w:rPr>
            <w:rFonts w:eastAsia="Calibri" w:cs="Times New Roman"/>
            <w:b/>
            <w:szCs w:val="24"/>
          </w:rPr>
          <w:t>Semenza GL</w:t>
        </w:r>
      </w:hyperlink>
      <w:r w:rsidR="006F53C9" w:rsidRPr="00D47D1F">
        <w:rPr>
          <w:rFonts w:eastAsia="Calibri" w:cs="Times New Roman"/>
          <w:b/>
          <w:szCs w:val="24"/>
        </w:rPr>
        <w:t>, </w:t>
      </w:r>
      <w:hyperlink r:id="rId892" w:history="1">
        <w:r w:rsidR="006F53C9" w:rsidRPr="00D47D1F">
          <w:rPr>
            <w:rFonts w:eastAsia="Calibri" w:cs="Times New Roman"/>
            <w:b/>
            <w:szCs w:val="24"/>
          </w:rPr>
          <w:t>Swartz HM</w:t>
        </w:r>
      </w:hyperlink>
      <w:r w:rsidR="006F53C9" w:rsidRPr="00D47D1F">
        <w:rPr>
          <w:rFonts w:eastAsia="Calibri" w:cs="Times New Roman"/>
          <w:b/>
          <w:szCs w:val="24"/>
        </w:rPr>
        <w:t>, </w:t>
      </w:r>
      <w:hyperlink r:id="rId893" w:history="1">
        <w:r w:rsidR="006F53C9" w:rsidRPr="00D47D1F">
          <w:rPr>
            <w:rFonts w:eastAsia="Calibri" w:cs="Times New Roman"/>
            <w:b/>
            <w:szCs w:val="24"/>
          </w:rPr>
          <w:t>Vaupel P</w:t>
        </w:r>
      </w:hyperlink>
      <w:r w:rsidR="006F53C9" w:rsidRPr="00D47D1F">
        <w:rPr>
          <w:rFonts w:eastAsia="Calibri" w:cs="Times New Roman"/>
          <w:b/>
          <w:szCs w:val="24"/>
        </w:rPr>
        <w:t>, </w:t>
      </w:r>
      <w:hyperlink r:id="rId894" w:history="1">
        <w:r w:rsidR="006F53C9" w:rsidRPr="00D47D1F">
          <w:rPr>
            <w:rFonts w:eastAsia="Calibri" w:cs="Times New Roman"/>
            <w:b/>
            <w:szCs w:val="24"/>
          </w:rPr>
          <w:t>Yang D</w:t>
        </w:r>
      </w:hyperlink>
      <w:r w:rsidR="006F53C9" w:rsidRPr="00D47D1F">
        <w:rPr>
          <w:rFonts w:eastAsia="Calibri" w:cs="Times New Roman"/>
          <w:b/>
          <w:szCs w:val="24"/>
        </w:rPr>
        <w:t>, </w:t>
      </w:r>
      <w:hyperlink r:id="rId895" w:history="1">
        <w:r w:rsidR="006F53C9" w:rsidRPr="00D47D1F">
          <w:rPr>
            <w:rFonts w:eastAsia="Calibri" w:cs="Times New Roman"/>
            <w:b/>
            <w:szCs w:val="24"/>
          </w:rPr>
          <w:t>Croft B</w:t>
        </w:r>
      </w:hyperlink>
      <w:r w:rsidR="006F53C9" w:rsidRPr="00D47D1F">
        <w:rPr>
          <w:rFonts w:eastAsia="Calibri" w:cs="Times New Roman"/>
          <w:b/>
          <w:szCs w:val="24"/>
        </w:rPr>
        <w:t>, </w:t>
      </w:r>
      <w:hyperlink r:id="rId896" w:history="1">
        <w:r w:rsidR="006F53C9" w:rsidRPr="00D47D1F">
          <w:rPr>
            <w:rFonts w:eastAsia="Calibri" w:cs="Times New Roman"/>
            <w:b/>
            <w:szCs w:val="24"/>
          </w:rPr>
          <w:t>Hoffman J</w:t>
        </w:r>
      </w:hyperlink>
      <w:r w:rsidR="006F53C9" w:rsidRPr="00D47D1F">
        <w:rPr>
          <w:rFonts w:eastAsia="Calibri" w:cs="Times New Roman"/>
          <w:b/>
          <w:szCs w:val="24"/>
        </w:rPr>
        <w:t>, </w:t>
      </w:r>
      <w:hyperlink r:id="rId897" w:history="1">
        <w:r w:rsidR="006F53C9" w:rsidRPr="00D47D1F">
          <w:rPr>
            <w:rFonts w:eastAsia="Calibri" w:cs="Times New Roman"/>
            <w:b/>
            <w:szCs w:val="24"/>
          </w:rPr>
          <w:t>Liu G</w:t>
        </w:r>
      </w:hyperlink>
      <w:r w:rsidR="006F53C9" w:rsidRPr="00D47D1F">
        <w:rPr>
          <w:rFonts w:eastAsia="Calibri" w:cs="Times New Roman"/>
          <w:b/>
          <w:szCs w:val="24"/>
        </w:rPr>
        <w:t>, </w:t>
      </w:r>
      <w:hyperlink r:id="rId898" w:history="1">
        <w:r w:rsidR="006F53C9" w:rsidRPr="00D47D1F">
          <w:rPr>
            <w:rFonts w:eastAsia="Calibri" w:cs="Times New Roman"/>
            <w:b/>
            <w:szCs w:val="24"/>
          </w:rPr>
          <w:t>Stone H</w:t>
        </w:r>
      </w:hyperlink>
      <w:r w:rsidR="006F53C9" w:rsidRPr="00D47D1F">
        <w:rPr>
          <w:rFonts w:eastAsia="Calibri" w:cs="Times New Roman"/>
          <w:b/>
          <w:szCs w:val="24"/>
        </w:rPr>
        <w:t>, </w:t>
      </w:r>
      <w:hyperlink r:id="rId899" w:history="1">
        <w:r w:rsidR="006F53C9" w:rsidRPr="00D47D1F">
          <w:rPr>
            <w:rFonts w:eastAsia="Calibri" w:cs="Times New Roman"/>
            <w:b/>
            <w:szCs w:val="24"/>
          </w:rPr>
          <w:t>Sullivan D</w:t>
        </w:r>
      </w:hyperlink>
      <w:r w:rsidR="006F53C9" w:rsidRPr="00D47D1F">
        <w:rPr>
          <w:rFonts w:eastAsia="Calibri" w:cs="Times New Roman"/>
          <w:b/>
          <w:szCs w:val="24"/>
        </w:rPr>
        <w:t xml:space="preserve">. </w:t>
      </w:r>
      <w:r w:rsidR="006F53C9" w:rsidRPr="00D47D1F">
        <w:rPr>
          <w:rFonts w:eastAsia="Calibri" w:cs="Times New Roman"/>
          <w:szCs w:val="24"/>
        </w:rPr>
        <w:t xml:space="preserve">Hypoxia: importance in tumor biology, noninvasive measurement by imaging and value of its measurement in managing cancer therapy. </w:t>
      </w:r>
      <w:r w:rsidR="006F53C9" w:rsidRPr="00D47D1F">
        <w:rPr>
          <w:rFonts w:eastAsia="Calibri" w:cs="Times New Roman"/>
          <w:i/>
          <w:szCs w:val="24"/>
        </w:rPr>
        <w:t>International Journal of Radiation Biology</w:t>
      </w:r>
      <w:r w:rsidR="006F53C9" w:rsidRPr="00D47D1F">
        <w:rPr>
          <w:rFonts w:eastAsia="Calibri" w:cs="Times New Roman"/>
          <w:szCs w:val="24"/>
        </w:rPr>
        <w:t xml:space="preserve"> 2006, 82 (10), 699-757.</w:t>
      </w:r>
    </w:p>
    <w:p w:rsidR="006F53C9" w:rsidRDefault="006F53C9" w:rsidP="00514F54">
      <w:pPr>
        <w:spacing w:before="120" w:after="240"/>
        <w:ind w:firstLine="0"/>
        <w:rPr>
          <w:rFonts w:eastAsia="Calibri" w:cs="Times New Roman"/>
          <w:szCs w:val="24"/>
        </w:rPr>
      </w:pPr>
      <w:r w:rsidRPr="00D47D1F">
        <w:rPr>
          <w:rFonts w:eastAsia="Calibri" w:cs="Times New Roman"/>
          <w:b/>
          <w:szCs w:val="24"/>
        </w:rPr>
        <w:t>Tennant DA, Durán RV, Gottlieb E.</w:t>
      </w:r>
      <w:r w:rsidRPr="00D47D1F">
        <w:rPr>
          <w:rFonts w:eastAsiaTheme="majorEastAsia" w:cstheme="majorBidi"/>
          <w:b/>
          <w:bCs/>
          <w:color w:val="365F91" w:themeColor="accent1" w:themeShade="BF"/>
          <w:szCs w:val="24"/>
        </w:rPr>
        <w:t xml:space="preserve"> </w:t>
      </w:r>
      <w:r w:rsidRPr="00D47D1F">
        <w:rPr>
          <w:rFonts w:eastAsia="Calibri" w:cs="Times New Roman"/>
          <w:szCs w:val="24"/>
        </w:rPr>
        <w:t xml:space="preserve">Targeting metabolic transformation for cancer therapy. </w:t>
      </w:r>
      <w:r w:rsidRPr="00D47D1F">
        <w:rPr>
          <w:rFonts w:eastAsia="Calibri" w:cs="Times New Roman"/>
          <w:i/>
          <w:szCs w:val="24"/>
        </w:rPr>
        <w:t>Nature Rewievs</w:t>
      </w:r>
      <w:r w:rsidRPr="00D47D1F">
        <w:rPr>
          <w:rFonts w:eastAsia="Calibri" w:cs="Times New Roman"/>
          <w:szCs w:val="24"/>
        </w:rPr>
        <w:t xml:space="preserve"> 2010, 10, 267-277. </w:t>
      </w:r>
    </w:p>
    <w:p w:rsidR="006F53C9" w:rsidRPr="00D47D1F" w:rsidRDefault="006F53C9" w:rsidP="00514F54">
      <w:pPr>
        <w:keepNext/>
        <w:keepLines/>
        <w:spacing w:before="120" w:after="240"/>
        <w:ind w:firstLine="0"/>
        <w:outlineLvl w:val="0"/>
        <w:rPr>
          <w:rFonts w:eastAsia="Calibri" w:cs="Times New Roman"/>
          <w:szCs w:val="24"/>
        </w:rPr>
      </w:pPr>
      <w:r w:rsidRPr="00D47D1F">
        <w:rPr>
          <w:rFonts w:eastAsiaTheme="majorEastAsia" w:cs="Times New Roman"/>
          <w:b/>
          <w:bCs/>
          <w:szCs w:val="24"/>
        </w:rPr>
        <w:t xml:space="preserve">Thamrongwaranggoon U, Seubwai W, Phoomak C, Sangkhamanon S, Cha’on U, Boonmars T, Wongkham S. </w:t>
      </w:r>
      <w:r w:rsidRPr="00D47D1F">
        <w:rPr>
          <w:rFonts w:eastAsia="Calibri" w:cs="Times New Roman"/>
          <w:szCs w:val="24"/>
        </w:rPr>
        <w:t xml:space="preserve">Targeting hexokinase II as a possible therapy for cholangiocarcinoma. </w:t>
      </w:r>
      <w:r w:rsidRPr="00D47D1F">
        <w:rPr>
          <w:rFonts w:eastAsia="Calibri" w:cs="Times New Roman"/>
          <w:i/>
          <w:szCs w:val="24"/>
        </w:rPr>
        <w:t>Biochemical and Biophysical Research Communications</w:t>
      </w:r>
      <w:r w:rsidRPr="00D47D1F">
        <w:rPr>
          <w:rFonts w:eastAsia="Calibri" w:cs="Times New Roman"/>
          <w:szCs w:val="24"/>
        </w:rPr>
        <w:t xml:space="preserve"> 2018, 484 (2), 409-415.</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900" w:history="1">
        <w:r w:rsidR="006F53C9" w:rsidRPr="00D47D1F">
          <w:rPr>
            <w:rFonts w:eastAsia="Calibri" w:cs="Times New Roman"/>
            <w:b/>
            <w:szCs w:val="24"/>
          </w:rPr>
          <w:t>Timperley WR</w:t>
        </w:r>
      </w:hyperlink>
      <w:r w:rsidR="006F53C9" w:rsidRPr="00D47D1F">
        <w:rPr>
          <w:rFonts w:eastAsia="Calibri" w:cs="Times New Roman"/>
          <w:b/>
          <w:szCs w:val="24"/>
        </w:rPr>
        <w:t>.</w:t>
      </w:r>
      <w:r w:rsidR="006F53C9" w:rsidRPr="00D47D1F">
        <w:rPr>
          <w:rFonts w:eastAsiaTheme="majorEastAsia" w:cstheme="majorBidi"/>
          <w:bCs/>
          <w:color w:val="365F91" w:themeColor="accent1" w:themeShade="BF"/>
          <w:szCs w:val="24"/>
        </w:rPr>
        <w:t xml:space="preserve"> </w:t>
      </w:r>
      <w:r w:rsidR="006F53C9" w:rsidRPr="00D47D1F">
        <w:rPr>
          <w:rFonts w:eastAsia="Calibri" w:cs="Times New Roman"/>
          <w:szCs w:val="24"/>
        </w:rPr>
        <w:t xml:space="preserve">Lactate dehydrogenase isoenzymes in tumours of the nervous system. </w:t>
      </w:r>
      <w:r w:rsidR="006F53C9" w:rsidRPr="00D47D1F">
        <w:rPr>
          <w:rFonts w:eastAsia="Calibri" w:cs="Times New Roman"/>
          <w:i/>
          <w:szCs w:val="24"/>
        </w:rPr>
        <w:t>Acta Neuropathologica</w:t>
      </w:r>
      <w:r w:rsidR="006F53C9" w:rsidRPr="00D47D1F">
        <w:rPr>
          <w:rFonts w:eastAsia="Calibri" w:cs="Times New Roman"/>
          <w:szCs w:val="24"/>
        </w:rPr>
        <w:t xml:space="preserve"> 1971, 19 (1), 20-24.</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901" w:history="1">
        <w:r w:rsidR="006F53C9" w:rsidRPr="00D47D1F">
          <w:rPr>
            <w:rFonts w:eastAsia="Calibri" w:cs="Times New Roman"/>
            <w:b/>
            <w:szCs w:val="24"/>
          </w:rPr>
          <w:t>Trédan O</w:t>
        </w:r>
      </w:hyperlink>
      <w:r w:rsidR="006F53C9" w:rsidRPr="00D47D1F">
        <w:rPr>
          <w:rFonts w:eastAsia="Calibri" w:cs="Times New Roman"/>
          <w:b/>
          <w:szCs w:val="24"/>
        </w:rPr>
        <w:t>, </w:t>
      </w:r>
      <w:hyperlink r:id="rId902" w:history="1">
        <w:r w:rsidR="006F53C9" w:rsidRPr="00D47D1F">
          <w:rPr>
            <w:rFonts w:eastAsia="Calibri" w:cs="Times New Roman"/>
            <w:b/>
            <w:szCs w:val="24"/>
          </w:rPr>
          <w:t>Galmarini CM</w:t>
        </w:r>
      </w:hyperlink>
      <w:r w:rsidR="006F53C9" w:rsidRPr="00D47D1F">
        <w:rPr>
          <w:rFonts w:eastAsia="Calibri" w:cs="Times New Roman"/>
          <w:b/>
          <w:szCs w:val="24"/>
        </w:rPr>
        <w:t>, </w:t>
      </w:r>
      <w:hyperlink r:id="rId903" w:history="1">
        <w:r w:rsidR="006F53C9" w:rsidRPr="00D47D1F">
          <w:rPr>
            <w:rFonts w:eastAsia="Calibri" w:cs="Times New Roman"/>
            <w:b/>
            <w:szCs w:val="24"/>
          </w:rPr>
          <w:t>Patel K</w:t>
        </w:r>
      </w:hyperlink>
      <w:r w:rsidR="006F53C9" w:rsidRPr="00D47D1F">
        <w:rPr>
          <w:rFonts w:eastAsia="Calibri" w:cs="Times New Roman"/>
          <w:b/>
          <w:szCs w:val="24"/>
        </w:rPr>
        <w:t>, </w:t>
      </w:r>
      <w:hyperlink r:id="rId904" w:history="1">
        <w:r w:rsidR="006F53C9" w:rsidRPr="00D47D1F">
          <w:rPr>
            <w:rFonts w:eastAsia="Calibri" w:cs="Times New Roman"/>
            <w:b/>
            <w:szCs w:val="24"/>
          </w:rPr>
          <w:t>Tannock IF</w:t>
        </w:r>
      </w:hyperlink>
      <w:r w:rsidR="006F53C9" w:rsidRPr="00D47D1F">
        <w:rPr>
          <w:rFonts w:eastAsia="Calibri" w:cs="Times New Roman"/>
          <w:b/>
          <w:szCs w:val="24"/>
        </w:rPr>
        <w:t>.</w:t>
      </w:r>
      <w:r w:rsidR="006F53C9" w:rsidRPr="00D47D1F">
        <w:rPr>
          <w:rFonts w:eastAsia="Calibri" w:cs="Times New Roman"/>
          <w:szCs w:val="24"/>
        </w:rPr>
        <w:t xml:space="preserve"> Drug resistance and the solid tumor microenvironment</w:t>
      </w:r>
      <w:r w:rsidR="006F53C9" w:rsidRPr="00D47D1F">
        <w:rPr>
          <w:rFonts w:eastAsia="Calibri" w:cs="Times New Roman"/>
          <w:i/>
          <w:szCs w:val="24"/>
        </w:rPr>
        <w:t>. Journal of The National Cancer Institute</w:t>
      </w:r>
      <w:r w:rsidR="006F53C9" w:rsidRPr="00D47D1F">
        <w:rPr>
          <w:rFonts w:eastAsia="Calibri" w:cs="Times New Roman"/>
          <w:szCs w:val="24"/>
        </w:rPr>
        <w:t xml:space="preserve"> 2007, 99 (19), 1441-1454.</w:t>
      </w:r>
    </w:p>
    <w:p w:rsidR="006F53C9" w:rsidRPr="00D47D1F" w:rsidRDefault="006F53C9" w:rsidP="00514F54">
      <w:pPr>
        <w:spacing w:before="120" w:after="240"/>
        <w:ind w:firstLine="0"/>
        <w:rPr>
          <w:rFonts w:eastAsia="Calibri" w:cs="Times New Roman"/>
          <w:szCs w:val="24"/>
        </w:rPr>
      </w:pPr>
      <w:r w:rsidRPr="00D47D1F">
        <w:rPr>
          <w:rFonts w:eastAsiaTheme="majorEastAsia" w:cs="Times New Roman"/>
          <w:b/>
          <w:bCs/>
          <w:szCs w:val="24"/>
        </w:rPr>
        <w:t>Tristan C, Shahani N, Sedlak TW, Sawa A.</w:t>
      </w:r>
      <w:r w:rsidRPr="00D47D1F">
        <w:rPr>
          <w:rFonts w:eastAsia="Calibri" w:cs="Times New Roman"/>
          <w:szCs w:val="24"/>
        </w:rPr>
        <w:t xml:space="preserve"> The diverse functions of GAPDH: views from different subcellular compartments. </w:t>
      </w:r>
      <w:r w:rsidRPr="00D47D1F">
        <w:rPr>
          <w:rFonts w:eastAsia="Calibri" w:cs="Times New Roman"/>
          <w:i/>
          <w:szCs w:val="24"/>
        </w:rPr>
        <w:t>Cellular Signalling</w:t>
      </w:r>
      <w:r w:rsidRPr="00D47D1F">
        <w:rPr>
          <w:rFonts w:eastAsia="Calibri" w:cs="Times New Roman"/>
          <w:szCs w:val="24"/>
        </w:rPr>
        <w:t xml:space="preserve"> 2011, 23, 317–323.</w:t>
      </w:r>
    </w:p>
    <w:p w:rsidR="006F53C9" w:rsidRPr="00D47D1F" w:rsidRDefault="006F53C9" w:rsidP="00514F54">
      <w:pPr>
        <w:autoSpaceDE w:val="0"/>
        <w:autoSpaceDN w:val="0"/>
        <w:adjustRightInd w:val="0"/>
        <w:spacing w:before="120" w:after="240"/>
        <w:ind w:firstLine="0"/>
        <w:rPr>
          <w:rFonts w:eastAsia="Calibri" w:cs="Times New Roman"/>
          <w:szCs w:val="24"/>
        </w:rPr>
      </w:pPr>
      <w:r w:rsidRPr="00D47D1F">
        <w:rPr>
          <w:rFonts w:eastAsia="Calibri" w:cs="Times New Roman"/>
          <w:b/>
          <w:szCs w:val="24"/>
        </w:rPr>
        <w:t>Valvona CJ, Fillmore HL, Nunn PB, Pilkington GJ.</w:t>
      </w:r>
      <w:r w:rsidRPr="00D47D1F">
        <w:rPr>
          <w:rFonts w:eastAsia="Calibri" w:cs="Times New Roman"/>
          <w:szCs w:val="24"/>
        </w:rPr>
        <w:t xml:space="preserve"> The Regulation and Function of Lactate Dehydrogenase A: Therapeutic Potential in Brain Tumor. </w:t>
      </w:r>
      <w:r w:rsidRPr="00D47D1F">
        <w:rPr>
          <w:rFonts w:eastAsia="Calibri" w:cs="Times New Roman"/>
          <w:i/>
          <w:szCs w:val="24"/>
        </w:rPr>
        <w:t>Brain Pathology</w:t>
      </w:r>
      <w:r w:rsidRPr="00D47D1F">
        <w:rPr>
          <w:rFonts w:eastAsia="Calibri" w:cs="Times New Roman"/>
          <w:szCs w:val="24"/>
        </w:rPr>
        <w:t xml:space="preserve"> 2016, 26, 3-17. </w:t>
      </w:r>
    </w:p>
    <w:p w:rsidR="006F53C9" w:rsidRPr="00D47D1F" w:rsidRDefault="006F53C9" w:rsidP="00514F54">
      <w:pPr>
        <w:spacing w:before="120" w:after="240"/>
        <w:ind w:firstLine="0"/>
        <w:rPr>
          <w:rFonts w:eastAsia="Calibri" w:cs="Times New Roman"/>
          <w:szCs w:val="24"/>
        </w:rPr>
      </w:pPr>
      <w:r w:rsidRPr="00D47D1F">
        <w:rPr>
          <w:rFonts w:eastAsia="Calibri" w:cs="Times New Roman"/>
          <w:b/>
          <w:szCs w:val="24"/>
        </w:rPr>
        <w:t>Van Den Brenk HA, Jamieson D.</w:t>
      </w:r>
      <w:r w:rsidRPr="00D47D1F">
        <w:rPr>
          <w:rFonts w:eastAsia="Calibri" w:cs="Times New Roman"/>
          <w:szCs w:val="24"/>
        </w:rPr>
        <w:t xml:space="preserve"> Potentiation by anaesthetics of brain damage due to breathing high-pressure oxygen in mammals. </w:t>
      </w:r>
      <w:r w:rsidRPr="00D47D1F">
        <w:rPr>
          <w:rFonts w:eastAsia="Calibri" w:cs="Times New Roman"/>
          <w:i/>
          <w:szCs w:val="24"/>
        </w:rPr>
        <w:t>Nature</w:t>
      </w:r>
      <w:r w:rsidRPr="00D47D1F">
        <w:rPr>
          <w:rFonts w:eastAsia="Calibri" w:cs="Times New Roman"/>
          <w:szCs w:val="24"/>
        </w:rPr>
        <w:t xml:space="preserve"> 1962, 194, 777-778.</w:t>
      </w:r>
    </w:p>
    <w:p w:rsidR="006F53C9" w:rsidRPr="006F53C9" w:rsidRDefault="0037177D" w:rsidP="00514F54">
      <w:pPr>
        <w:keepNext/>
        <w:keepLines/>
        <w:shd w:val="clear" w:color="auto" w:fill="FFFFFF"/>
        <w:spacing w:before="120" w:after="240"/>
        <w:ind w:firstLine="0"/>
        <w:outlineLvl w:val="0"/>
        <w:rPr>
          <w:rFonts w:eastAsia="Calibri" w:cs="Times New Roman"/>
          <w:bCs/>
          <w:szCs w:val="24"/>
        </w:rPr>
      </w:pPr>
      <w:hyperlink r:id="rId905" w:history="1">
        <w:r w:rsidR="006F53C9" w:rsidRPr="006F53C9">
          <w:rPr>
            <w:rFonts w:eastAsia="Calibri" w:cs="Times New Roman"/>
            <w:b/>
            <w:bCs/>
            <w:szCs w:val="24"/>
          </w:rPr>
          <w:t>Van Driel BE</w:t>
        </w:r>
      </w:hyperlink>
      <w:r w:rsidR="006F53C9" w:rsidRPr="006F53C9">
        <w:rPr>
          <w:rFonts w:eastAsia="Calibri" w:cs="Times New Roman"/>
          <w:b/>
          <w:bCs/>
          <w:szCs w:val="24"/>
        </w:rPr>
        <w:t>, </w:t>
      </w:r>
      <w:hyperlink r:id="rId906" w:history="1">
        <w:r w:rsidR="006F53C9" w:rsidRPr="006F53C9">
          <w:rPr>
            <w:rFonts w:eastAsia="Calibri" w:cs="Times New Roman"/>
            <w:b/>
            <w:bCs/>
            <w:szCs w:val="24"/>
          </w:rPr>
          <w:t>Valet GK</w:t>
        </w:r>
      </w:hyperlink>
      <w:r w:rsidR="006F53C9" w:rsidRPr="006F53C9">
        <w:rPr>
          <w:rFonts w:eastAsia="Calibri" w:cs="Times New Roman"/>
          <w:b/>
          <w:bCs/>
          <w:szCs w:val="24"/>
        </w:rPr>
        <w:t>, </w:t>
      </w:r>
      <w:hyperlink r:id="rId907" w:history="1">
        <w:r w:rsidR="006F53C9" w:rsidRPr="006F53C9">
          <w:rPr>
            <w:rFonts w:eastAsia="Calibri" w:cs="Times New Roman"/>
            <w:b/>
            <w:bCs/>
            <w:szCs w:val="24"/>
          </w:rPr>
          <w:t>Lyon H</w:t>
        </w:r>
      </w:hyperlink>
      <w:r w:rsidR="006F53C9" w:rsidRPr="006F53C9">
        <w:rPr>
          <w:rFonts w:eastAsia="Calibri" w:cs="Times New Roman"/>
          <w:b/>
          <w:bCs/>
          <w:szCs w:val="24"/>
        </w:rPr>
        <w:t>, </w:t>
      </w:r>
      <w:hyperlink r:id="rId908" w:history="1">
        <w:r w:rsidR="006F53C9" w:rsidRPr="006F53C9">
          <w:rPr>
            <w:rFonts w:eastAsia="Calibri" w:cs="Times New Roman"/>
            <w:b/>
            <w:bCs/>
            <w:szCs w:val="24"/>
          </w:rPr>
          <w:t>Hansen U</w:t>
        </w:r>
      </w:hyperlink>
      <w:r w:rsidR="006F53C9" w:rsidRPr="006F53C9">
        <w:rPr>
          <w:rFonts w:eastAsia="Calibri" w:cs="Times New Roman"/>
          <w:b/>
          <w:bCs/>
          <w:szCs w:val="24"/>
        </w:rPr>
        <w:t>, </w:t>
      </w:r>
      <w:hyperlink r:id="rId909" w:history="1">
        <w:r w:rsidR="006F53C9" w:rsidRPr="006F53C9">
          <w:rPr>
            <w:rFonts w:eastAsia="Calibri" w:cs="Times New Roman"/>
            <w:b/>
            <w:bCs/>
            <w:szCs w:val="24"/>
          </w:rPr>
          <w:t>Song JY</w:t>
        </w:r>
      </w:hyperlink>
      <w:r w:rsidR="006F53C9" w:rsidRPr="006F53C9">
        <w:rPr>
          <w:rFonts w:eastAsia="Calibri" w:cs="Times New Roman"/>
          <w:b/>
          <w:bCs/>
          <w:szCs w:val="24"/>
        </w:rPr>
        <w:t>, </w:t>
      </w:r>
      <w:hyperlink r:id="rId910" w:history="1">
        <w:r w:rsidR="006F53C9" w:rsidRPr="006F53C9">
          <w:rPr>
            <w:rFonts w:eastAsia="Calibri" w:cs="Times New Roman"/>
            <w:b/>
            <w:bCs/>
            <w:szCs w:val="24"/>
          </w:rPr>
          <w:t>Van Noorden CJ</w:t>
        </w:r>
      </w:hyperlink>
      <w:r w:rsidR="006F53C9" w:rsidRPr="006F53C9">
        <w:rPr>
          <w:rFonts w:eastAsia="Calibri" w:cs="Times New Roman"/>
          <w:b/>
          <w:bCs/>
          <w:szCs w:val="24"/>
        </w:rPr>
        <w:t>.</w:t>
      </w:r>
      <w:r w:rsidR="006F53C9" w:rsidRPr="006F53C9">
        <w:rPr>
          <w:rFonts w:eastAsia="Calibri" w:cs="Times New Roman"/>
          <w:bCs/>
          <w:szCs w:val="24"/>
        </w:rPr>
        <w:t xml:space="preserve"> Prognostic estimation of survival of colorectal cancer patients with the quantitative histochemical assay of G6PDH activity and the multiparameter classification program CLASSIF1. </w:t>
      </w:r>
      <w:r w:rsidR="006F53C9" w:rsidRPr="006F53C9">
        <w:rPr>
          <w:rFonts w:eastAsia="Calibri" w:cs="Times New Roman"/>
          <w:bCs/>
          <w:i/>
          <w:szCs w:val="24"/>
        </w:rPr>
        <w:t>Cytometry</w:t>
      </w:r>
      <w:r w:rsidR="006F53C9" w:rsidRPr="006F53C9">
        <w:rPr>
          <w:rFonts w:eastAsia="Calibri" w:cs="Times New Roman"/>
          <w:bCs/>
          <w:szCs w:val="24"/>
        </w:rPr>
        <w:t xml:space="preserve"> 1999, 38(4), 76-83.</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911" w:history="1">
        <w:r w:rsidR="006F53C9" w:rsidRPr="00D47D1F">
          <w:rPr>
            <w:rFonts w:eastAsia="Calibri" w:cs="Times New Roman"/>
            <w:b/>
            <w:szCs w:val="24"/>
          </w:rPr>
          <w:t>Van Heerden JH</w:t>
        </w:r>
      </w:hyperlink>
      <w:r w:rsidR="006F53C9" w:rsidRPr="00D47D1F">
        <w:rPr>
          <w:rFonts w:eastAsia="Calibri" w:cs="Times New Roman"/>
          <w:b/>
          <w:szCs w:val="24"/>
        </w:rPr>
        <w:t>, </w:t>
      </w:r>
      <w:hyperlink r:id="rId912" w:history="1">
        <w:r w:rsidR="006F53C9" w:rsidRPr="00D47D1F">
          <w:rPr>
            <w:rFonts w:eastAsia="Calibri" w:cs="Times New Roman"/>
            <w:b/>
            <w:szCs w:val="24"/>
          </w:rPr>
          <w:t>Wortel MT</w:t>
        </w:r>
      </w:hyperlink>
      <w:r w:rsidR="006F53C9" w:rsidRPr="00D47D1F">
        <w:rPr>
          <w:rFonts w:eastAsia="Calibri" w:cs="Times New Roman"/>
          <w:b/>
          <w:szCs w:val="24"/>
        </w:rPr>
        <w:t>, </w:t>
      </w:r>
      <w:hyperlink r:id="rId913" w:history="1">
        <w:r w:rsidR="006F53C9" w:rsidRPr="00D47D1F">
          <w:rPr>
            <w:rFonts w:eastAsia="Calibri" w:cs="Times New Roman"/>
            <w:b/>
            <w:szCs w:val="24"/>
          </w:rPr>
          <w:t>Bruggeman FJ</w:t>
        </w:r>
      </w:hyperlink>
      <w:r w:rsidR="006F53C9" w:rsidRPr="00D47D1F">
        <w:rPr>
          <w:rFonts w:eastAsia="Calibri" w:cs="Times New Roman"/>
          <w:b/>
          <w:szCs w:val="24"/>
        </w:rPr>
        <w:t>, </w:t>
      </w:r>
      <w:hyperlink r:id="rId914" w:history="1">
        <w:r w:rsidR="006F53C9" w:rsidRPr="00D47D1F">
          <w:rPr>
            <w:rFonts w:eastAsia="Calibri" w:cs="Times New Roman"/>
            <w:b/>
            <w:szCs w:val="24"/>
          </w:rPr>
          <w:t>Heijnen JJ</w:t>
        </w:r>
      </w:hyperlink>
      <w:r w:rsidR="006F53C9" w:rsidRPr="00D47D1F">
        <w:rPr>
          <w:rFonts w:eastAsia="Calibri" w:cs="Times New Roman"/>
          <w:b/>
          <w:szCs w:val="24"/>
        </w:rPr>
        <w:t>, </w:t>
      </w:r>
      <w:hyperlink r:id="rId915" w:history="1">
        <w:r w:rsidR="006F53C9" w:rsidRPr="00D47D1F">
          <w:rPr>
            <w:rFonts w:eastAsia="Calibri" w:cs="Times New Roman"/>
            <w:b/>
            <w:szCs w:val="24"/>
          </w:rPr>
          <w:t>Bollen YJ</w:t>
        </w:r>
      </w:hyperlink>
      <w:r w:rsidR="006F53C9" w:rsidRPr="00D47D1F">
        <w:rPr>
          <w:rFonts w:eastAsia="Calibri" w:cs="Times New Roman"/>
          <w:b/>
          <w:szCs w:val="24"/>
        </w:rPr>
        <w:t>, </w:t>
      </w:r>
      <w:hyperlink r:id="rId916" w:history="1">
        <w:r w:rsidR="006F53C9" w:rsidRPr="00D47D1F">
          <w:rPr>
            <w:rFonts w:eastAsia="Calibri" w:cs="Times New Roman"/>
            <w:b/>
            <w:szCs w:val="24"/>
          </w:rPr>
          <w:t>Planqué R</w:t>
        </w:r>
      </w:hyperlink>
      <w:r w:rsidR="006F53C9" w:rsidRPr="00D47D1F">
        <w:rPr>
          <w:rFonts w:eastAsia="Calibri" w:cs="Times New Roman"/>
          <w:b/>
          <w:szCs w:val="24"/>
        </w:rPr>
        <w:t>, </w:t>
      </w:r>
      <w:hyperlink r:id="rId917" w:history="1">
        <w:r w:rsidR="006F53C9" w:rsidRPr="00D47D1F">
          <w:rPr>
            <w:rFonts w:eastAsia="Calibri" w:cs="Times New Roman"/>
            <w:b/>
            <w:szCs w:val="24"/>
          </w:rPr>
          <w:t>Hulshof J</w:t>
        </w:r>
      </w:hyperlink>
      <w:r w:rsidR="006F53C9" w:rsidRPr="00D47D1F">
        <w:rPr>
          <w:rFonts w:eastAsia="Calibri" w:cs="Times New Roman"/>
          <w:b/>
          <w:szCs w:val="24"/>
        </w:rPr>
        <w:t>, </w:t>
      </w:r>
      <w:hyperlink r:id="rId918" w:history="1">
        <w:r w:rsidR="006F53C9" w:rsidRPr="00D47D1F">
          <w:rPr>
            <w:rFonts w:eastAsia="Calibri" w:cs="Times New Roman"/>
            <w:b/>
            <w:szCs w:val="24"/>
          </w:rPr>
          <w:t>O'Toole TG</w:t>
        </w:r>
      </w:hyperlink>
      <w:r w:rsidR="006F53C9" w:rsidRPr="00D47D1F">
        <w:rPr>
          <w:rFonts w:eastAsia="Calibri" w:cs="Times New Roman"/>
          <w:b/>
          <w:szCs w:val="24"/>
        </w:rPr>
        <w:t>, </w:t>
      </w:r>
      <w:hyperlink r:id="rId919" w:history="1">
        <w:r w:rsidR="006F53C9" w:rsidRPr="00D47D1F">
          <w:rPr>
            <w:rFonts w:eastAsia="Calibri" w:cs="Times New Roman"/>
            <w:b/>
            <w:szCs w:val="24"/>
          </w:rPr>
          <w:t>Wahl SA</w:t>
        </w:r>
      </w:hyperlink>
      <w:r w:rsidR="006F53C9" w:rsidRPr="00D47D1F">
        <w:rPr>
          <w:rFonts w:eastAsia="Calibri" w:cs="Times New Roman"/>
          <w:b/>
          <w:szCs w:val="24"/>
        </w:rPr>
        <w:t>, </w:t>
      </w:r>
      <w:hyperlink r:id="rId920" w:history="1">
        <w:r w:rsidR="006F53C9" w:rsidRPr="00D47D1F">
          <w:rPr>
            <w:rFonts w:eastAsia="Calibri" w:cs="Times New Roman"/>
            <w:b/>
            <w:szCs w:val="24"/>
          </w:rPr>
          <w:t>Teusink B</w:t>
        </w:r>
      </w:hyperlink>
      <w:r w:rsidR="006F53C9" w:rsidRPr="00D47D1F">
        <w:rPr>
          <w:rFonts w:eastAsia="Calibri" w:cs="Times New Roman"/>
          <w:b/>
          <w:szCs w:val="24"/>
        </w:rPr>
        <w:t>.</w:t>
      </w:r>
      <w:r w:rsidR="006F53C9" w:rsidRPr="00D47D1F">
        <w:rPr>
          <w:rFonts w:eastAsiaTheme="majorEastAsia" w:cstheme="majorBidi"/>
          <w:bCs/>
          <w:color w:val="365F91" w:themeColor="accent1" w:themeShade="BF"/>
          <w:szCs w:val="24"/>
        </w:rPr>
        <w:t xml:space="preserve"> </w:t>
      </w:r>
      <w:r w:rsidR="006F53C9" w:rsidRPr="00D47D1F">
        <w:rPr>
          <w:rFonts w:eastAsia="Calibri" w:cs="Times New Roman"/>
          <w:szCs w:val="24"/>
        </w:rPr>
        <w:t xml:space="preserve">Lost in transition: start-up of glycolysis yields subpopulations of nongrowing cells. </w:t>
      </w:r>
      <w:r w:rsidR="006F53C9" w:rsidRPr="00D47D1F">
        <w:rPr>
          <w:rFonts w:eastAsia="Calibri" w:cs="Times New Roman"/>
          <w:i/>
          <w:szCs w:val="24"/>
        </w:rPr>
        <w:t>Science</w:t>
      </w:r>
      <w:r w:rsidR="006F53C9" w:rsidRPr="00D47D1F">
        <w:rPr>
          <w:rFonts w:eastAsia="Calibri" w:cs="Times New Roman"/>
          <w:szCs w:val="24"/>
        </w:rPr>
        <w:t xml:space="preserve"> 2014, 343(6174), 1245114.</w:t>
      </w:r>
    </w:p>
    <w:p w:rsidR="006F53C9" w:rsidRPr="00D47D1F" w:rsidRDefault="006F53C9" w:rsidP="00514F54">
      <w:pPr>
        <w:spacing w:before="120" w:after="240"/>
        <w:ind w:firstLine="0"/>
        <w:rPr>
          <w:rFonts w:eastAsia="Calibri" w:cs="Times New Roman"/>
          <w:szCs w:val="24"/>
        </w:rPr>
      </w:pPr>
      <w:r w:rsidRPr="00D47D1F">
        <w:rPr>
          <w:rFonts w:eastAsia="Calibri" w:cs="Times New Roman"/>
          <w:b/>
          <w:szCs w:val="24"/>
        </w:rPr>
        <w:t>Vander Heiden MG, Cantley LC, Thompson CB.</w:t>
      </w:r>
      <w:r w:rsidRPr="00D47D1F">
        <w:rPr>
          <w:rFonts w:eastAsia="Calibri" w:cs="Times New Roman"/>
          <w:szCs w:val="24"/>
        </w:rPr>
        <w:t xml:space="preserve"> Understanding the Warburg effect: The metabolic requirements of cell proliferation. </w:t>
      </w:r>
      <w:r w:rsidRPr="00D47D1F">
        <w:rPr>
          <w:rFonts w:eastAsia="Calibri" w:cs="Times New Roman"/>
          <w:i/>
          <w:szCs w:val="24"/>
        </w:rPr>
        <w:t>Science</w:t>
      </w:r>
      <w:r w:rsidRPr="00D47D1F">
        <w:rPr>
          <w:rFonts w:eastAsia="Calibri" w:cs="Times New Roman"/>
          <w:szCs w:val="24"/>
        </w:rPr>
        <w:t xml:space="preserve"> 2009, 324, 1029-1033.</w:t>
      </w:r>
    </w:p>
    <w:p w:rsidR="006F53C9" w:rsidRDefault="006F53C9" w:rsidP="00514F54">
      <w:pPr>
        <w:spacing w:before="120" w:after="240"/>
        <w:ind w:firstLine="0"/>
        <w:rPr>
          <w:rFonts w:eastAsia="Calibri" w:cs="Times New Roman"/>
          <w:bCs/>
          <w:szCs w:val="24"/>
        </w:rPr>
      </w:pPr>
      <w:r w:rsidRPr="00D47D1F">
        <w:rPr>
          <w:rFonts w:eastAsia="Calibri" w:cs="Times New Roman"/>
          <w:b/>
          <w:bCs/>
          <w:szCs w:val="24"/>
        </w:rPr>
        <w:t>Vaupel P, Kallinowski F, Okunieff P.</w:t>
      </w:r>
      <w:r w:rsidRPr="00D47D1F">
        <w:rPr>
          <w:rFonts w:ascii="Calibri" w:eastAsia="Calibri" w:hAnsi="Calibri" w:cs="Times New Roman"/>
          <w:b/>
          <w:sz w:val="22"/>
        </w:rPr>
        <w:t xml:space="preserve"> </w:t>
      </w:r>
      <w:r w:rsidRPr="00D47D1F">
        <w:rPr>
          <w:rFonts w:eastAsia="Calibri" w:cs="Times New Roman"/>
          <w:bCs/>
          <w:szCs w:val="24"/>
        </w:rPr>
        <w:t xml:space="preserve">Blood flow, oxygen and nutrient supply, and metabolic microenvironment of human tumors: a review. </w:t>
      </w:r>
      <w:r w:rsidRPr="00D47D1F">
        <w:rPr>
          <w:rFonts w:eastAsia="Calibri" w:cs="Times New Roman"/>
          <w:bCs/>
          <w:i/>
          <w:szCs w:val="24"/>
        </w:rPr>
        <w:t>Cancer research</w:t>
      </w:r>
      <w:r w:rsidRPr="00D47D1F">
        <w:rPr>
          <w:rFonts w:eastAsia="Calibri" w:cs="Times New Roman"/>
          <w:bCs/>
          <w:szCs w:val="24"/>
        </w:rPr>
        <w:t xml:space="preserve"> 1989, 49 (23), 6449-6465.</w:t>
      </w:r>
    </w:p>
    <w:p w:rsidR="006F53C9" w:rsidRDefault="006F53C9" w:rsidP="00514F54">
      <w:pPr>
        <w:spacing w:before="120" w:after="240"/>
        <w:ind w:firstLine="0"/>
        <w:rPr>
          <w:rFonts w:eastAsia="Calibri" w:cs="Times New Roman"/>
          <w:szCs w:val="24"/>
        </w:rPr>
      </w:pPr>
      <w:r w:rsidRPr="00D47D1F">
        <w:rPr>
          <w:rFonts w:eastAsia="Calibri" w:cs="Times New Roman"/>
          <w:b/>
          <w:szCs w:val="24"/>
        </w:rPr>
        <w:t>Vazquez A, Liu J, Zhou Y,Oltvai ZN.</w:t>
      </w:r>
      <w:r w:rsidRPr="00D47D1F">
        <w:rPr>
          <w:rFonts w:eastAsiaTheme="majorEastAsia" w:cstheme="majorBidi"/>
          <w:b/>
          <w:bCs/>
          <w:color w:val="365F91" w:themeColor="accent1" w:themeShade="BF"/>
          <w:szCs w:val="24"/>
        </w:rPr>
        <w:t xml:space="preserve"> </w:t>
      </w:r>
      <w:r w:rsidRPr="00D47D1F">
        <w:rPr>
          <w:rFonts w:eastAsia="Calibri" w:cs="Times New Roman"/>
          <w:szCs w:val="24"/>
        </w:rPr>
        <w:t xml:space="preserve">Catabolic efficiency of aerobic glycolysis: the Warburg effect revisited. </w:t>
      </w:r>
      <w:r w:rsidRPr="00D47D1F">
        <w:rPr>
          <w:rFonts w:eastAsia="Calibri" w:cs="Times New Roman"/>
          <w:i/>
          <w:szCs w:val="24"/>
        </w:rPr>
        <w:t>BMC Systems Biology</w:t>
      </w:r>
      <w:r w:rsidRPr="00D47D1F">
        <w:rPr>
          <w:rFonts w:eastAsia="Calibri" w:cs="Times New Roman"/>
          <w:szCs w:val="24"/>
        </w:rPr>
        <w:t xml:space="preserve"> 2010, 4, 58.</w:t>
      </w:r>
    </w:p>
    <w:p w:rsidR="006F53C9" w:rsidRPr="00D47D1F" w:rsidRDefault="0037177D" w:rsidP="00514F54">
      <w:pPr>
        <w:spacing w:before="120" w:after="240"/>
        <w:ind w:firstLine="0"/>
        <w:rPr>
          <w:rFonts w:eastAsia="Calibri" w:cs="Times New Roman"/>
          <w:szCs w:val="24"/>
        </w:rPr>
      </w:pPr>
      <w:hyperlink r:id="rId921" w:history="1">
        <w:r w:rsidR="006F53C9" w:rsidRPr="00D47D1F">
          <w:rPr>
            <w:rFonts w:eastAsia="Calibri" w:cs="Times New Roman"/>
            <w:b/>
            <w:szCs w:val="24"/>
          </w:rPr>
          <w:t>Végran F</w:t>
        </w:r>
      </w:hyperlink>
      <w:r w:rsidR="006F53C9" w:rsidRPr="00D47D1F">
        <w:rPr>
          <w:rFonts w:eastAsia="Calibri" w:cs="Times New Roman"/>
          <w:b/>
          <w:szCs w:val="24"/>
        </w:rPr>
        <w:t>, </w:t>
      </w:r>
      <w:hyperlink r:id="rId922" w:history="1">
        <w:r w:rsidR="006F53C9" w:rsidRPr="00D47D1F">
          <w:rPr>
            <w:rFonts w:eastAsia="Calibri" w:cs="Times New Roman"/>
            <w:b/>
            <w:szCs w:val="24"/>
          </w:rPr>
          <w:t>Boidot R</w:t>
        </w:r>
      </w:hyperlink>
      <w:r w:rsidR="006F53C9" w:rsidRPr="00D47D1F">
        <w:rPr>
          <w:rFonts w:eastAsia="Calibri" w:cs="Times New Roman"/>
          <w:b/>
          <w:szCs w:val="24"/>
        </w:rPr>
        <w:t>, </w:t>
      </w:r>
      <w:hyperlink r:id="rId923" w:history="1">
        <w:r w:rsidR="006F53C9" w:rsidRPr="00D47D1F">
          <w:rPr>
            <w:rFonts w:eastAsia="Calibri" w:cs="Times New Roman"/>
            <w:b/>
            <w:szCs w:val="24"/>
          </w:rPr>
          <w:t>Michiels C</w:t>
        </w:r>
      </w:hyperlink>
      <w:r w:rsidR="006F53C9" w:rsidRPr="00D47D1F">
        <w:rPr>
          <w:rFonts w:eastAsia="Calibri" w:cs="Times New Roman"/>
          <w:b/>
          <w:szCs w:val="24"/>
        </w:rPr>
        <w:t>, </w:t>
      </w:r>
      <w:hyperlink r:id="rId924" w:history="1">
        <w:r w:rsidR="006F53C9" w:rsidRPr="00D47D1F">
          <w:rPr>
            <w:rFonts w:eastAsia="Calibri" w:cs="Times New Roman"/>
            <w:b/>
            <w:szCs w:val="24"/>
          </w:rPr>
          <w:t>Sonveaux P</w:t>
        </w:r>
      </w:hyperlink>
      <w:r w:rsidR="006F53C9" w:rsidRPr="00D47D1F">
        <w:rPr>
          <w:rFonts w:eastAsia="Calibri" w:cs="Times New Roman"/>
          <w:b/>
          <w:szCs w:val="24"/>
        </w:rPr>
        <w:t>, </w:t>
      </w:r>
      <w:hyperlink r:id="rId925" w:history="1">
        <w:r w:rsidR="006F53C9" w:rsidRPr="00D47D1F">
          <w:rPr>
            <w:rFonts w:eastAsia="Calibri" w:cs="Times New Roman"/>
            <w:b/>
            <w:szCs w:val="24"/>
          </w:rPr>
          <w:t>Feron O</w:t>
        </w:r>
      </w:hyperlink>
      <w:r w:rsidR="006F53C9" w:rsidRPr="00D47D1F">
        <w:rPr>
          <w:rFonts w:eastAsia="Calibri" w:cs="Times New Roman"/>
          <w:b/>
          <w:szCs w:val="24"/>
        </w:rPr>
        <w:t xml:space="preserve">. </w:t>
      </w:r>
      <w:r w:rsidR="006F53C9" w:rsidRPr="00D47D1F">
        <w:rPr>
          <w:rFonts w:eastAsia="Calibri" w:cs="Times New Roman"/>
          <w:szCs w:val="24"/>
        </w:rPr>
        <w:t xml:space="preserve">Lactate influx through the endothelial cell monocarboxylate transporter MCT1 supports an NF-κB/IL-8 pathway that drives tumor angiogenesis. </w:t>
      </w:r>
      <w:r w:rsidR="006F53C9" w:rsidRPr="00D47D1F">
        <w:rPr>
          <w:rFonts w:eastAsia="Calibri" w:cs="Times New Roman"/>
          <w:i/>
          <w:szCs w:val="24"/>
        </w:rPr>
        <w:t>Cancer Research</w:t>
      </w:r>
      <w:r w:rsidR="006F53C9" w:rsidRPr="00D47D1F">
        <w:rPr>
          <w:rFonts w:eastAsia="Calibri" w:cs="Times New Roman"/>
          <w:szCs w:val="24"/>
        </w:rPr>
        <w:t xml:space="preserve"> 2011, 71 (7), 2550-2560.</w:t>
      </w:r>
    </w:p>
    <w:p w:rsidR="00514F54" w:rsidRDefault="006F53C9" w:rsidP="00514F54">
      <w:pPr>
        <w:autoSpaceDE w:val="0"/>
        <w:autoSpaceDN w:val="0"/>
        <w:adjustRightInd w:val="0"/>
        <w:spacing w:before="120" w:after="240"/>
        <w:ind w:firstLine="0"/>
        <w:rPr>
          <w:rFonts w:eastAsia="Calibri" w:cs="Times New Roman"/>
          <w:szCs w:val="24"/>
        </w:rPr>
      </w:pPr>
      <w:r w:rsidRPr="006F53C9">
        <w:rPr>
          <w:rFonts w:eastAsiaTheme="majorEastAsia" w:cs="Times New Roman"/>
          <w:b/>
          <w:bCs/>
          <w:szCs w:val="24"/>
        </w:rPr>
        <w:t>Vora S, Halper JP, Knowles DM.</w:t>
      </w:r>
      <w:r w:rsidRPr="006F53C9">
        <w:rPr>
          <w:rFonts w:eastAsia="Calibri" w:cs="Times New Roman"/>
          <w:szCs w:val="24"/>
        </w:rPr>
        <w:t xml:space="preserve"> Alterations in the activity and isozymic profile of human phosphofructokinase during malignant transformation in vivo and in vitro: Transformation- and progression-linked discriminants of malignancy. </w:t>
      </w:r>
      <w:r w:rsidRPr="006F53C9">
        <w:rPr>
          <w:rFonts w:eastAsia="Calibri" w:cs="Times New Roman"/>
          <w:i/>
          <w:szCs w:val="24"/>
        </w:rPr>
        <w:t>Cancer Research</w:t>
      </w:r>
      <w:r w:rsidRPr="006F53C9">
        <w:rPr>
          <w:rFonts w:eastAsia="Calibri" w:cs="Times New Roman"/>
          <w:szCs w:val="24"/>
        </w:rPr>
        <w:t xml:space="preserve"> 1985, 45, 2993–3001.</w:t>
      </w:r>
    </w:p>
    <w:p w:rsidR="00514F54" w:rsidRDefault="0037177D" w:rsidP="00514F54">
      <w:pPr>
        <w:autoSpaceDE w:val="0"/>
        <w:autoSpaceDN w:val="0"/>
        <w:adjustRightInd w:val="0"/>
        <w:spacing w:before="120" w:after="240"/>
        <w:ind w:firstLine="0"/>
        <w:rPr>
          <w:rFonts w:eastAsia="Calibri" w:cs="Times New Roman"/>
          <w:szCs w:val="24"/>
        </w:rPr>
      </w:pPr>
      <w:hyperlink r:id="rId926" w:history="1">
        <w:r w:rsidR="006F53C9" w:rsidRPr="00D47D1F">
          <w:rPr>
            <w:rFonts w:eastAsia="Calibri" w:cs="Times New Roman"/>
            <w:b/>
            <w:szCs w:val="24"/>
          </w:rPr>
          <w:t>Wagner GR</w:t>
        </w:r>
      </w:hyperlink>
      <w:r w:rsidR="006F53C9" w:rsidRPr="00D47D1F">
        <w:rPr>
          <w:rFonts w:eastAsia="Calibri" w:cs="Times New Roman"/>
          <w:b/>
          <w:szCs w:val="24"/>
        </w:rPr>
        <w:t>, </w:t>
      </w:r>
      <w:hyperlink r:id="rId927" w:history="1">
        <w:r w:rsidR="006F53C9" w:rsidRPr="00D47D1F">
          <w:rPr>
            <w:rFonts w:eastAsia="Calibri" w:cs="Times New Roman"/>
            <w:b/>
            <w:szCs w:val="24"/>
          </w:rPr>
          <w:t>Bhatt DP</w:t>
        </w:r>
      </w:hyperlink>
      <w:r w:rsidR="006F53C9" w:rsidRPr="00D47D1F">
        <w:rPr>
          <w:rFonts w:eastAsia="Calibri" w:cs="Times New Roman"/>
          <w:b/>
          <w:szCs w:val="24"/>
        </w:rPr>
        <w:t>, </w:t>
      </w:r>
      <w:hyperlink r:id="rId928" w:history="1">
        <w:r w:rsidR="006F53C9" w:rsidRPr="00D47D1F">
          <w:rPr>
            <w:rFonts w:eastAsia="Calibri" w:cs="Times New Roman"/>
            <w:b/>
            <w:szCs w:val="24"/>
          </w:rPr>
          <w:t>O'Connell TM</w:t>
        </w:r>
      </w:hyperlink>
      <w:r w:rsidR="006F53C9" w:rsidRPr="00D47D1F">
        <w:rPr>
          <w:rFonts w:eastAsia="Calibri" w:cs="Times New Roman"/>
          <w:b/>
          <w:szCs w:val="24"/>
        </w:rPr>
        <w:t>, </w:t>
      </w:r>
      <w:hyperlink r:id="rId929" w:history="1">
        <w:r w:rsidR="006F53C9" w:rsidRPr="00D47D1F">
          <w:rPr>
            <w:rFonts w:eastAsia="Calibri" w:cs="Times New Roman"/>
            <w:b/>
            <w:szCs w:val="24"/>
          </w:rPr>
          <w:t>Thompson JW</w:t>
        </w:r>
      </w:hyperlink>
      <w:r w:rsidR="006F53C9" w:rsidRPr="00D47D1F">
        <w:rPr>
          <w:rFonts w:eastAsia="Calibri" w:cs="Times New Roman"/>
          <w:b/>
          <w:szCs w:val="24"/>
        </w:rPr>
        <w:t>, </w:t>
      </w:r>
      <w:hyperlink r:id="rId930" w:history="1">
        <w:r w:rsidR="006F53C9" w:rsidRPr="00D47D1F">
          <w:rPr>
            <w:rFonts w:eastAsia="Calibri" w:cs="Times New Roman"/>
            <w:b/>
            <w:szCs w:val="24"/>
          </w:rPr>
          <w:t>Dubois LG</w:t>
        </w:r>
      </w:hyperlink>
      <w:r w:rsidR="006F53C9" w:rsidRPr="00D47D1F">
        <w:rPr>
          <w:rFonts w:eastAsia="Calibri" w:cs="Times New Roman"/>
          <w:b/>
          <w:szCs w:val="24"/>
        </w:rPr>
        <w:t>, </w:t>
      </w:r>
      <w:hyperlink r:id="rId931" w:history="1">
        <w:r w:rsidR="006F53C9" w:rsidRPr="00D47D1F">
          <w:rPr>
            <w:rFonts w:eastAsia="Calibri" w:cs="Times New Roman"/>
            <w:b/>
            <w:szCs w:val="24"/>
          </w:rPr>
          <w:t>Backos DS</w:t>
        </w:r>
      </w:hyperlink>
      <w:r w:rsidR="006F53C9" w:rsidRPr="00D47D1F">
        <w:rPr>
          <w:rFonts w:eastAsia="Calibri" w:cs="Times New Roman"/>
          <w:b/>
          <w:szCs w:val="24"/>
        </w:rPr>
        <w:t>, </w:t>
      </w:r>
      <w:hyperlink r:id="rId932" w:history="1">
        <w:r w:rsidR="006F53C9" w:rsidRPr="00D47D1F">
          <w:rPr>
            <w:rFonts w:eastAsia="Calibri" w:cs="Times New Roman"/>
            <w:b/>
            <w:szCs w:val="24"/>
          </w:rPr>
          <w:t>Yang H</w:t>
        </w:r>
      </w:hyperlink>
      <w:r w:rsidR="006F53C9" w:rsidRPr="00D47D1F">
        <w:rPr>
          <w:rFonts w:eastAsia="Calibri" w:cs="Times New Roman"/>
          <w:b/>
          <w:szCs w:val="24"/>
        </w:rPr>
        <w:t>, </w:t>
      </w:r>
      <w:hyperlink r:id="rId933" w:history="1">
        <w:r w:rsidR="006F53C9" w:rsidRPr="00D47D1F">
          <w:rPr>
            <w:rFonts w:eastAsia="Calibri" w:cs="Times New Roman"/>
            <w:b/>
            <w:szCs w:val="24"/>
          </w:rPr>
          <w:t>Mitchell GA</w:t>
        </w:r>
      </w:hyperlink>
      <w:r w:rsidR="006F53C9" w:rsidRPr="00D47D1F">
        <w:rPr>
          <w:rFonts w:eastAsia="Calibri" w:cs="Times New Roman"/>
          <w:b/>
          <w:szCs w:val="24"/>
        </w:rPr>
        <w:t>, </w:t>
      </w:r>
      <w:hyperlink r:id="rId934" w:history="1">
        <w:r w:rsidR="006F53C9" w:rsidRPr="00D47D1F">
          <w:rPr>
            <w:rFonts w:eastAsia="Calibri" w:cs="Times New Roman"/>
            <w:b/>
            <w:szCs w:val="24"/>
          </w:rPr>
          <w:t>Ilkayeva OR</w:t>
        </w:r>
      </w:hyperlink>
      <w:r w:rsidR="006F53C9" w:rsidRPr="00D47D1F">
        <w:rPr>
          <w:rFonts w:eastAsia="Calibri" w:cs="Times New Roman"/>
          <w:b/>
          <w:szCs w:val="24"/>
        </w:rPr>
        <w:t>, </w:t>
      </w:r>
      <w:hyperlink r:id="rId935" w:history="1">
        <w:r w:rsidR="006F53C9" w:rsidRPr="00D47D1F">
          <w:rPr>
            <w:rFonts w:eastAsia="Calibri" w:cs="Times New Roman"/>
            <w:b/>
            <w:szCs w:val="24"/>
          </w:rPr>
          <w:t>Stevens RD</w:t>
        </w:r>
      </w:hyperlink>
      <w:r w:rsidR="006F53C9" w:rsidRPr="00D47D1F">
        <w:rPr>
          <w:rFonts w:eastAsia="Calibri" w:cs="Times New Roman"/>
          <w:b/>
          <w:szCs w:val="24"/>
        </w:rPr>
        <w:t>, </w:t>
      </w:r>
      <w:hyperlink r:id="rId936" w:history="1">
        <w:r w:rsidR="006F53C9" w:rsidRPr="00D47D1F">
          <w:rPr>
            <w:rFonts w:eastAsia="Calibri" w:cs="Times New Roman"/>
            <w:b/>
            <w:szCs w:val="24"/>
          </w:rPr>
          <w:t>Grimsrud PA</w:t>
        </w:r>
      </w:hyperlink>
      <w:r w:rsidR="006F53C9" w:rsidRPr="00D47D1F">
        <w:rPr>
          <w:rFonts w:eastAsia="Calibri" w:cs="Times New Roman"/>
          <w:b/>
          <w:szCs w:val="24"/>
        </w:rPr>
        <w:t>, </w:t>
      </w:r>
      <w:hyperlink r:id="rId937" w:history="1">
        <w:r w:rsidR="006F53C9" w:rsidRPr="00D47D1F">
          <w:rPr>
            <w:rFonts w:eastAsia="Calibri" w:cs="Times New Roman"/>
            <w:b/>
            <w:szCs w:val="24"/>
          </w:rPr>
          <w:t>Hirschey MD</w:t>
        </w:r>
      </w:hyperlink>
      <w:r w:rsidR="006F53C9" w:rsidRPr="00D47D1F">
        <w:rPr>
          <w:rFonts w:eastAsia="Calibri" w:cs="Times New Roman"/>
          <w:b/>
          <w:szCs w:val="24"/>
        </w:rPr>
        <w:t>.</w:t>
      </w:r>
      <w:r w:rsidR="006F53C9" w:rsidRPr="00D47D1F">
        <w:rPr>
          <w:rFonts w:eastAsiaTheme="majorEastAsia" w:cstheme="majorBidi"/>
          <w:bCs/>
          <w:color w:val="365F91" w:themeColor="accent1" w:themeShade="BF"/>
          <w:szCs w:val="24"/>
        </w:rPr>
        <w:t xml:space="preserve"> </w:t>
      </w:r>
      <w:r w:rsidR="006F53C9" w:rsidRPr="00D47D1F">
        <w:rPr>
          <w:rFonts w:eastAsia="Calibri" w:cs="Times New Roman"/>
          <w:szCs w:val="24"/>
        </w:rPr>
        <w:t xml:space="preserve">A Class of Reactive Acyl-CoA Species Reveals the Non-enzymatic Origins of Protein Acylation. </w:t>
      </w:r>
      <w:r w:rsidR="006F53C9" w:rsidRPr="00D47D1F">
        <w:rPr>
          <w:rFonts w:eastAsia="Calibri" w:cs="Times New Roman"/>
          <w:i/>
          <w:szCs w:val="24"/>
        </w:rPr>
        <w:t>Cell Metabolism</w:t>
      </w:r>
      <w:r w:rsidR="006F53C9" w:rsidRPr="00D47D1F">
        <w:rPr>
          <w:rFonts w:eastAsia="Calibri" w:cs="Times New Roman"/>
          <w:szCs w:val="24"/>
        </w:rPr>
        <w:t xml:space="preserve"> 2017, 25 (4), 823-837.e8. </w:t>
      </w:r>
    </w:p>
    <w:p w:rsidR="00514F54" w:rsidRDefault="0037177D" w:rsidP="00514F54">
      <w:pPr>
        <w:autoSpaceDE w:val="0"/>
        <w:autoSpaceDN w:val="0"/>
        <w:adjustRightInd w:val="0"/>
        <w:spacing w:before="120" w:after="240"/>
        <w:ind w:firstLine="0"/>
        <w:rPr>
          <w:rFonts w:eastAsia="Calibri" w:cs="Times New Roman"/>
          <w:szCs w:val="24"/>
        </w:rPr>
      </w:pPr>
      <w:hyperlink r:id="rId938" w:history="1">
        <w:r w:rsidR="006F53C9" w:rsidRPr="00D47D1F">
          <w:rPr>
            <w:rFonts w:eastAsia="Calibri" w:cs="Times New Roman"/>
            <w:b/>
            <w:szCs w:val="24"/>
          </w:rPr>
          <w:t>Wagner GR</w:t>
        </w:r>
      </w:hyperlink>
      <w:r w:rsidR="006F53C9" w:rsidRPr="00D47D1F">
        <w:rPr>
          <w:rFonts w:eastAsia="Calibri" w:cs="Times New Roman"/>
          <w:b/>
          <w:szCs w:val="24"/>
        </w:rPr>
        <w:t>, </w:t>
      </w:r>
      <w:hyperlink r:id="rId939" w:history="1">
        <w:r w:rsidR="006F53C9" w:rsidRPr="00D47D1F">
          <w:rPr>
            <w:rFonts w:eastAsia="Calibri" w:cs="Times New Roman"/>
            <w:b/>
            <w:szCs w:val="24"/>
          </w:rPr>
          <w:t>Hirschey MD</w:t>
        </w:r>
      </w:hyperlink>
      <w:r w:rsidR="006F53C9" w:rsidRPr="00D47D1F">
        <w:rPr>
          <w:rFonts w:eastAsia="Calibri" w:cs="Times New Roman"/>
          <w:b/>
          <w:szCs w:val="24"/>
        </w:rPr>
        <w:t>.</w:t>
      </w:r>
      <w:r w:rsidR="006F53C9" w:rsidRPr="00D47D1F">
        <w:rPr>
          <w:rFonts w:eastAsiaTheme="majorEastAsia" w:cstheme="majorBidi"/>
          <w:bCs/>
          <w:color w:val="365F91" w:themeColor="accent1" w:themeShade="BF"/>
          <w:szCs w:val="24"/>
        </w:rPr>
        <w:t xml:space="preserve"> </w:t>
      </w:r>
      <w:r w:rsidR="006F53C9" w:rsidRPr="00D47D1F">
        <w:rPr>
          <w:rFonts w:eastAsia="Calibri" w:cs="Times New Roman"/>
          <w:szCs w:val="24"/>
        </w:rPr>
        <w:t xml:space="preserve">Nonenzymatic protein acylation as a carbon stress regulated by sirtuin deacylases. </w:t>
      </w:r>
      <w:r w:rsidR="006F53C9" w:rsidRPr="00D47D1F">
        <w:rPr>
          <w:rFonts w:eastAsia="Calibri" w:cs="Times New Roman"/>
          <w:i/>
          <w:szCs w:val="24"/>
        </w:rPr>
        <w:t>Molecular cell</w:t>
      </w:r>
      <w:r w:rsidR="006F53C9" w:rsidRPr="00D47D1F">
        <w:rPr>
          <w:rFonts w:eastAsia="Calibri" w:cs="Times New Roman"/>
          <w:szCs w:val="24"/>
        </w:rPr>
        <w:t xml:space="preserve"> 2014, 54 (1), 5-16. </w:t>
      </w:r>
    </w:p>
    <w:p w:rsidR="006F53C9" w:rsidRPr="00D47D1F" w:rsidRDefault="006F53C9" w:rsidP="00514F54">
      <w:pPr>
        <w:autoSpaceDE w:val="0"/>
        <w:autoSpaceDN w:val="0"/>
        <w:adjustRightInd w:val="0"/>
        <w:spacing w:before="120" w:after="240"/>
        <w:ind w:firstLine="0"/>
        <w:rPr>
          <w:rFonts w:ascii="Arial" w:eastAsiaTheme="majorEastAsia" w:hAnsi="Arial" w:cs="Arial"/>
          <w:color w:val="000000"/>
          <w:sz w:val="37"/>
          <w:szCs w:val="37"/>
        </w:rPr>
      </w:pPr>
      <w:r w:rsidRPr="00D47D1F">
        <w:rPr>
          <w:b/>
          <w:szCs w:val="24"/>
        </w:rPr>
        <w:lastRenderedPageBreak/>
        <w:t>Wahdan-Alaswad R, Fan Z, Edgerton SM, Liu B, Deng XS, Arnadottir SS, Richer JK, Anderson SM, Thor AD.</w:t>
      </w:r>
      <w:r w:rsidRPr="00D47D1F">
        <w:rPr>
          <w:rFonts w:asciiTheme="majorHAnsi" w:eastAsiaTheme="majorEastAsia" w:hAnsiTheme="majorHAnsi" w:cstheme="majorBidi"/>
          <w:b/>
          <w:bCs/>
          <w:color w:val="365F91" w:themeColor="accent1" w:themeShade="BF"/>
          <w:sz w:val="28"/>
          <w:szCs w:val="28"/>
        </w:rPr>
        <w:t xml:space="preserve"> </w:t>
      </w:r>
      <w:r w:rsidRPr="00D47D1F">
        <w:rPr>
          <w:rFonts w:eastAsia="Calibri" w:cs="Times New Roman"/>
          <w:szCs w:val="24"/>
        </w:rPr>
        <w:t xml:space="preserve">Glucose promotes breast cancer aggression and reduces metformin efficacy. </w:t>
      </w:r>
      <w:r w:rsidRPr="00D47D1F">
        <w:rPr>
          <w:rFonts w:eastAsia="Calibri" w:cs="Times New Roman"/>
          <w:i/>
          <w:szCs w:val="24"/>
        </w:rPr>
        <w:t>Cell Cycle</w:t>
      </w:r>
      <w:r w:rsidRPr="00D47D1F">
        <w:rPr>
          <w:rFonts w:eastAsia="Calibri" w:cs="Times New Roman"/>
          <w:szCs w:val="24"/>
        </w:rPr>
        <w:t xml:space="preserve"> 2013, 12 (24), 3759–3769.</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940" w:history="1">
        <w:r w:rsidR="006F53C9" w:rsidRPr="00D47D1F">
          <w:rPr>
            <w:rFonts w:eastAsia="Calibri" w:cs="Times New Roman"/>
            <w:b/>
            <w:szCs w:val="24"/>
          </w:rPr>
          <w:t>Walenta S</w:t>
        </w:r>
      </w:hyperlink>
      <w:r w:rsidR="006F53C9" w:rsidRPr="00D47D1F">
        <w:rPr>
          <w:rFonts w:eastAsia="Calibri" w:cs="Times New Roman"/>
          <w:b/>
          <w:szCs w:val="24"/>
        </w:rPr>
        <w:t>, </w:t>
      </w:r>
      <w:hyperlink r:id="rId941" w:history="1">
        <w:r w:rsidR="006F53C9" w:rsidRPr="00D47D1F">
          <w:rPr>
            <w:rFonts w:eastAsia="Calibri" w:cs="Times New Roman"/>
            <w:b/>
            <w:szCs w:val="24"/>
          </w:rPr>
          <w:t>Mueller-Klieser WF</w:t>
        </w:r>
      </w:hyperlink>
      <w:r w:rsidR="006F53C9" w:rsidRPr="00D47D1F">
        <w:rPr>
          <w:rFonts w:eastAsia="Calibri" w:cs="Times New Roman"/>
          <w:b/>
          <w:szCs w:val="24"/>
        </w:rPr>
        <w:t>.</w:t>
      </w:r>
      <w:r w:rsidR="006F53C9" w:rsidRPr="00D47D1F">
        <w:rPr>
          <w:rFonts w:eastAsia="Calibri" w:cs="Times New Roman"/>
          <w:szCs w:val="24"/>
        </w:rPr>
        <w:t xml:space="preserve"> Lactate: mirror and motor of tumor malignancy. </w:t>
      </w:r>
      <w:r w:rsidR="006F53C9" w:rsidRPr="00D47D1F">
        <w:rPr>
          <w:rFonts w:eastAsia="Calibri" w:cs="Times New Roman"/>
          <w:i/>
          <w:szCs w:val="24"/>
        </w:rPr>
        <w:t>Seminars in Radiation Oncology</w:t>
      </w:r>
      <w:r w:rsidR="006F53C9" w:rsidRPr="00D47D1F">
        <w:rPr>
          <w:rFonts w:eastAsia="Calibri" w:cs="Times New Roman"/>
          <w:szCs w:val="24"/>
        </w:rPr>
        <w:t xml:space="preserve"> 2004, 14 (3), 267-274. </w:t>
      </w:r>
    </w:p>
    <w:p w:rsidR="006F53C9" w:rsidRDefault="0037177D" w:rsidP="00514F54">
      <w:pPr>
        <w:keepNext/>
        <w:keepLines/>
        <w:shd w:val="clear" w:color="auto" w:fill="FFFFFF"/>
        <w:spacing w:before="120" w:after="240"/>
        <w:ind w:firstLine="0"/>
        <w:outlineLvl w:val="0"/>
        <w:rPr>
          <w:rFonts w:asciiTheme="majorHAnsi" w:hAnsiTheme="majorHAnsi" w:cstheme="majorBidi"/>
          <w:color w:val="365F91" w:themeColor="accent1" w:themeShade="BF"/>
        </w:rPr>
      </w:pPr>
      <w:hyperlink r:id="rId942" w:history="1">
        <w:r w:rsidR="006F53C9" w:rsidRPr="00D47D1F">
          <w:rPr>
            <w:rFonts w:eastAsia="Calibri" w:cs="Times New Roman"/>
            <w:b/>
            <w:szCs w:val="24"/>
          </w:rPr>
          <w:t>Walenta S</w:t>
        </w:r>
      </w:hyperlink>
      <w:r w:rsidR="006F53C9" w:rsidRPr="00D47D1F">
        <w:rPr>
          <w:rFonts w:eastAsia="Calibri" w:cs="Times New Roman"/>
          <w:b/>
          <w:szCs w:val="24"/>
        </w:rPr>
        <w:t>, </w:t>
      </w:r>
      <w:hyperlink r:id="rId943" w:history="1">
        <w:r w:rsidR="006F53C9" w:rsidRPr="00D47D1F">
          <w:rPr>
            <w:rFonts w:eastAsia="Calibri" w:cs="Times New Roman"/>
            <w:b/>
            <w:szCs w:val="24"/>
          </w:rPr>
          <w:t>Salameh A</w:t>
        </w:r>
      </w:hyperlink>
      <w:r w:rsidR="006F53C9" w:rsidRPr="00D47D1F">
        <w:rPr>
          <w:rFonts w:eastAsia="Calibri" w:cs="Times New Roman"/>
          <w:b/>
          <w:szCs w:val="24"/>
        </w:rPr>
        <w:t>, </w:t>
      </w:r>
      <w:hyperlink r:id="rId944" w:history="1">
        <w:r w:rsidR="006F53C9" w:rsidRPr="00D47D1F">
          <w:rPr>
            <w:rFonts w:eastAsia="Calibri" w:cs="Times New Roman"/>
            <w:b/>
            <w:szCs w:val="24"/>
          </w:rPr>
          <w:t>Lyng H</w:t>
        </w:r>
      </w:hyperlink>
      <w:r w:rsidR="006F53C9" w:rsidRPr="00D47D1F">
        <w:rPr>
          <w:rFonts w:eastAsia="Calibri" w:cs="Times New Roman"/>
          <w:b/>
          <w:szCs w:val="24"/>
        </w:rPr>
        <w:t>, </w:t>
      </w:r>
      <w:hyperlink r:id="rId945" w:history="1">
        <w:r w:rsidR="006F53C9" w:rsidRPr="00D47D1F">
          <w:rPr>
            <w:rFonts w:eastAsia="Calibri" w:cs="Times New Roman"/>
            <w:b/>
            <w:szCs w:val="24"/>
          </w:rPr>
          <w:t>Evensen JF</w:t>
        </w:r>
      </w:hyperlink>
      <w:r w:rsidR="006F53C9" w:rsidRPr="00D47D1F">
        <w:rPr>
          <w:rFonts w:eastAsia="Calibri" w:cs="Times New Roman"/>
          <w:b/>
          <w:szCs w:val="24"/>
        </w:rPr>
        <w:t>, </w:t>
      </w:r>
      <w:hyperlink r:id="rId946" w:history="1">
        <w:r w:rsidR="006F53C9" w:rsidRPr="00D47D1F">
          <w:rPr>
            <w:rFonts w:eastAsia="Calibri" w:cs="Times New Roman"/>
            <w:b/>
            <w:szCs w:val="24"/>
          </w:rPr>
          <w:t>Mitze M</w:t>
        </w:r>
      </w:hyperlink>
      <w:r w:rsidR="006F53C9" w:rsidRPr="00D47D1F">
        <w:rPr>
          <w:rFonts w:eastAsia="Calibri" w:cs="Times New Roman"/>
          <w:b/>
          <w:szCs w:val="24"/>
        </w:rPr>
        <w:t>, </w:t>
      </w:r>
      <w:hyperlink r:id="rId947" w:history="1">
        <w:r w:rsidR="006F53C9" w:rsidRPr="00D47D1F">
          <w:rPr>
            <w:rFonts w:eastAsia="Calibri" w:cs="Times New Roman"/>
            <w:b/>
            <w:szCs w:val="24"/>
          </w:rPr>
          <w:t>Rofstad EK</w:t>
        </w:r>
      </w:hyperlink>
      <w:r w:rsidR="006F53C9" w:rsidRPr="00D47D1F">
        <w:rPr>
          <w:rFonts w:eastAsia="Calibri" w:cs="Times New Roman"/>
          <w:b/>
          <w:szCs w:val="24"/>
        </w:rPr>
        <w:t>, </w:t>
      </w:r>
      <w:hyperlink r:id="rId948" w:history="1">
        <w:r w:rsidR="006F53C9" w:rsidRPr="00D47D1F">
          <w:rPr>
            <w:rFonts w:eastAsia="Calibri" w:cs="Times New Roman"/>
            <w:b/>
            <w:szCs w:val="24"/>
          </w:rPr>
          <w:t>Mueller-Klieser W</w:t>
        </w:r>
      </w:hyperlink>
      <w:r w:rsidR="006F53C9" w:rsidRPr="00D47D1F">
        <w:rPr>
          <w:rFonts w:eastAsia="Calibri" w:cs="Times New Roman"/>
          <w:szCs w:val="24"/>
        </w:rPr>
        <w:t xml:space="preserve">. Correlation of high lactate levels in head and neck tumors with incidence of metastasis. </w:t>
      </w:r>
      <w:r w:rsidR="006F53C9" w:rsidRPr="00D47D1F">
        <w:rPr>
          <w:rFonts w:eastAsia="Calibri" w:cs="Times New Roman"/>
          <w:i/>
          <w:szCs w:val="24"/>
        </w:rPr>
        <w:t>The American Journal of Pathology</w:t>
      </w:r>
      <w:r w:rsidR="006F53C9" w:rsidRPr="00D47D1F">
        <w:rPr>
          <w:rFonts w:eastAsia="Calibri" w:cs="Times New Roman"/>
          <w:szCs w:val="24"/>
        </w:rPr>
        <w:t xml:space="preserve"> 1997, 150 (2), 409-415</w:t>
      </w:r>
      <w:r w:rsidR="006F53C9" w:rsidRPr="00D47D1F">
        <w:rPr>
          <w:rFonts w:asciiTheme="majorHAnsi" w:hAnsiTheme="majorHAnsi" w:cstheme="majorBidi"/>
          <w:color w:val="365F91" w:themeColor="accent1" w:themeShade="BF"/>
        </w:rPr>
        <w:t>.</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949" w:history="1">
        <w:r w:rsidR="006F53C9" w:rsidRPr="00D47D1F">
          <w:rPr>
            <w:rFonts w:eastAsia="Calibri" w:cs="Times New Roman"/>
            <w:b/>
            <w:szCs w:val="24"/>
          </w:rPr>
          <w:t>Walenta S</w:t>
        </w:r>
      </w:hyperlink>
      <w:r w:rsidR="006F53C9" w:rsidRPr="00D47D1F">
        <w:rPr>
          <w:rFonts w:eastAsia="Calibri" w:cs="Times New Roman"/>
          <w:b/>
          <w:szCs w:val="24"/>
        </w:rPr>
        <w:t>, </w:t>
      </w:r>
      <w:hyperlink r:id="rId950" w:history="1">
        <w:r w:rsidR="006F53C9" w:rsidRPr="00D47D1F">
          <w:rPr>
            <w:rFonts w:eastAsia="Calibri" w:cs="Times New Roman"/>
            <w:b/>
            <w:szCs w:val="24"/>
          </w:rPr>
          <w:t>Wetterling M</w:t>
        </w:r>
      </w:hyperlink>
      <w:r w:rsidR="006F53C9" w:rsidRPr="00D47D1F">
        <w:rPr>
          <w:rFonts w:eastAsia="Calibri" w:cs="Times New Roman"/>
          <w:b/>
          <w:szCs w:val="24"/>
        </w:rPr>
        <w:t>, </w:t>
      </w:r>
      <w:hyperlink r:id="rId951" w:history="1">
        <w:r w:rsidR="006F53C9" w:rsidRPr="00D47D1F">
          <w:rPr>
            <w:rFonts w:eastAsia="Calibri" w:cs="Times New Roman"/>
            <w:b/>
            <w:szCs w:val="24"/>
          </w:rPr>
          <w:t>Lehrke M</w:t>
        </w:r>
      </w:hyperlink>
      <w:r w:rsidR="006F53C9" w:rsidRPr="00D47D1F">
        <w:rPr>
          <w:rFonts w:eastAsia="Calibri" w:cs="Times New Roman"/>
          <w:b/>
          <w:szCs w:val="24"/>
        </w:rPr>
        <w:t>, </w:t>
      </w:r>
      <w:hyperlink r:id="rId952" w:history="1">
        <w:r w:rsidR="006F53C9" w:rsidRPr="00D47D1F">
          <w:rPr>
            <w:rFonts w:eastAsia="Calibri" w:cs="Times New Roman"/>
            <w:b/>
            <w:szCs w:val="24"/>
          </w:rPr>
          <w:t>Schwickert G</w:t>
        </w:r>
      </w:hyperlink>
      <w:r w:rsidR="006F53C9" w:rsidRPr="00D47D1F">
        <w:rPr>
          <w:rFonts w:eastAsia="Calibri" w:cs="Times New Roman"/>
          <w:b/>
          <w:szCs w:val="24"/>
        </w:rPr>
        <w:t>, </w:t>
      </w:r>
      <w:hyperlink r:id="rId953" w:history="1">
        <w:r w:rsidR="006F53C9" w:rsidRPr="00D47D1F">
          <w:rPr>
            <w:rFonts w:eastAsia="Calibri" w:cs="Times New Roman"/>
            <w:b/>
            <w:szCs w:val="24"/>
          </w:rPr>
          <w:t>Sundfør K</w:t>
        </w:r>
      </w:hyperlink>
      <w:r w:rsidR="006F53C9" w:rsidRPr="00D47D1F">
        <w:rPr>
          <w:rFonts w:eastAsia="Calibri" w:cs="Times New Roman"/>
          <w:b/>
          <w:szCs w:val="24"/>
        </w:rPr>
        <w:t>, </w:t>
      </w:r>
      <w:hyperlink r:id="rId954" w:history="1">
        <w:r w:rsidR="006F53C9" w:rsidRPr="00D47D1F">
          <w:rPr>
            <w:rFonts w:eastAsia="Calibri" w:cs="Times New Roman"/>
            <w:b/>
            <w:szCs w:val="24"/>
          </w:rPr>
          <w:t>Rofstad EK</w:t>
        </w:r>
      </w:hyperlink>
      <w:r w:rsidR="006F53C9" w:rsidRPr="00D47D1F">
        <w:rPr>
          <w:rFonts w:eastAsia="Calibri" w:cs="Times New Roman"/>
          <w:b/>
          <w:szCs w:val="24"/>
        </w:rPr>
        <w:t>, </w:t>
      </w:r>
      <w:hyperlink r:id="rId955" w:history="1">
        <w:r w:rsidR="006F53C9" w:rsidRPr="00D47D1F">
          <w:rPr>
            <w:rFonts w:eastAsia="Calibri" w:cs="Times New Roman"/>
            <w:b/>
            <w:szCs w:val="24"/>
          </w:rPr>
          <w:t>Mueller-Klieser W</w:t>
        </w:r>
      </w:hyperlink>
      <w:r w:rsidR="006F53C9" w:rsidRPr="00D47D1F">
        <w:rPr>
          <w:rFonts w:eastAsia="Calibri" w:cs="Times New Roman"/>
          <w:b/>
          <w:szCs w:val="24"/>
        </w:rPr>
        <w:t>.</w:t>
      </w:r>
      <w:r w:rsidR="006F53C9" w:rsidRPr="00D47D1F">
        <w:rPr>
          <w:rFonts w:eastAsiaTheme="majorEastAsia" w:cstheme="majorBidi"/>
          <w:bCs/>
          <w:color w:val="365F91" w:themeColor="accent1" w:themeShade="BF"/>
          <w:szCs w:val="24"/>
        </w:rPr>
        <w:t xml:space="preserve"> </w:t>
      </w:r>
      <w:r w:rsidR="006F53C9" w:rsidRPr="00D47D1F">
        <w:rPr>
          <w:rFonts w:eastAsia="Calibri" w:cs="Times New Roman"/>
          <w:szCs w:val="24"/>
        </w:rPr>
        <w:t xml:space="preserve">High lactate levels predict likelihood of metastases, tumor recurrence, and restricted patient survival in human cervical cancers. </w:t>
      </w:r>
      <w:r w:rsidR="006F53C9" w:rsidRPr="00D47D1F">
        <w:rPr>
          <w:rFonts w:eastAsia="Calibri" w:cs="Times New Roman"/>
          <w:i/>
          <w:szCs w:val="24"/>
        </w:rPr>
        <w:t>Cancer Research</w:t>
      </w:r>
      <w:r w:rsidR="006F53C9" w:rsidRPr="00D47D1F">
        <w:rPr>
          <w:rFonts w:eastAsia="Calibri" w:cs="Times New Roman"/>
          <w:szCs w:val="24"/>
        </w:rPr>
        <w:t xml:space="preserve"> 2000, 60 (4), 916-921.</w:t>
      </w:r>
    </w:p>
    <w:p w:rsidR="006F53C9" w:rsidRPr="00D47D1F" w:rsidRDefault="006F53C9" w:rsidP="00514F54">
      <w:pPr>
        <w:spacing w:before="120" w:after="240"/>
        <w:ind w:firstLine="0"/>
        <w:rPr>
          <w:rFonts w:eastAsia="Calibri" w:cs="Times New Roman"/>
          <w:szCs w:val="24"/>
        </w:rPr>
      </w:pPr>
      <w:r w:rsidRPr="00D47D1F">
        <w:rPr>
          <w:rFonts w:eastAsiaTheme="majorEastAsia" w:cs="Times New Roman"/>
          <w:b/>
          <w:bCs/>
          <w:szCs w:val="24"/>
        </w:rPr>
        <w:t xml:space="preserve">Wang G, Xu Z, Wang C, Yao F, Li J, Chen C, Sun S. </w:t>
      </w:r>
      <w:r w:rsidRPr="00D47D1F">
        <w:rPr>
          <w:rFonts w:eastAsia="Calibri" w:cs="Times New Roman"/>
          <w:szCs w:val="24"/>
        </w:rPr>
        <w:t>Differential phosphofructokinase</w:t>
      </w:r>
      <w:r w:rsidRPr="00D47D1F">
        <w:rPr>
          <w:rFonts w:eastAsia="Calibri" w:cs="Times New Roman"/>
          <w:szCs w:val="24"/>
        </w:rPr>
        <w:noBreakHyphen/>
        <w:t xml:space="preserve">1 isoenzyme patterns associated with glycolytic efficiency in human breast cancer and paracancer tissues. </w:t>
      </w:r>
      <w:r w:rsidRPr="00D47D1F">
        <w:rPr>
          <w:rFonts w:eastAsia="Calibri" w:cs="Times New Roman"/>
          <w:i/>
          <w:szCs w:val="24"/>
        </w:rPr>
        <w:t>Oncology Letters</w:t>
      </w:r>
      <w:r w:rsidRPr="00D47D1F">
        <w:rPr>
          <w:rFonts w:eastAsia="Calibri" w:cs="Times New Roman"/>
          <w:szCs w:val="24"/>
        </w:rPr>
        <w:t xml:space="preserve"> 2013, 6, 1701-1706.</w:t>
      </w:r>
    </w:p>
    <w:p w:rsidR="006F53C9" w:rsidRPr="00D47D1F" w:rsidRDefault="006F53C9" w:rsidP="00514F54">
      <w:pPr>
        <w:spacing w:before="120" w:after="240"/>
        <w:ind w:firstLine="0"/>
        <w:rPr>
          <w:rFonts w:eastAsia="Calibri" w:cs="Times New Roman"/>
          <w:szCs w:val="24"/>
        </w:rPr>
      </w:pPr>
      <w:r w:rsidRPr="00D47D1F">
        <w:rPr>
          <w:rFonts w:eastAsiaTheme="majorEastAsia" w:cs="Times New Roman"/>
          <w:b/>
          <w:szCs w:val="24"/>
        </w:rPr>
        <w:t>Wang HJ, Hsieh YJ, Cheng WC, Lin CP, Lin YS, Yang SF, Chen CC, Izumiya Y, Yu JS, Kung HJ, Wang WC.</w:t>
      </w:r>
      <w:r w:rsidRPr="00D47D1F">
        <w:rPr>
          <w:rFonts w:ascii="Calibri" w:eastAsia="Calibri" w:hAnsi="Calibri" w:cs="Times New Roman"/>
          <w:color w:val="000000"/>
          <w:sz w:val="22"/>
          <w:shd w:val="clear" w:color="auto" w:fill="FFFFFF"/>
        </w:rPr>
        <w:t> </w:t>
      </w:r>
      <w:r w:rsidRPr="00D47D1F">
        <w:rPr>
          <w:rFonts w:eastAsia="Calibri" w:cs="Times New Roman"/>
          <w:szCs w:val="24"/>
        </w:rPr>
        <w:t>JMJD5 regulates PKM2 nuclear translocation and reprograms HIF-1alpha-mediated glucose metabolism. </w:t>
      </w:r>
      <w:r w:rsidRPr="00D47D1F">
        <w:rPr>
          <w:rFonts w:eastAsia="Calibri" w:cs="Times New Roman"/>
          <w:i/>
          <w:szCs w:val="24"/>
        </w:rPr>
        <w:t>Proceedings of The National Academy of Sciences of The United States of America</w:t>
      </w:r>
      <w:r w:rsidRPr="00D47D1F">
        <w:rPr>
          <w:rFonts w:eastAsia="Calibri" w:cs="Times New Roman"/>
          <w:szCs w:val="24"/>
        </w:rPr>
        <w:t xml:space="preserve"> 2014, 111 (1), 279–284.</w:t>
      </w:r>
    </w:p>
    <w:p w:rsidR="00514F54" w:rsidRDefault="006F53C9" w:rsidP="00514F54">
      <w:pPr>
        <w:spacing w:before="120" w:after="240"/>
        <w:ind w:firstLine="0"/>
        <w:rPr>
          <w:rFonts w:eastAsia="Calibri" w:cs="Times New Roman"/>
          <w:szCs w:val="24"/>
        </w:rPr>
      </w:pPr>
      <w:r w:rsidRPr="00D47D1F">
        <w:rPr>
          <w:rFonts w:eastAsiaTheme="majorEastAsia" w:cs="Times New Roman"/>
          <w:b/>
          <w:bCs/>
          <w:szCs w:val="24"/>
        </w:rPr>
        <w:t>Wang L, Xiong H, Wu F, Zhang Y, Wang J, Zhao L, Guo X, Chang LJ, Zhang Y, You MJ, Koochekpour S, Saleem M, Huang H, Lu J, Deng Y.</w:t>
      </w:r>
      <w:r w:rsidRPr="00D47D1F">
        <w:rPr>
          <w:rFonts w:eastAsia="Calibri" w:cs="Times New Roman"/>
          <w:szCs w:val="24"/>
        </w:rPr>
        <w:t xml:space="preserve"> Hexokinase 2-Mediated Warburg EffectIs Required forPTEN-and p53-Deficiency-Driven Prostate Cancer Growth. </w:t>
      </w:r>
      <w:r w:rsidRPr="00D47D1F">
        <w:rPr>
          <w:rFonts w:eastAsia="Calibri" w:cs="Times New Roman"/>
          <w:i/>
          <w:szCs w:val="24"/>
        </w:rPr>
        <w:t>Cell Reports</w:t>
      </w:r>
      <w:r w:rsidRPr="00D47D1F">
        <w:rPr>
          <w:rFonts w:eastAsia="Calibri" w:cs="Times New Roman"/>
          <w:szCs w:val="24"/>
        </w:rPr>
        <w:t xml:space="preserve"> 2014, 8, 1461-1474. </w:t>
      </w:r>
    </w:p>
    <w:p w:rsidR="00514F54" w:rsidRDefault="0037177D" w:rsidP="00514F54">
      <w:pPr>
        <w:spacing w:before="120" w:after="240"/>
        <w:ind w:firstLine="0"/>
        <w:rPr>
          <w:rFonts w:eastAsia="Calibri" w:cs="Times New Roman"/>
          <w:szCs w:val="24"/>
        </w:rPr>
      </w:pPr>
      <w:hyperlink r:id="rId956" w:history="1">
        <w:r w:rsidR="006F53C9" w:rsidRPr="006F53C9">
          <w:rPr>
            <w:rFonts w:eastAsia="Calibri" w:cs="Times New Roman"/>
            <w:b/>
            <w:szCs w:val="24"/>
          </w:rPr>
          <w:t>Wang W</w:t>
        </w:r>
      </w:hyperlink>
      <w:r w:rsidR="006F53C9" w:rsidRPr="006F53C9">
        <w:rPr>
          <w:rFonts w:eastAsia="Calibri" w:cs="Times New Roman"/>
          <w:b/>
          <w:szCs w:val="24"/>
        </w:rPr>
        <w:t>, </w:t>
      </w:r>
      <w:hyperlink r:id="rId957" w:history="1">
        <w:r w:rsidR="006F53C9" w:rsidRPr="006F53C9">
          <w:rPr>
            <w:rFonts w:eastAsia="Calibri" w:cs="Times New Roman"/>
            <w:b/>
            <w:szCs w:val="24"/>
          </w:rPr>
          <w:t>He Q</w:t>
        </w:r>
      </w:hyperlink>
      <w:r w:rsidR="006F53C9" w:rsidRPr="006F53C9">
        <w:rPr>
          <w:rFonts w:eastAsia="Calibri" w:cs="Times New Roman"/>
          <w:b/>
          <w:szCs w:val="24"/>
        </w:rPr>
        <w:t>, </w:t>
      </w:r>
      <w:hyperlink r:id="rId958" w:history="1">
        <w:r w:rsidR="006F53C9" w:rsidRPr="006F53C9">
          <w:rPr>
            <w:rFonts w:eastAsia="Calibri" w:cs="Times New Roman"/>
            <w:b/>
            <w:szCs w:val="24"/>
          </w:rPr>
          <w:t>Yan W</w:t>
        </w:r>
      </w:hyperlink>
      <w:r w:rsidR="006F53C9" w:rsidRPr="006F53C9">
        <w:rPr>
          <w:rFonts w:eastAsia="Calibri" w:cs="Times New Roman"/>
          <w:b/>
          <w:szCs w:val="24"/>
        </w:rPr>
        <w:t>, </w:t>
      </w:r>
      <w:hyperlink r:id="rId959" w:history="1">
        <w:r w:rsidR="006F53C9" w:rsidRPr="006F53C9">
          <w:rPr>
            <w:rFonts w:eastAsia="Calibri" w:cs="Times New Roman"/>
            <w:b/>
            <w:szCs w:val="24"/>
          </w:rPr>
          <w:t>Sun J</w:t>
        </w:r>
      </w:hyperlink>
      <w:r w:rsidR="006F53C9" w:rsidRPr="006F53C9">
        <w:rPr>
          <w:rFonts w:eastAsia="Calibri" w:cs="Times New Roman"/>
          <w:b/>
          <w:szCs w:val="24"/>
        </w:rPr>
        <w:t>, </w:t>
      </w:r>
      <w:hyperlink r:id="rId960" w:history="1">
        <w:r w:rsidR="006F53C9" w:rsidRPr="006F53C9">
          <w:rPr>
            <w:rFonts w:eastAsia="Calibri" w:cs="Times New Roman"/>
            <w:b/>
            <w:szCs w:val="24"/>
          </w:rPr>
          <w:t>Chen Z</w:t>
        </w:r>
      </w:hyperlink>
      <w:r w:rsidR="006F53C9" w:rsidRPr="006F53C9">
        <w:rPr>
          <w:rFonts w:eastAsia="Calibri" w:cs="Times New Roman"/>
          <w:b/>
          <w:szCs w:val="24"/>
        </w:rPr>
        <w:t>, </w:t>
      </w:r>
      <w:hyperlink r:id="rId961" w:history="1">
        <w:r w:rsidR="006F53C9" w:rsidRPr="006F53C9">
          <w:rPr>
            <w:rFonts w:eastAsia="Calibri" w:cs="Times New Roman"/>
            <w:b/>
            <w:szCs w:val="24"/>
          </w:rPr>
          <w:t>Liu Z</w:t>
        </w:r>
      </w:hyperlink>
      <w:r w:rsidR="006F53C9" w:rsidRPr="006F53C9">
        <w:rPr>
          <w:rFonts w:eastAsia="Calibri" w:cs="Times New Roman"/>
          <w:b/>
          <w:szCs w:val="24"/>
        </w:rPr>
        <w:t>, </w:t>
      </w:r>
      <w:hyperlink r:id="rId962" w:history="1">
        <w:r w:rsidR="006F53C9" w:rsidRPr="006F53C9">
          <w:rPr>
            <w:rFonts w:eastAsia="Calibri" w:cs="Times New Roman"/>
            <w:b/>
            <w:szCs w:val="24"/>
          </w:rPr>
          <w:t>Lu Z</w:t>
        </w:r>
      </w:hyperlink>
      <w:r w:rsidR="006F53C9" w:rsidRPr="006F53C9">
        <w:rPr>
          <w:rFonts w:eastAsia="Calibri" w:cs="Times New Roman"/>
          <w:b/>
          <w:szCs w:val="24"/>
        </w:rPr>
        <w:t>, </w:t>
      </w:r>
      <w:hyperlink r:id="rId963" w:history="1">
        <w:r w:rsidR="006F53C9" w:rsidRPr="006F53C9">
          <w:rPr>
            <w:rFonts w:eastAsia="Calibri" w:cs="Times New Roman"/>
            <w:b/>
            <w:szCs w:val="24"/>
          </w:rPr>
          <w:t>Hou J</w:t>
        </w:r>
      </w:hyperlink>
      <w:r w:rsidR="006F53C9" w:rsidRPr="006F53C9">
        <w:rPr>
          <w:rFonts w:eastAsia="Calibri" w:cs="Times New Roman"/>
          <w:b/>
          <w:szCs w:val="24"/>
        </w:rPr>
        <w:t>, </w:t>
      </w:r>
      <w:hyperlink r:id="rId964" w:history="1">
        <w:r w:rsidR="006F53C9" w:rsidRPr="006F53C9">
          <w:rPr>
            <w:rFonts w:eastAsia="Calibri" w:cs="Times New Roman"/>
            <w:b/>
            <w:szCs w:val="24"/>
          </w:rPr>
          <w:t>Shao Y</w:t>
        </w:r>
      </w:hyperlink>
      <w:r w:rsidR="006F53C9" w:rsidRPr="006F53C9">
        <w:rPr>
          <w:rFonts w:eastAsia="Calibri" w:cs="Times New Roman"/>
          <w:b/>
          <w:szCs w:val="24"/>
        </w:rPr>
        <w:t>, </w:t>
      </w:r>
      <w:hyperlink r:id="rId965" w:history="1">
        <w:r w:rsidR="006F53C9" w:rsidRPr="006F53C9">
          <w:rPr>
            <w:rFonts w:eastAsia="Calibri" w:cs="Times New Roman"/>
            <w:b/>
            <w:szCs w:val="24"/>
          </w:rPr>
          <w:t>Zhou X</w:t>
        </w:r>
      </w:hyperlink>
      <w:r w:rsidR="006F53C9" w:rsidRPr="006F53C9">
        <w:rPr>
          <w:rFonts w:eastAsia="Calibri" w:cs="Times New Roman"/>
          <w:b/>
          <w:szCs w:val="24"/>
        </w:rPr>
        <w:t>, </w:t>
      </w:r>
      <w:hyperlink r:id="rId966" w:history="1">
        <w:r w:rsidR="006F53C9" w:rsidRPr="006F53C9">
          <w:rPr>
            <w:rFonts w:eastAsia="Calibri" w:cs="Times New Roman"/>
            <w:b/>
            <w:szCs w:val="24"/>
          </w:rPr>
          <w:t>Wang A</w:t>
        </w:r>
      </w:hyperlink>
      <w:r w:rsidR="006F53C9" w:rsidRPr="006F53C9">
        <w:rPr>
          <w:rFonts w:eastAsia="Calibri" w:cs="Times New Roman"/>
          <w:b/>
          <w:szCs w:val="24"/>
        </w:rPr>
        <w:t xml:space="preserve">. </w:t>
      </w:r>
      <w:r w:rsidR="006F53C9" w:rsidRPr="006F53C9">
        <w:rPr>
          <w:rFonts w:eastAsia="Calibri" w:cs="Times New Roman"/>
          <w:szCs w:val="24"/>
        </w:rPr>
        <w:t xml:space="preserve">High glucose enhances the metastatic potential of tongue squamous cell carcinoma via the PKM2 pathway. </w:t>
      </w:r>
      <w:r w:rsidR="006F53C9" w:rsidRPr="006F53C9">
        <w:rPr>
          <w:rFonts w:eastAsia="Calibri" w:cs="Times New Roman"/>
          <w:i/>
          <w:szCs w:val="24"/>
        </w:rPr>
        <w:t>Oncotarget</w:t>
      </w:r>
      <w:r w:rsidR="006F53C9" w:rsidRPr="006F53C9">
        <w:rPr>
          <w:rFonts w:eastAsia="Calibri" w:cs="Times New Roman"/>
          <w:szCs w:val="24"/>
        </w:rPr>
        <w:t xml:space="preserve"> 2017, 8 (67), 111770-111779.</w:t>
      </w:r>
    </w:p>
    <w:p w:rsidR="006F53C9" w:rsidRPr="00D47D1F" w:rsidRDefault="0037177D" w:rsidP="00514F54">
      <w:pPr>
        <w:spacing w:before="120" w:after="240"/>
        <w:ind w:firstLine="0"/>
        <w:rPr>
          <w:rFonts w:eastAsia="Calibri" w:cs="Times New Roman"/>
          <w:szCs w:val="24"/>
        </w:rPr>
      </w:pPr>
      <w:hyperlink r:id="rId967" w:history="1">
        <w:r w:rsidR="006F53C9" w:rsidRPr="00D47D1F">
          <w:rPr>
            <w:rFonts w:eastAsia="Calibri" w:cs="Times New Roman"/>
            <w:b/>
            <w:szCs w:val="24"/>
          </w:rPr>
          <w:t>Wang ZY</w:t>
        </w:r>
      </w:hyperlink>
      <w:r w:rsidR="006F53C9" w:rsidRPr="00D47D1F">
        <w:rPr>
          <w:rFonts w:eastAsia="Calibri" w:cs="Times New Roman"/>
          <w:b/>
          <w:szCs w:val="24"/>
        </w:rPr>
        <w:t>, </w:t>
      </w:r>
      <w:hyperlink r:id="rId968" w:history="1">
        <w:r w:rsidR="006F53C9" w:rsidRPr="00D47D1F">
          <w:rPr>
            <w:rFonts w:eastAsia="Calibri" w:cs="Times New Roman"/>
            <w:b/>
            <w:szCs w:val="24"/>
          </w:rPr>
          <w:t>Loo TY</w:t>
        </w:r>
      </w:hyperlink>
      <w:r w:rsidR="006F53C9" w:rsidRPr="00D47D1F">
        <w:rPr>
          <w:rFonts w:eastAsia="Calibri" w:cs="Times New Roman"/>
          <w:b/>
          <w:szCs w:val="24"/>
        </w:rPr>
        <w:t>, </w:t>
      </w:r>
      <w:hyperlink r:id="rId969" w:history="1">
        <w:r w:rsidR="006F53C9" w:rsidRPr="00D47D1F">
          <w:rPr>
            <w:rFonts w:eastAsia="Calibri" w:cs="Times New Roman"/>
            <w:b/>
            <w:szCs w:val="24"/>
          </w:rPr>
          <w:t>Shen JG</w:t>
        </w:r>
      </w:hyperlink>
      <w:r w:rsidR="006F53C9" w:rsidRPr="00D47D1F">
        <w:rPr>
          <w:rFonts w:eastAsia="Calibri" w:cs="Times New Roman"/>
          <w:b/>
          <w:szCs w:val="24"/>
        </w:rPr>
        <w:t>, </w:t>
      </w:r>
      <w:hyperlink r:id="rId970" w:history="1">
        <w:r w:rsidR="006F53C9" w:rsidRPr="00D47D1F">
          <w:rPr>
            <w:rFonts w:eastAsia="Calibri" w:cs="Times New Roman"/>
            <w:b/>
            <w:szCs w:val="24"/>
          </w:rPr>
          <w:t>Wang N</w:t>
        </w:r>
      </w:hyperlink>
      <w:r w:rsidR="006F53C9" w:rsidRPr="00D47D1F">
        <w:rPr>
          <w:rFonts w:eastAsia="Calibri" w:cs="Times New Roman"/>
          <w:b/>
          <w:szCs w:val="24"/>
        </w:rPr>
        <w:t>, </w:t>
      </w:r>
      <w:hyperlink r:id="rId971" w:history="1">
        <w:r w:rsidR="006F53C9" w:rsidRPr="00D47D1F">
          <w:rPr>
            <w:rFonts w:eastAsia="Calibri" w:cs="Times New Roman"/>
            <w:b/>
            <w:szCs w:val="24"/>
          </w:rPr>
          <w:t>Wang DM</w:t>
        </w:r>
      </w:hyperlink>
      <w:r w:rsidR="006F53C9" w:rsidRPr="00D47D1F">
        <w:rPr>
          <w:rFonts w:eastAsia="Calibri" w:cs="Times New Roman"/>
          <w:b/>
          <w:szCs w:val="24"/>
        </w:rPr>
        <w:t>, </w:t>
      </w:r>
      <w:hyperlink r:id="rId972" w:history="1">
        <w:r w:rsidR="006F53C9" w:rsidRPr="00D47D1F">
          <w:rPr>
            <w:rFonts w:eastAsia="Calibri" w:cs="Times New Roman"/>
            <w:b/>
            <w:szCs w:val="24"/>
          </w:rPr>
          <w:t>Yang DP</w:t>
        </w:r>
      </w:hyperlink>
      <w:r w:rsidR="006F53C9" w:rsidRPr="00D47D1F">
        <w:rPr>
          <w:rFonts w:eastAsia="Calibri" w:cs="Times New Roman"/>
          <w:b/>
          <w:szCs w:val="24"/>
        </w:rPr>
        <w:t>, </w:t>
      </w:r>
      <w:hyperlink r:id="rId973" w:history="1">
        <w:r w:rsidR="006F53C9" w:rsidRPr="00D47D1F">
          <w:rPr>
            <w:rFonts w:eastAsia="Calibri" w:cs="Times New Roman"/>
            <w:b/>
            <w:szCs w:val="24"/>
          </w:rPr>
          <w:t>Mo SL</w:t>
        </w:r>
      </w:hyperlink>
      <w:r w:rsidR="006F53C9" w:rsidRPr="00D47D1F">
        <w:rPr>
          <w:rFonts w:eastAsia="Calibri" w:cs="Times New Roman"/>
          <w:b/>
          <w:szCs w:val="24"/>
        </w:rPr>
        <w:t>, </w:t>
      </w:r>
      <w:hyperlink r:id="rId974" w:history="1">
        <w:r w:rsidR="006F53C9" w:rsidRPr="00D47D1F">
          <w:rPr>
            <w:rFonts w:eastAsia="Calibri" w:cs="Times New Roman"/>
            <w:b/>
            <w:szCs w:val="24"/>
          </w:rPr>
          <w:t>Guan XY</w:t>
        </w:r>
      </w:hyperlink>
      <w:r w:rsidR="006F53C9" w:rsidRPr="00D47D1F">
        <w:rPr>
          <w:rFonts w:eastAsia="Calibri" w:cs="Times New Roman"/>
          <w:b/>
          <w:szCs w:val="24"/>
        </w:rPr>
        <w:t>, </w:t>
      </w:r>
      <w:hyperlink r:id="rId975" w:history="1">
        <w:r w:rsidR="006F53C9" w:rsidRPr="00D47D1F">
          <w:rPr>
            <w:rFonts w:eastAsia="Calibri" w:cs="Times New Roman"/>
            <w:b/>
            <w:szCs w:val="24"/>
          </w:rPr>
          <w:t>Chen JP</w:t>
        </w:r>
      </w:hyperlink>
      <w:r w:rsidR="006F53C9" w:rsidRPr="00D47D1F">
        <w:rPr>
          <w:rFonts w:eastAsia="Calibri" w:cs="Times New Roman"/>
          <w:b/>
          <w:szCs w:val="24"/>
        </w:rPr>
        <w:t>.</w:t>
      </w:r>
      <w:r w:rsidR="006F53C9" w:rsidRPr="00D47D1F">
        <w:rPr>
          <w:rFonts w:eastAsiaTheme="majorEastAsia" w:cstheme="majorBidi"/>
          <w:bCs/>
          <w:color w:val="365F91" w:themeColor="accent1" w:themeShade="BF"/>
          <w:szCs w:val="24"/>
        </w:rPr>
        <w:t xml:space="preserve"> </w:t>
      </w:r>
      <w:r w:rsidR="006F53C9" w:rsidRPr="00D47D1F">
        <w:rPr>
          <w:rFonts w:eastAsia="Calibri" w:cs="Times New Roman"/>
          <w:szCs w:val="24"/>
        </w:rPr>
        <w:t xml:space="preserve">LDH-A silencing suppresses breast cancer tumorigenicity through induction of oxidative stress mediated mitochondrial pathway apoptosis. </w:t>
      </w:r>
      <w:r w:rsidR="006F53C9" w:rsidRPr="00D47D1F">
        <w:rPr>
          <w:rFonts w:eastAsia="Calibri" w:cs="Times New Roman"/>
          <w:i/>
          <w:szCs w:val="24"/>
        </w:rPr>
        <w:t xml:space="preserve">Breast Cancer Research and Treatment </w:t>
      </w:r>
      <w:r w:rsidR="006F53C9" w:rsidRPr="00D47D1F">
        <w:rPr>
          <w:rFonts w:eastAsia="Calibri" w:cs="Times New Roman"/>
          <w:szCs w:val="24"/>
        </w:rPr>
        <w:t>2012, 131 (3), 791-800.</w:t>
      </w:r>
    </w:p>
    <w:p w:rsidR="006F53C9" w:rsidRPr="00D47D1F" w:rsidRDefault="006F53C9" w:rsidP="00514F54">
      <w:pPr>
        <w:spacing w:before="120" w:after="240"/>
        <w:ind w:firstLine="0"/>
        <w:rPr>
          <w:rFonts w:eastAsia="Calibri" w:cs="Times New Roman"/>
          <w:szCs w:val="24"/>
        </w:rPr>
      </w:pPr>
      <w:r w:rsidRPr="00D47D1F">
        <w:rPr>
          <w:rFonts w:eastAsia="Calibri" w:cs="Times New Roman"/>
          <w:b/>
          <w:szCs w:val="24"/>
        </w:rPr>
        <w:lastRenderedPageBreak/>
        <w:t>Warburg O, Wind F, Negelein E.</w:t>
      </w:r>
      <w:r w:rsidRPr="00D47D1F">
        <w:rPr>
          <w:rFonts w:eastAsia="Calibri" w:cs="Times New Roman"/>
          <w:szCs w:val="24"/>
        </w:rPr>
        <w:t xml:space="preserve"> The Metabolism of Tumors in the Body. </w:t>
      </w:r>
      <w:r w:rsidRPr="00D47D1F">
        <w:rPr>
          <w:rFonts w:eastAsia="Calibri" w:cs="Times New Roman"/>
          <w:i/>
          <w:szCs w:val="24"/>
        </w:rPr>
        <w:t>The Journal of General Physiology</w:t>
      </w:r>
      <w:r w:rsidRPr="00D47D1F">
        <w:rPr>
          <w:rFonts w:eastAsia="Calibri" w:cs="Times New Roman"/>
          <w:szCs w:val="24"/>
        </w:rPr>
        <w:t xml:space="preserve"> 1927, 8, 519-530.</w:t>
      </w:r>
    </w:p>
    <w:p w:rsidR="006F53C9" w:rsidRPr="00D47D1F" w:rsidRDefault="006F53C9" w:rsidP="00514F54">
      <w:pPr>
        <w:spacing w:before="120" w:after="240"/>
        <w:ind w:firstLine="0"/>
        <w:rPr>
          <w:rFonts w:eastAsia="Calibri" w:cs="Times New Roman"/>
          <w:szCs w:val="24"/>
        </w:rPr>
      </w:pPr>
      <w:r w:rsidRPr="00D47D1F">
        <w:rPr>
          <w:rFonts w:eastAsia="Calibri" w:cs="Times New Roman"/>
          <w:b/>
          <w:szCs w:val="24"/>
        </w:rPr>
        <w:t>Warburg O.</w:t>
      </w:r>
      <w:r w:rsidRPr="00D47D1F">
        <w:rPr>
          <w:rFonts w:eastAsia="Calibri" w:cs="Times New Roman"/>
          <w:szCs w:val="24"/>
        </w:rPr>
        <w:t xml:space="preserve"> On the origin of cancer cells. </w:t>
      </w:r>
      <w:r w:rsidRPr="00D47D1F">
        <w:rPr>
          <w:rFonts w:eastAsia="Calibri" w:cs="Times New Roman"/>
          <w:i/>
          <w:szCs w:val="24"/>
        </w:rPr>
        <w:t>Science</w:t>
      </w:r>
      <w:r w:rsidRPr="00D47D1F">
        <w:rPr>
          <w:rFonts w:eastAsia="Calibri" w:cs="Times New Roman"/>
          <w:szCs w:val="24"/>
        </w:rPr>
        <w:t xml:space="preserve"> 1956, 123, 309-314. </w:t>
      </w:r>
    </w:p>
    <w:p w:rsidR="006F53C9" w:rsidRPr="00D47D1F" w:rsidRDefault="006F53C9" w:rsidP="00514F54">
      <w:pPr>
        <w:spacing w:before="120" w:after="240"/>
        <w:ind w:firstLine="0"/>
        <w:rPr>
          <w:rFonts w:eastAsia="Calibri" w:cs="Times New Roman"/>
          <w:szCs w:val="24"/>
        </w:rPr>
      </w:pPr>
      <w:r w:rsidRPr="00D47D1F">
        <w:rPr>
          <w:rFonts w:eastAsia="Calibri" w:cs="Times New Roman"/>
          <w:b/>
          <w:szCs w:val="24"/>
        </w:rPr>
        <w:t>Weidemann A, Johnson RS.</w:t>
      </w:r>
      <w:r w:rsidRPr="00D47D1F">
        <w:rPr>
          <w:rFonts w:eastAsia="Calibri" w:cs="Times New Roman"/>
          <w:szCs w:val="24"/>
        </w:rPr>
        <w:t xml:space="preserve"> Biology of HIF-1 alpha. </w:t>
      </w:r>
      <w:r w:rsidRPr="00D47D1F">
        <w:rPr>
          <w:rFonts w:eastAsia="Calibri" w:cs="Times New Roman"/>
          <w:i/>
          <w:szCs w:val="24"/>
        </w:rPr>
        <w:t>Cell Death and Differantiation</w:t>
      </w:r>
      <w:r w:rsidRPr="00D47D1F">
        <w:rPr>
          <w:rFonts w:eastAsia="Calibri" w:cs="Times New Roman"/>
          <w:szCs w:val="24"/>
        </w:rPr>
        <w:t xml:space="preserve"> 2008,15, 621–627.</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976" w:history="1">
        <w:r w:rsidR="006F53C9" w:rsidRPr="00D47D1F">
          <w:rPr>
            <w:rFonts w:eastAsia="Calibri" w:cs="Times New Roman"/>
            <w:b/>
            <w:szCs w:val="24"/>
          </w:rPr>
          <w:t>Wiesener MS</w:t>
        </w:r>
      </w:hyperlink>
      <w:r w:rsidR="006F53C9" w:rsidRPr="00D47D1F">
        <w:rPr>
          <w:rFonts w:eastAsia="Calibri" w:cs="Times New Roman"/>
          <w:b/>
          <w:szCs w:val="24"/>
        </w:rPr>
        <w:t>, </w:t>
      </w:r>
      <w:hyperlink r:id="rId977" w:history="1">
        <w:r w:rsidR="006F53C9" w:rsidRPr="00D47D1F">
          <w:rPr>
            <w:rFonts w:eastAsia="Calibri" w:cs="Times New Roman"/>
            <w:b/>
            <w:szCs w:val="24"/>
          </w:rPr>
          <w:t>Jürgensen JS</w:t>
        </w:r>
      </w:hyperlink>
      <w:r w:rsidR="006F53C9" w:rsidRPr="00D47D1F">
        <w:rPr>
          <w:rFonts w:eastAsia="Calibri" w:cs="Times New Roman"/>
          <w:b/>
          <w:szCs w:val="24"/>
        </w:rPr>
        <w:t>, </w:t>
      </w:r>
      <w:hyperlink r:id="rId978" w:history="1">
        <w:r w:rsidR="006F53C9" w:rsidRPr="00D47D1F">
          <w:rPr>
            <w:rFonts w:eastAsia="Calibri" w:cs="Times New Roman"/>
            <w:b/>
            <w:szCs w:val="24"/>
          </w:rPr>
          <w:t>Rosenberger C</w:t>
        </w:r>
      </w:hyperlink>
      <w:r w:rsidR="006F53C9" w:rsidRPr="00D47D1F">
        <w:rPr>
          <w:rFonts w:eastAsia="Calibri" w:cs="Times New Roman"/>
          <w:b/>
          <w:szCs w:val="24"/>
        </w:rPr>
        <w:t>, </w:t>
      </w:r>
      <w:hyperlink r:id="rId979" w:history="1">
        <w:r w:rsidR="006F53C9" w:rsidRPr="00D47D1F">
          <w:rPr>
            <w:rFonts w:eastAsia="Calibri" w:cs="Times New Roman"/>
            <w:b/>
            <w:szCs w:val="24"/>
          </w:rPr>
          <w:t>Scholze CK</w:t>
        </w:r>
      </w:hyperlink>
      <w:r w:rsidR="006F53C9" w:rsidRPr="00D47D1F">
        <w:rPr>
          <w:rFonts w:eastAsia="Calibri" w:cs="Times New Roman"/>
          <w:b/>
          <w:szCs w:val="24"/>
        </w:rPr>
        <w:t>, </w:t>
      </w:r>
      <w:hyperlink r:id="rId980" w:history="1">
        <w:r w:rsidR="006F53C9" w:rsidRPr="00D47D1F">
          <w:rPr>
            <w:rFonts w:eastAsia="Calibri" w:cs="Times New Roman"/>
            <w:b/>
            <w:szCs w:val="24"/>
          </w:rPr>
          <w:t>Hörstrup JH</w:t>
        </w:r>
      </w:hyperlink>
      <w:r w:rsidR="006F53C9" w:rsidRPr="00D47D1F">
        <w:rPr>
          <w:rFonts w:eastAsia="Calibri" w:cs="Times New Roman"/>
          <w:b/>
          <w:szCs w:val="24"/>
        </w:rPr>
        <w:t>, </w:t>
      </w:r>
      <w:hyperlink r:id="rId981" w:history="1">
        <w:r w:rsidR="006F53C9" w:rsidRPr="00D47D1F">
          <w:rPr>
            <w:rFonts w:eastAsia="Calibri" w:cs="Times New Roman"/>
            <w:b/>
            <w:szCs w:val="24"/>
          </w:rPr>
          <w:t>Warnecke C</w:t>
        </w:r>
      </w:hyperlink>
      <w:r w:rsidR="006F53C9" w:rsidRPr="00D47D1F">
        <w:rPr>
          <w:rFonts w:eastAsia="Calibri" w:cs="Times New Roman"/>
          <w:b/>
          <w:szCs w:val="24"/>
        </w:rPr>
        <w:t>, </w:t>
      </w:r>
      <w:hyperlink r:id="rId982" w:history="1">
        <w:r w:rsidR="006F53C9" w:rsidRPr="00D47D1F">
          <w:rPr>
            <w:rFonts w:eastAsia="Calibri" w:cs="Times New Roman"/>
            <w:b/>
            <w:szCs w:val="24"/>
          </w:rPr>
          <w:t>Mandriota S</w:t>
        </w:r>
      </w:hyperlink>
      <w:r w:rsidR="006F53C9" w:rsidRPr="00D47D1F">
        <w:rPr>
          <w:rFonts w:eastAsia="Calibri" w:cs="Times New Roman"/>
          <w:b/>
          <w:szCs w:val="24"/>
        </w:rPr>
        <w:t>, </w:t>
      </w:r>
      <w:hyperlink r:id="rId983" w:history="1">
        <w:r w:rsidR="006F53C9" w:rsidRPr="00D47D1F">
          <w:rPr>
            <w:rFonts w:eastAsia="Calibri" w:cs="Times New Roman"/>
            <w:b/>
            <w:szCs w:val="24"/>
          </w:rPr>
          <w:t>Bechmann I</w:t>
        </w:r>
      </w:hyperlink>
      <w:r w:rsidR="006F53C9" w:rsidRPr="00D47D1F">
        <w:rPr>
          <w:rFonts w:eastAsia="Calibri" w:cs="Times New Roman"/>
          <w:b/>
          <w:szCs w:val="24"/>
        </w:rPr>
        <w:t>, </w:t>
      </w:r>
      <w:hyperlink r:id="rId984" w:history="1">
        <w:r w:rsidR="006F53C9" w:rsidRPr="00D47D1F">
          <w:rPr>
            <w:rFonts w:eastAsia="Calibri" w:cs="Times New Roman"/>
            <w:b/>
            <w:szCs w:val="24"/>
          </w:rPr>
          <w:t>Frei UA</w:t>
        </w:r>
      </w:hyperlink>
      <w:r w:rsidR="006F53C9" w:rsidRPr="00D47D1F">
        <w:rPr>
          <w:rFonts w:eastAsia="Calibri" w:cs="Times New Roman"/>
          <w:b/>
          <w:szCs w:val="24"/>
        </w:rPr>
        <w:t>, </w:t>
      </w:r>
      <w:hyperlink r:id="rId985" w:history="1">
        <w:r w:rsidR="006F53C9" w:rsidRPr="00D47D1F">
          <w:rPr>
            <w:rFonts w:eastAsia="Calibri" w:cs="Times New Roman"/>
            <w:b/>
            <w:szCs w:val="24"/>
          </w:rPr>
          <w:t>Pugh CW</w:t>
        </w:r>
      </w:hyperlink>
      <w:r w:rsidR="006F53C9" w:rsidRPr="00D47D1F">
        <w:rPr>
          <w:rFonts w:eastAsia="Calibri" w:cs="Times New Roman"/>
          <w:b/>
          <w:szCs w:val="24"/>
        </w:rPr>
        <w:t>, </w:t>
      </w:r>
      <w:hyperlink r:id="rId986" w:history="1">
        <w:r w:rsidR="006F53C9" w:rsidRPr="00D47D1F">
          <w:rPr>
            <w:rFonts w:eastAsia="Calibri" w:cs="Times New Roman"/>
            <w:b/>
            <w:szCs w:val="24"/>
          </w:rPr>
          <w:t>Ratcliffe PJ</w:t>
        </w:r>
      </w:hyperlink>
      <w:r w:rsidR="006F53C9" w:rsidRPr="00D47D1F">
        <w:rPr>
          <w:rFonts w:eastAsia="Calibri" w:cs="Times New Roman"/>
          <w:b/>
          <w:szCs w:val="24"/>
        </w:rPr>
        <w:t>, </w:t>
      </w:r>
      <w:hyperlink r:id="rId987" w:history="1">
        <w:r w:rsidR="006F53C9" w:rsidRPr="00D47D1F">
          <w:rPr>
            <w:rFonts w:eastAsia="Calibri" w:cs="Times New Roman"/>
            <w:b/>
            <w:szCs w:val="24"/>
          </w:rPr>
          <w:t>Bachmann S</w:t>
        </w:r>
      </w:hyperlink>
      <w:r w:rsidR="006F53C9" w:rsidRPr="00D47D1F">
        <w:rPr>
          <w:rFonts w:eastAsia="Calibri" w:cs="Times New Roman"/>
          <w:b/>
          <w:szCs w:val="24"/>
        </w:rPr>
        <w:t>, </w:t>
      </w:r>
      <w:hyperlink r:id="rId988" w:history="1">
        <w:r w:rsidR="006F53C9" w:rsidRPr="00D47D1F">
          <w:rPr>
            <w:rFonts w:eastAsia="Calibri" w:cs="Times New Roman"/>
            <w:b/>
            <w:szCs w:val="24"/>
          </w:rPr>
          <w:t>Maxwell PH</w:t>
        </w:r>
      </w:hyperlink>
      <w:r w:rsidR="006F53C9" w:rsidRPr="00D47D1F">
        <w:rPr>
          <w:rFonts w:eastAsia="Calibri" w:cs="Times New Roman"/>
          <w:b/>
          <w:szCs w:val="24"/>
        </w:rPr>
        <w:t>, </w:t>
      </w:r>
      <w:hyperlink r:id="rId989" w:history="1">
        <w:r w:rsidR="006F53C9" w:rsidRPr="00D47D1F">
          <w:rPr>
            <w:rFonts w:eastAsia="Calibri" w:cs="Times New Roman"/>
            <w:b/>
            <w:szCs w:val="24"/>
          </w:rPr>
          <w:t>Eckardt KU</w:t>
        </w:r>
      </w:hyperlink>
      <w:r w:rsidR="006F53C9" w:rsidRPr="00D47D1F">
        <w:rPr>
          <w:rFonts w:eastAsia="Calibri" w:cs="Times New Roman"/>
          <w:b/>
          <w:szCs w:val="24"/>
        </w:rPr>
        <w:t xml:space="preserve">. </w:t>
      </w:r>
      <w:r w:rsidR="006F53C9" w:rsidRPr="00D47D1F">
        <w:rPr>
          <w:rFonts w:eastAsia="Calibri" w:cs="Times New Roman"/>
          <w:szCs w:val="24"/>
        </w:rPr>
        <w:t>Widespread hypoxia-inducible expression of HIF-2alpha in distinct cell populations of different organs</w:t>
      </w:r>
      <w:r w:rsidR="006F53C9" w:rsidRPr="00D47D1F">
        <w:rPr>
          <w:rFonts w:eastAsia="Calibri" w:cs="Times New Roman"/>
          <w:i/>
          <w:szCs w:val="24"/>
        </w:rPr>
        <w:t>. FASEB Journal</w:t>
      </w:r>
      <w:r w:rsidR="006F53C9" w:rsidRPr="00D47D1F">
        <w:rPr>
          <w:rFonts w:eastAsia="Calibri" w:cs="Times New Roman"/>
          <w:szCs w:val="24"/>
        </w:rPr>
        <w:t xml:space="preserve"> 2003, 17 (2), 271-273. </w:t>
      </w:r>
    </w:p>
    <w:p w:rsidR="006F53C9" w:rsidRPr="00D47D1F" w:rsidRDefault="006F53C9" w:rsidP="00514F54">
      <w:pPr>
        <w:keepNext/>
        <w:keepLines/>
        <w:shd w:val="clear" w:color="auto" w:fill="FFFFFF"/>
        <w:spacing w:before="120" w:after="240"/>
        <w:ind w:firstLine="0"/>
        <w:outlineLvl w:val="0"/>
        <w:rPr>
          <w:rFonts w:eastAsia="Calibri" w:cs="Times New Roman"/>
          <w:szCs w:val="24"/>
        </w:rPr>
      </w:pPr>
      <w:r w:rsidRPr="00D47D1F">
        <w:rPr>
          <w:rFonts w:eastAsia="Calibri" w:cs="Times New Roman"/>
          <w:b/>
          <w:szCs w:val="24"/>
        </w:rPr>
        <w:t xml:space="preserve">Wigerup C, Páhlman S, Bexell D. </w:t>
      </w:r>
      <w:r w:rsidRPr="00D47D1F">
        <w:rPr>
          <w:rFonts w:eastAsia="Calibri" w:cs="Times New Roman"/>
          <w:szCs w:val="24"/>
        </w:rPr>
        <w:t xml:space="preserve">Therapeutic targeting of hypoxia and hypoxia-inducible factors in cancer. </w:t>
      </w:r>
      <w:r w:rsidRPr="00D47D1F">
        <w:rPr>
          <w:rFonts w:eastAsia="Calibri" w:cs="Times New Roman"/>
          <w:i/>
          <w:szCs w:val="24"/>
        </w:rPr>
        <w:t>Pharmacology&amp;therapeutics</w:t>
      </w:r>
      <w:r w:rsidRPr="00D47D1F">
        <w:rPr>
          <w:rFonts w:eastAsia="Calibri" w:cs="Times New Roman"/>
          <w:szCs w:val="24"/>
        </w:rPr>
        <w:t xml:space="preserve"> 2016, 164, 152-169. </w:t>
      </w:r>
    </w:p>
    <w:p w:rsidR="006F53C9" w:rsidRPr="00D47D1F" w:rsidRDefault="0037177D" w:rsidP="00514F54">
      <w:pPr>
        <w:keepNext/>
        <w:keepLines/>
        <w:shd w:val="clear" w:color="auto" w:fill="FFFFFF"/>
        <w:spacing w:before="120" w:after="240"/>
        <w:ind w:firstLine="0"/>
        <w:outlineLvl w:val="0"/>
        <w:rPr>
          <w:rFonts w:eastAsia="Calibri" w:cs="Times New Roman"/>
          <w:szCs w:val="24"/>
        </w:rPr>
      </w:pPr>
      <w:hyperlink r:id="rId990" w:history="1">
        <w:r w:rsidR="006F53C9" w:rsidRPr="00D47D1F">
          <w:rPr>
            <w:rFonts w:eastAsia="Calibri" w:cs="Times New Roman"/>
            <w:b/>
            <w:szCs w:val="24"/>
          </w:rPr>
          <w:t>Wilson WR</w:t>
        </w:r>
      </w:hyperlink>
      <w:r w:rsidR="006F53C9" w:rsidRPr="00D47D1F">
        <w:rPr>
          <w:rFonts w:eastAsia="Calibri" w:cs="Times New Roman"/>
          <w:b/>
          <w:szCs w:val="24"/>
        </w:rPr>
        <w:t>, </w:t>
      </w:r>
      <w:hyperlink r:id="rId991" w:history="1">
        <w:r w:rsidR="006F53C9" w:rsidRPr="00D47D1F">
          <w:rPr>
            <w:rFonts w:eastAsia="Calibri" w:cs="Times New Roman"/>
            <w:b/>
            <w:szCs w:val="24"/>
          </w:rPr>
          <w:t>Hay MP</w:t>
        </w:r>
      </w:hyperlink>
      <w:r w:rsidR="006F53C9" w:rsidRPr="00D47D1F">
        <w:rPr>
          <w:rFonts w:eastAsia="Calibri" w:cs="Times New Roman"/>
          <w:b/>
          <w:szCs w:val="24"/>
        </w:rPr>
        <w:t>.</w:t>
      </w:r>
      <w:r w:rsidR="006F53C9" w:rsidRPr="00D47D1F">
        <w:rPr>
          <w:rFonts w:eastAsia="Calibri" w:cs="Times New Roman"/>
          <w:szCs w:val="24"/>
        </w:rPr>
        <w:t xml:space="preserve"> Targeting hypoxia in cancer therapy. Nature Reviews. </w:t>
      </w:r>
      <w:r w:rsidR="006F53C9" w:rsidRPr="00D47D1F">
        <w:rPr>
          <w:rFonts w:eastAsia="Calibri" w:cs="Times New Roman"/>
          <w:i/>
          <w:szCs w:val="24"/>
        </w:rPr>
        <w:t xml:space="preserve">Cancer </w:t>
      </w:r>
      <w:r w:rsidR="006F53C9" w:rsidRPr="00D47D1F">
        <w:rPr>
          <w:rFonts w:eastAsia="Calibri" w:cs="Times New Roman"/>
          <w:szCs w:val="24"/>
        </w:rPr>
        <w:t xml:space="preserve">2011, 11 (6), 393-410. </w:t>
      </w:r>
    </w:p>
    <w:p w:rsidR="006F53C9" w:rsidRPr="00D47D1F" w:rsidRDefault="006F53C9" w:rsidP="00514F54">
      <w:pPr>
        <w:keepNext/>
        <w:keepLines/>
        <w:shd w:val="clear" w:color="auto" w:fill="FFFFFF"/>
        <w:spacing w:before="120" w:after="240"/>
        <w:ind w:firstLine="0"/>
        <w:outlineLvl w:val="0"/>
        <w:rPr>
          <w:rFonts w:eastAsia="Calibri" w:cs="Times New Roman"/>
          <w:szCs w:val="24"/>
        </w:rPr>
      </w:pPr>
      <w:r w:rsidRPr="00D47D1F">
        <w:rPr>
          <w:rFonts w:eastAsia="Calibri" w:cs="Times New Roman"/>
          <w:b/>
          <w:szCs w:val="24"/>
        </w:rPr>
        <w:t>Wojtczak L.</w:t>
      </w:r>
      <w:r w:rsidRPr="00D47D1F">
        <w:rPr>
          <w:rFonts w:asciiTheme="majorHAnsi" w:eastAsiaTheme="majorEastAsia" w:hAnsiTheme="majorHAnsi" w:cstheme="majorBidi"/>
          <w:b/>
          <w:bCs/>
          <w:color w:val="365F91" w:themeColor="accent1" w:themeShade="BF"/>
          <w:sz w:val="28"/>
          <w:szCs w:val="28"/>
        </w:rPr>
        <w:t xml:space="preserve"> </w:t>
      </w:r>
      <w:r w:rsidRPr="00D47D1F">
        <w:rPr>
          <w:rFonts w:eastAsia="Calibri" w:cs="Times New Roman"/>
          <w:szCs w:val="24"/>
        </w:rPr>
        <w:t xml:space="preserve">The Crabtree effect: a new look at the old problem. </w:t>
      </w:r>
      <w:r w:rsidRPr="00D47D1F">
        <w:rPr>
          <w:rFonts w:eastAsia="Calibri" w:cs="Times New Roman"/>
          <w:i/>
          <w:szCs w:val="24"/>
        </w:rPr>
        <w:t>Acta Biochimica Polonica</w:t>
      </w:r>
      <w:r w:rsidRPr="00D47D1F">
        <w:rPr>
          <w:rFonts w:eastAsia="Calibri" w:cs="Times New Roman"/>
          <w:szCs w:val="24"/>
        </w:rPr>
        <w:t xml:space="preserve"> 1996, 43 (2), 361-368.</w:t>
      </w:r>
    </w:p>
    <w:p w:rsidR="006F53C9" w:rsidRDefault="006F53C9" w:rsidP="00514F54">
      <w:pPr>
        <w:autoSpaceDE w:val="0"/>
        <w:autoSpaceDN w:val="0"/>
        <w:adjustRightInd w:val="0"/>
        <w:spacing w:before="120" w:after="240"/>
        <w:ind w:firstLine="0"/>
        <w:rPr>
          <w:rFonts w:eastAsia="Calibri" w:cs="Times New Roman"/>
          <w:szCs w:val="24"/>
        </w:rPr>
      </w:pPr>
      <w:r w:rsidRPr="00D47D1F">
        <w:rPr>
          <w:rFonts w:eastAsiaTheme="majorEastAsia" w:cs="Times New Roman"/>
          <w:b/>
          <w:bCs/>
          <w:szCs w:val="24"/>
        </w:rPr>
        <w:t>Wood T.</w:t>
      </w:r>
      <w:r w:rsidRPr="00D47D1F">
        <w:rPr>
          <w:rFonts w:eastAsia="Calibri" w:cs="Times New Roman"/>
          <w:szCs w:val="24"/>
        </w:rPr>
        <w:t xml:space="preserve"> Physiological functions of the pentose phosphate pathway</w:t>
      </w:r>
      <w:r w:rsidRPr="00D47D1F">
        <w:rPr>
          <w:rFonts w:eastAsia="Calibri" w:cs="Times New Roman"/>
          <w:i/>
          <w:szCs w:val="24"/>
        </w:rPr>
        <w:t xml:space="preserve">. Cell Biochemistry&amp; Function </w:t>
      </w:r>
      <w:r w:rsidRPr="00D47D1F">
        <w:rPr>
          <w:rFonts w:eastAsia="Calibri" w:cs="Times New Roman"/>
          <w:szCs w:val="24"/>
        </w:rPr>
        <w:t>1986, 4, 241-247.</w:t>
      </w:r>
    </w:p>
    <w:p w:rsidR="006F53C9" w:rsidRPr="00D47D1F" w:rsidRDefault="006F53C9" w:rsidP="00514F54">
      <w:pPr>
        <w:autoSpaceDE w:val="0"/>
        <w:autoSpaceDN w:val="0"/>
        <w:adjustRightInd w:val="0"/>
        <w:spacing w:before="120" w:after="240"/>
        <w:ind w:firstLine="0"/>
        <w:rPr>
          <w:b/>
          <w:szCs w:val="24"/>
        </w:rPr>
      </w:pPr>
      <w:r w:rsidRPr="00D47D1F">
        <w:rPr>
          <w:b/>
          <w:szCs w:val="24"/>
        </w:rPr>
        <w:t>Wu Q, Li W, Zhu S, Li J, Wu J, Li X, Chen C, Wei W, Sun S, Wang C. </w:t>
      </w:r>
      <w:r w:rsidRPr="00D47D1F">
        <w:rPr>
          <w:szCs w:val="24"/>
        </w:rPr>
        <w:t>High glucose induced human breast cancer cell MCF-7 viability, migration and invasion via the expression of AKT, MAPKs and STAT3. </w:t>
      </w:r>
      <w:r w:rsidRPr="00D47D1F">
        <w:rPr>
          <w:i/>
          <w:szCs w:val="24"/>
        </w:rPr>
        <w:t>International Journal of Clinical and Experimental Medicine</w:t>
      </w:r>
      <w:r w:rsidRPr="00D47D1F">
        <w:rPr>
          <w:szCs w:val="24"/>
        </w:rPr>
        <w:t> 2016, 9 (6), 11260-11267. </w:t>
      </w:r>
    </w:p>
    <w:p w:rsidR="006F53C9" w:rsidRPr="00D47D1F" w:rsidRDefault="006F53C9" w:rsidP="00514F54">
      <w:pPr>
        <w:keepNext/>
        <w:keepLines/>
        <w:shd w:val="clear" w:color="auto" w:fill="FFFFFF"/>
        <w:spacing w:before="120" w:after="240"/>
        <w:ind w:firstLine="0"/>
        <w:textAlignment w:val="baseline"/>
        <w:outlineLvl w:val="0"/>
        <w:rPr>
          <w:rFonts w:asciiTheme="majorHAnsi" w:eastAsiaTheme="majorEastAsia" w:hAnsiTheme="majorHAnsi" w:cstheme="majorBidi"/>
          <w:b/>
          <w:bCs/>
          <w:color w:val="365F91" w:themeColor="accent1" w:themeShade="BF"/>
          <w:sz w:val="28"/>
          <w:szCs w:val="28"/>
        </w:rPr>
      </w:pPr>
      <w:r w:rsidRPr="00D47D1F">
        <w:rPr>
          <w:rFonts w:eastAsia="Calibri" w:cs="Times New Roman"/>
          <w:b/>
          <w:szCs w:val="24"/>
        </w:rPr>
        <w:t>Xie H, Simon MC.</w:t>
      </w:r>
      <w:r w:rsidRPr="00D47D1F">
        <w:rPr>
          <w:rFonts w:asciiTheme="majorHAnsi" w:eastAsiaTheme="majorEastAsia" w:hAnsiTheme="majorHAnsi" w:cstheme="majorBidi"/>
          <w:b/>
          <w:bCs/>
          <w:color w:val="365F91" w:themeColor="accent1" w:themeShade="BF"/>
          <w:sz w:val="28"/>
          <w:szCs w:val="28"/>
        </w:rPr>
        <w:t xml:space="preserve"> </w:t>
      </w:r>
      <w:r w:rsidRPr="00D47D1F">
        <w:rPr>
          <w:rFonts w:eastAsia="Calibri" w:cs="Times New Roman"/>
          <w:szCs w:val="24"/>
        </w:rPr>
        <w:t xml:space="preserve">Oxygen availability and metabolic reprogramming in cancer. </w:t>
      </w:r>
      <w:r w:rsidRPr="00D47D1F">
        <w:rPr>
          <w:rFonts w:eastAsia="Calibri" w:cs="Times New Roman"/>
          <w:i/>
          <w:szCs w:val="24"/>
        </w:rPr>
        <w:t xml:space="preserve">JBC </w:t>
      </w:r>
      <w:r w:rsidRPr="00D47D1F">
        <w:rPr>
          <w:rFonts w:eastAsia="Calibri" w:cs="Times New Roman"/>
          <w:szCs w:val="24"/>
        </w:rPr>
        <w:t>2017, 292(41) 16825–16832.</w:t>
      </w:r>
    </w:p>
    <w:p w:rsidR="006F53C9" w:rsidRPr="00D47D1F" w:rsidRDefault="006F53C9" w:rsidP="006F53C9">
      <w:pPr>
        <w:autoSpaceDE w:val="0"/>
        <w:autoSpaceDN w:val="0"/>
        <w:adjustRightInd w:val="0"/>
        <w:spacing w:before="120" w:after="120"/>
        <w:ind w:firstLine="0"/>
        <w:rPr>
          <w:rFonts w:eastAsia="Calibri" w:cs="Times New Roman"/>
          <w:szCs w:val="24"/>
        </w:rPr>
      </w:pPr>
      <w:r w:rsidRPr="00D47D1F">
        <w:rPr>
          <w:rFonts w:eastAsia="Calibri" w:cs="Times New Roman"/>
          <w:b/>
          <w:szCs w:val="24"/>
        </w:rPr>
        <w:t>Xu XD, Shao SX, Jiang HP, CAo YW, Wang YH, Yang XC, Wang YL, Wang XS, Niu HT.</w:t>
      </w:r>
      <w:r w:rsidRPr="00D47D1F">
        <w:rPr>
          <w:rFonts w:eastAsia="Calibri" w:cs="Times New Roman"/>
          <w:szCs w:val="24"/>
        </w:rPr>
        <w:t xml:space="preserve"> Warburg Effect or Reverse Warburg Effect? A Review of Cancer Metabolism. </w:t>
      </w:r>
      <w:r w:rsidRPr="00D47D1F">
        <w:rPr>
          <w:rFonts w:eastAsia="Calibri" w:cs="Times New Roman"/>
          <w:i/>
          <w:szCs w:val="24"/>
        </w:rPr>
        <w:t>Oncology Research and Treatment</w:t>
      </w:r>
      <w:r w:rsidRPr="00D47D1F">
        <w:rPr>
          <w:rFonts w:eastAsia="Calibri" w:cs="Times New Roman"/>
          <w:szCs w:val="24"/>
        </w:rPr>
        <w:t xml:space="preserve"> 2015, 38, 117–122.</w:t>
      </w:r>
    </w:p>
    <w:p w:rsidR="006F53C9" w:rsidRDefault="006F53C9" w:rsidP="00514F54">
      <w:pPr>
        <w:spacing w:before="120" w:after="240"/>
        <w:ind w:firstLine="0"/>
        <w:rPr>
          <w:rFonts w:eastAsia="Calibri" w:cs="Times New Roman"/>
          <w:szCs w:val="24"/>
        </w:rPr>
      </w:pPr>
      <w:r w:rsidRPr="00D47D1F">
        <w:rPr>
          <w:rFonts w:eastAsia="Calibri" w:cs="Times New Roman"/>
          <w:b/>
          <w:szCs w:val="24"/>
        </w:rPr>
        <w:lastRenderedPageBreak/>
        <w:t>Yabu M, Shime H, Hara H, Saito T, Matsumoto M, Seya T, Akazawa T, Inoue N.</w:t>
      </w:r>
      <w:r w:rsidRPr="00D47D1F">
        <w:rPr>
          <w:rFonts w:eastAsia="Calibri" w:cs="Times New Roman"/>
          <w:szCs w:val="24"/>
        </w:rPr>
        <w:t xml:space="preserve"> IL-23-dependent and -independent enhancement pathways of IL-17A production by lactic acid. </w:t>
      </w:r>
      <w:r w:rsidRPr="00D47D1F">
        <w:rPr>
          <w:rFonts w:eastAsia="Calibri" w:cs="Times New Roman"/>
          <w:i/>
          <w:szCs w:val="24"/>
        </w:rPr>
        <w:t>International Immunology</w:t>
      </w:r>
      <w:r w:rsidRPr="00D47D1F">
        <w:rPr>
          <w:rFonts w:eastAsia="Calibri" w:cs="Times New Roman"/>
          <w:szCs w:val="24"/>
        </w:rPr>
        <w:t xml:space="preserve"> 2011, 23 (1), 29–41.</w:t>
      </w:r>
    </w:p>
    <w:p w:rsidR="006F53C9" w:rsidRDefault="0037177D" w:rsidP="00514F54">
      <w:pPr>
        <w:spacing w:before="120" w:after="240"/>
        <w:ind w:firstLine="0"/>
        <w:rPr>
          <w:rFonts w:eastAsia="Calibri" w:cs="Times New Roman"/>
          <w:szCs w:val="24"/>
        </w:rPr>
      </w:pPr>
      <w:hyperlink r:id="rId992" w:history="1">
        <w:r w:rsidR="006F53C9" w:rsidRPr="00D47D1F">
          <w:rPr>
            <w:rFonts w:eastAsia="Calibri" w:cs="Times New Roman"/>
            <w:b/>
            <w:szCs w:val="24"/>
          </w:rPr>
          <w:t>Yaligar J</w:t>
        </w:r>
      </w:hyperlink>
      <w:r w:rsidR="006F53C9" w:rsidRPr="00D47D1F">
        <w:rPr>
          <w:rFonts w:eastAsia="Calibri" w:cs="Times New Roman"/>
          <w:b/>
          <w:szCs w:val="24"/>
        </w:rPr>
        <w:t>, </w:t>
      </w:r>
      <w:hyperlink r:id="rId993" w:history="1">
        <w:r w:rsidR="006F53C9" w:rsidRPr="00D47D1F">
          <w:rPr>
            <w:rFonts w:eastAsia="Calibri" w:cs="Times New Roman"/>
            <w:b/>
            <w:szCs w:val="24"/>
          </w:rPr>
          <w:t>Thakur SB</w:t>
        </w:r>
      </w:hyperlink>
      <w:r w:rsidR="006F53C9" w:rsidRPr="00D47D1F">
        <w:rPr>
          <w:rFonts w:eastAsia="Calibri" w:cs="Times New Roman"/>
          <w:b/>
          <w:szCs w:val="24"/>
        </w:rPr>
        <w:t>, </w:t>
      </w:r>
      <w:hyperlink r:id="rId994" w:history="1">
        <w:r w:rsidR="006F53C9" w:rsidRPr="00D47D1F">
          <w:rPr>
            <w:rFonts w:eastAsia="Calibri" w:cs="Times New Roman"/>
            <w:b/>
            <w:szCs w:val="24"/>
          </w:rPr>
          <w:t>Bokacheva L</w:t>
        </w:r>
      </w:hyperlink>
      <w:r w:rsidR="006F53C9" w:rsidRPr="00D47D1F">
        <w:rPr>
          <w:rFonts w:eastAsia="Calibri" w:cs="Times New Roman"/>
          <w:b/>
          <w:szCs w:val="24"/>
        </w:rPr>
        <w:t>, </w:t>
      </w:r>
      <w:hyperlink r:id="rId995" w:history="1">
        <w:r w:rsidR="006F53C9" w:rsidRPr="00D47D1F">
          <w:rPr>
            <w:rFonts w:eastAsia="Calibri" w:cs="Times New Roman"/>
            <w:b/>
            <w:szCs w:val="24"/>
          </w:rPr>
          <w:t>Carlin S</w:t>
        </w:r>
      </w:hyperlink>
      <w:r w:rsidR="006F53C9" w:rsidRPr="00D47D1F">
        <w:rPr>
          <w:rFonts w:eastAsia="Calibri" w:cs="Times New Roman"/>
          <w:b/>
          <w:szCs w:val="24"/>
        </w:rPr>
        <w:t>, </w:t>
      </w:r>
      <w:hyperlink r:id="rId996" w:history="1">
        <w:r w:rsidR="006F53C9" w:rsidRPr="00D47D1F">
          <w:rPr>
            <w:rFonts w:eastAsia="Calibri" w:cs="Times New Roman"/>
            <w:b/>
            <w:szCs w:val="24"/>
          </w:rPr>
          <w:t>Thaler HT</w:t>
        </w:r>
      </w:hyperlink>
      <w:r w:rsidR="006F53C9" w:rsidRPr="00D47D1F">
        <w:rPr>
          <w:rFonts w:eastAsia="Calibri" w:cs="Times New Roman"/>
          <w:b/>
          <w:szCs w:val="24"/>
        </w:rPr>
        <w:t>, </w:t>
      </w:r>
      <w:hyperlink r:id="rId997" w:history="1">
        <w:r w:rsidR="006F53C9" w:rsidRPr="00D47D1F">
          <w:rPr>
            <w:rFonts w:eastAsia="Calibri" w:cs="Times New Roman"/>
            <w:b/>
            <w:szCs w:val="24"/>
          </w:rPr>
          <w:t>Rizwan A</w:t>
        </w:r>
      </w:hyperlink>
      <w:r w:rsidR="006F53C9" w:rsidRPr="00D47D1F">
        <w:rPr>
          <w:rFonts w:eastAsia="Calibri" w:cs="Times New Roman"/>
          <w:b/>
          <w:szCs w:val="24"/>
        </w:rPr>
        <w:t>, </w:t>
      </w:r>
      <w:hyperlink r:id="rId998" w:history="1">
        <w:r w:rsidR="006F53C9" w:rsidRPr="00D47D1F">
          <w:rPr>
            <w:rFonts w:eastAsia="Calibri" w:cs="Times New Roman"/>
            <w:b/>
            <w:szCs w:val="24"/>
          </w:rPr>
          <w:t>Lupu ME</w:t>
        </w:r>
      </w:hyperlink>
      <w:r w:rsidR="006F53C9" w:rsidRPr="00D47D1F">
        <w:rPr>
          <w:rFonts w:eastAsia="Calibri" w:cs="Times New Roman"/>
          <w:b/>
          <w:szCs w:val="24"/>
        </w:rPr>
        <w:t>, </w:t>
      </w:r>
      <w:hyperlink r:id="rId999" w:history="1">
        <w:r w:rsidR="006F53C9" w:rsidRPr="00D47D1F">
          <w:rPr>
            <w:rFonts w:eastAsia="Calibri" w:cs="Times New Roman"/>
            <w:b/>
            <w:szCs w:val="24"/>
          </w:rPr>
          <w:t>Wang Y</w:t>
        </w:r>
      </w:hyperlink>
      <w:r w:rsidR="006F53C9" w:rsidRPr="00D47D1F">
        <w:rPr>
          <w:rFonts w:eastAsia="Calibri" w:cs="Times New Roman"/>
          <w:b/>
          <w:szCs w:val="24"/>
        </w:rPr>
        <w:t>, </w:t>
      </w:r>
      <w:hyperlink r:id="rId1000" w:history="1">
        <w:r w:rsidR="006F53C9" w:rsidRPr="00D47D1F">
          <w:rPr>
            <w:rFonts w:eastAsia="Calibri" w:cs="Times New Roman"/>
            <w:b/>
            <w:szCs w:val="24"/>
          </w:rPr>
          <w:t>Matei CC</w:t>
        </w:r>
      </w:hyperlink>
      <w:r w:rsidR="006F53C9" w:rsidRPr="00D47D1F">
        <w:rPr>
          <w:rFonts w:eastAsia="Calibri" w:cs="Times New Roman"/>
          <w:b/>
          <w:szCs w:val="24"/>
        </w:rPr>
        <w:t>, </w:t>
      </w:r>
      <w:hyperlink r:id="rId1001" w:history="1">
        <w:r w:rsidR="006F53C9" w:rsidRPr="00D47D1F">
          <w:rPr>
            <w:rFonts w:eastAsia="Calibri" w:cs="Times New Roman"/>
            <w:b/>
            <w:szCs w:val="24"/>
          </w:rPr>
          <w:t>Zakian KL</w:t>
        </w:r>
      </w:hyperlink>
      <w:r w:rsidR="006F53C9" w:rsidRPr="00D47D1F">
        <w:rPr>
          <w:rFonts w:eastAsia="Calibri" w:cs="Times New Roman"/>
          <w:b/>
          <w:szCs w:val="24"/>
        </w:rPr>
        <w:t>, </w:t>
      </w:r>
      <w:hyperlink r:id="rId1002" w:history="1">
        <w:r w:rsidR="006F53C9" w:rsidRPr="00D47D1F">
          <w:rPr>
            <w:rFonts w:eastAsia="Calibri" w:cs="Times New Roman"/>
            <w:b/>
            <w:szCs w:val="24"/>
          </w:rPr>
          <w:t>Koutcher JA</w:t>
        </w:r>
      </w:hyperlink>
      <w:r w:rsidR="006F53C9" w:rsidRPr="00D47D1F">
        <w:rPr>
          <w:rFonts w:eastAsia="Calibri" w:cs="Times New Roman"/>
          <w:b/>
          <w:szCs w:val="24"/>
        </w:rPr>
        <w:t>.</w:t>
      </w:r>
      <w:r w:rsidR="006F53C9" w:rsidRPr="00D47D1F">
        <w:rPr>
          <w:rFonts w:eastAsia="Calibri" w:cs="Times New Roman"/>
          <w:szCs w:val="24"/>
        </w:rPr>
        <w:t xml:space="preserve"> Lactate MRSI and DCE MRI as surrogate markers of prostate tumor aggressiveness. </w:t>
      </w:r>
      <w:r w:rsidR="006F53C9" w:rsidRPr="00D47D1F">
        <w:rPr>
          <w:rFonts w:eastAsia="Calibri" w:cs="Times New Roman"/>
          <w:i/>
          <w:szCs w:val="24"/>
        </w:rPr>
        <w:t>NMR in Biomedicine</w:t>
      </w:r>
      <w:r w:rsidR="006F53C9" w:rsidRPr="00D47D1F">
        <w:rPr>
          <w:rFonts w:eastAsia="Calibri" w:cs="Times New Roman"/>
          <w:szCs w:val="24"/>
        </w:rPr>
        <w:t xml:space="preserve"> 2012, 25 (1), 113-122. </w:t>
      </w:r>
    </w:p>
    <w:p w:rsidR="006F53C9" w:rsidRDefault="0037177D" w:rsidP="00514F54">
      <w:pPr>
        <w:spacing w:before="120" w:after="240"/>
        <w:ind w:firstLine="0"/>
        <w:rPr>
          <w:rFonts w:eastAsia="Calibri" w:cs="Times New Roman"/>
          <w:szCs w:val="24"/>
        </w:rPr>
      </w:pPr>
      <w:hyperlink r:id="rId1003" w:history="1">
        <w:r w:rsidR="006F53C9" w:rsidRPr="00D47D1F">
          <w:rPr>
            <w:rFonts w:eastAsia="Calibri" w:cs="Times New Roman"/>
            <w:b/>
            <w:szCs w:val="24"/>
          </w:rPr>
          <w:t>Yamada K</w:t>
        </w:r>
      </w:hyperlink>
      <w:r w:rsidR="006F53C9" w:rsidRPr="00D47D1F">
        <w:rPr>
          <w:rFonts w:eastAsia="Calibri" w:cs="Times New Roman"/>
          <w:b/>
          <w:szCs w:val="24"/>
        </w:rPr>
        <w:t>, </w:t>
      </w:r>
      <w:hyperlink r:id="rId1004" w:history="1">
        <w:r w:rsidR="006F53C9" w:rsidRPr="00D47D1F">
          <w:rPr>
            <w:rFonts w:eastAsia="Calibri" w:cs="Times New Roman"/>
            <w:b/>
            <w:szCs w:val="24"/>
          </w:rPr>
          <w:t>Noguchi T</w:t>
        </w:r>
      </w:hyperlink>
      <w:r w:rsidR="006F53C9" w:rsidRPr="00D47D1F">
        <w:rPr>
          <w:rFonts w:eastAsia="Calibri" w:cs="Times New Roman"/>
          <w:b/>
          <w:szCs w:val="24"/>
        </w:rPr>
        <w:t xml:space="preserve">. </w:t>
      </w:r>
      <w:r w:rsidR="006F53C9" w:rsidRPr="00D47D1F">
        <w:rPr>
          <w:rFonts w:eastAsia="Calibri" w:cs="Times New Roman"/>
          <w:szCs w:val="24"/>
        </w:rPr>
        <w:t xml:space="preserve">Nutrient and hormonal regulation of pyruvate kinase gene expression. </w:t>
      </w:r>
      <w:r w:rsidR="006F53C9" w:rsidRPr="00D47D1F">
        <w:rPr>
          <w:rFonts w:eastAsia="Calibri" w:cs="Times New Roman"/>
          <w:i/>
          <w:szCs w:val="24"/>
        </w:rPr>
        <w:t>The Biochemical Journal</w:t>
      </w:r>
      <w:r w:rsidR="006F53C9" w:rsidRPr="00D47D1F">
        <w:rPr>
          <w:rFonts w:eastAsia="Calibri" w:cs="Times New Roman"/>
          <w:szCs w:val="24"/>
        </w:rPr>
        <w:t xml:space="preserve"> 1999, 337, 1-11.</w:t>
      </w:r>
    </w:p>
    <w:p w:rsidR="006F53C9" w:rsidRDefault="0037177D" w:rsidP="00514F54">
      <w:pPr>
        <w:spacing w:before="120" w:after="240"/>
        <w:ind w:firstLine="0"/>
        <w:rPr>
          <w:rFonts w:eastAsia="Calibri" w:cs="Times New Roman"/>
          <w:szCs w:val="24"/>
        </w:rPr>
      </w:pPr>
      <w:hyperlink r:id="rId1005" w:history="1">
        <w:r w:rsidR="006F53C9" w:rsidRPr="00D47D1F">
          <w:rPr>
            <w:rFonts w:eastAsiaTheme="majorEastAsia" w:cs="Times New Roman"/>
            <w:b/>
            <w:bCs/>
            <w:szCs w:val="24"/>
          </w:rPr>
          <w:t>Yamamoto T</w:t>
        </w:r>
      </w:hyperlink>
      <w:r w:rsidR="006F53C9" w:rsidRPr="00D47D1F">
        <w:rPr>
          <w:rFonts w:eastAsiaTheme="majorEastAsia" w:cs="Times New Roman"/>
          <w:b/>
          <w:bCs/>
          <w:szCs w:val="24"/>
        </w:rPr>
        <w:t>, </w:t>
      </w:r>
      <w:hyperlink r:id="rId1006" w:history="1">
        <w:r w:rsidR="006F53C9" w:rsidRPr="00D47D1F">
          <w:rPr>
            <w:rFonts w:eastAsiaTheme="majorEastAsia" w:cs="Times New Roman"/>
            <w:b/>
            <w:bCs/>
            <w:szCs w:val="24"/>
          </w:rPr>
          <w:t>Seino Y</w:t>
        </w:r>
      </w:hyperlink>
      <w:r w:rsidR="006F53C9" w:rsidRPr="00D47D1F">
        <w:rPr>
          <w:rFonts w:eastAsiaTheme="majorEastAsia" w:cs="Times New Roman"/>
          <w:b/>
          <w:bCs/>
          <w:szCs w:val="24"/>
        </w:rPr>
        <w:t>, </w:t>
      </w:r>
      <w:hyperlink r:id="rId1007" w:history="1">
        <w:r w:rsidR="006F53C9" w:rsidRPr="00D47D1F">
          <w:rPr>
            <w:rFonts w:eastAsiaTheme="majorEastAsia" w:cs="Times New Roman"/>
            <w:b/>
            <w:bCs/>
            <w:szCs w:val="24"/>
          </w:rPr>
          <w:t>Fukumoto H</w:t>
        </w:r>
      </w:hyperlink>
      <w:r w:rsidR="006F53C9" w:rsidRPr="00D47D1F">
        <w:rPr>
          <w:rFonts w:eastAsiaTheme="majorEastAsia" w:cs="Times New Roman"/>
          <w:b/>
          <w:bCs/>
          <w:szCs w:val="24"/>
        </w:rPr>
        <w:t>, </w:t>
      </w:r>
      <w:hyperlink r:id="rId1008" w:history="1">
        <w:r w:rsidR="006F53C9" w:rsidRPr="00D47D1F">
          <w:rPr>
            <w:rFonts w:eastAsiaTheme="majorEastAsia" w:cs="Times New Roman"/>
            <w:b/>
            <w:bCs/>
            <w:szCs w:val="24"/>
          </w:rPr>
          <w:t>Koh G</w:t>
        </w:r>
      </w:hyperlink>
      <w:r w:rsidR="006F53C9" w:rsidRPr="00D47D1F">
        <w:rPr>
          <w:rFonts w:eastAsiaTheme="majorEastAsia" w:cs="Times New Roman"/>
          <w:b/>
          <w:bCs/>
          <w:szCs w:val="24"/>
        </w:rPr>
        <w:t>, </w:t>
      </w:r>
      <w:hyperlink r:id="rId1009" w:history="1">
        <w:r w:rsidR="006F53C9" w:rsidRPr="00D47D1F">
          <w:rPr>
            <w:rFonts w:eastAsiaTheme="majorEastAsia" w:cs="Times New Roman"/>
            <w:b/>
            <w:bCs/>
            <w:szCs w:val="24"/>
          </w:rPr>
          <w:t>Yano H</w:t>
        </w:r>
      </w:hyperlink>
      <w:r w:rsidR="006F53C9" w:rsidRPr="00D47D1F">
        <w:rPr>
          <w:rFonts w:eastAsiaTheme="majorEastAsia" w:cs="Times New Roman"/>
          <w:b/>
          <w:bCs/>
          <w:szCs w:val="24"/>
        </w:rPr>
        <w:t>, </w:t>
      </w:r>
      <w:hyperlink r:id="rId1010" w:history="1">
        <w:r w:rsidR="006F53C9" w:rsidRPr="00D47D1F">
          <w:rPr>
            <w:rFonts w:eastAsiaTheme="majorEastAsia" w:cs="Times New Roman"/>
            <w:b/>
            <w:bCs/>
            <w:szCs w:val="24"/>
          </w:rPr>
          <w:t>Inagaki N</w:t>
        </w:r>
      </w:hyperlink>
      <w:r w:rsidR="006F53C9" w:rsidRPr="00D47D1F">
        <w:rPr>
          <w:rFonts w:eastAsiaTheme="majorEastAsia" w:cs="Times New Roman"/>
          <w:b/>
          <w:bCs/>
          <w:szCs w:val="24"/>
        </w:rPr>
        <w:t>, </w:t>
      </w:r>
      <w:hyperlink r:id="rId1011" w:history="1">
        <w:r w:rsidR="006F53C9" w:rsidRPr="00D47D1F">
          <w:rPr>
            <w:rFonts w:eastAsiaTheme="majorEastAsia" w:cs="Times New Roman"/>
            <w:b/>
            <w:bCs/>
            <w:szCs w:val="24"/>
          </w:rPr>
          <w:t>Yamada Y</w:t>
        </w:r>
      </w:hyperlink>
      <w:r w:rsidR="006F53C9" w:rsidRPr="00D47D1F">
        <w:rPr>
          <w:rFonts w:eastAsiaTheme="majorEastAsia" w:cs="Times New Roman"/>
          <w:b/>
          <w:bCs/>
          <w:szCs w:val="24"/>
        </w:rPr>
        <w:t>, </w:t>
      </w:r>
      <w:hyperlink r:id="rId1012" w:history="1">
        <w:r w:rsidR="006F53C9" w:rsidRPr="00D47D1F">
          <w:rPr>
            <w:rFonts w:eastAsiaTheme="majorEastAsia" w:cs="Times New Roman"/>
            <w:b/>
            <w:bCs/>
            <w:szCs w:val="24"/>
          </w:rPr>
          <w:t>Inoue K</w:t>
        </w:r>
      </w:hyperlink>
      <w:r w:rsidR="006F53C9" w:rsidRPr="00D47D1F">
        <w:rPr>
          <w:rFonts w:eastAsiaTheme="majorEastAsia" w:cs="Times New Roman"/>
          <w:b/>
          <w:bCs/>
          <w:szCs w:val="24"/>
        </w:rPr>
        <w:t>, </w:t>
      </w:r>
      <w:hyperlink r:id="rId1013" w:history="1">
        <w:r w:rsidR="006F53C9" w:rsidRPr="00D47D1F">
          <w:rPr>
            <w:rFonts w:eastAsiaTheme="majorEastAsia" w:cs="Times New Roman"/>
            <w:b/>
            <w:bCs/>
            <w:szCs w:val="24"/>
          </w:rPr>
          <w:t>Manabe T</w:t>
        </w:r>
      </w:hyperlink>
      <w:r w:rsidR="006F53C9" w:rsidRPr="00D47D1F">
        <w:rPr>
          <w:rFonts w:eastAsiaTheme="majorEastAsia" w:cs="Times New Roman"/>
          <w:b/>
          <w:bCs/>
          <w:szCs w:val="24"/>
        </w:rPr>
        <w:t>, </w:t>
      </w:r>
      <w:hyperlink r:id="rId1014" w:history="1">
        <w:r w:rsidR="006F53C9" w:rsidRPr="00D47D1F">
          <w:rPr>
            <w:rFonts w:eastAsiaTheme="majorEastAsia" w:cs="Times New Roman"/>
            <w:b/>
            <w:bCs/>
            <w:szCs w:val="24"/>
          </w:rPr>
          <w:t>Imura H</w:t>
        </w:r>
      </w:hyperlink>
      <w:r w:rsidR="006F53C9" w:rsidRPr="00D47D1F">
        <w:rPr>
          <w:rFonts w:eastAsiaTheme="majorEastAsia" w:cs="Times New Roman"/>
          <w:b/>
          <w:bCs/>
          <w:szCs w:val="24"/>
        </w:rPr>
        <w:t>.</w:t>
      </w:r>
      <w:r w:rsidR="006F53C9" w:rsidRPr="00D47D1F">
        <w:rPr>
          <w:rFonts w:eastAsiaTheme="majorEastAsia" w:cstheme="majorBidi"/>
          <w:color w:val="365F91" w:themeColor="accent1" w:themeShade="BF"/>
          <w:szCs w:val="24"/>
        </w:rPr>
        <w:t xml:space="preserve"> </w:t>
      </w:r>
      <w:r w:rsidR="006F53C9" w:rsidRPr="00D47D1F">
        <w:rPr>
          <w:rFonts w:eastAsia="Calibri" w:cs="Times New Roman"/>
          <w:szCs w:val="24"/>
        </w:rPr>
        <w:t xml:space="preserve">Over-expression of facilitative glucose transporter genes in human cancer. </w:t>
      </w:r>
      <w:r w:rsidR="006F53C9" w:rsidRPr="00D47D1F">
        <w:rPr>
          <w:rFonts w:eastAsia="Calibri" w:cs="Times New Roman"/>
          <w:i/>
          <w:szCs w:val="24"/>
        </w:rPr>
        <w:t>Biochemical and Biophyscal Research Communications</w:t>
      </w:r>
      <w:r w:rsidR="006F53C9" w:rsidRPr="00D47D1F">
        <w:rPr>
          <w:rFonts w:eastAsia="Calibri" w:cs="Times New Roman"/>
          <w:szCs w:val="24"/>
        </w:rPr>
        <w:t xml:space="preserve"> 1990, 16, 170 (1), 223-30.</w:t>
      </w:r>
    </w:p>
    <w:p w:rsidR="006F53C9" w:rsidRDefault="006F53C9" w:rsidP="00514F54">
      <w:pPr>
        <w:spacing w:before="120" w:after="240"/>
        <w:ind w:firstLine="0"/>
        <w:rPr>
          <w:rFonts w:eastAsia="Calibri" w:cs="Times New Roman"/>
          <w:szCs w:val="24"/>
        </w:rPr>
      </w:pPr>
      <w:r w:rsidRPr="00D47D1F">
        <w:rPr>
          <w:rFonts w:eastAsiaTheme="majorEastAsia" w:cs="Times New Roman"/>
          <w:b/>
          <w:bCs/>
          <w:szCs w:val="24"/>
        </w:rPr>
        <w:t>Yan N.</w:t>
      </w:r>
      <w:r w:rsidRPr="00D47D1F">
        <w:rPr>
          <w:rFonts w:asciiTheme="majorHAnsi" w:eastAsiaTheme="majorEastAsia" w:hAnsiTheme="majorHAnsi" w:cstheme="majorBidi"/>
          <w:b/>
          <w:bCs/>
          <w:color w:val="365F91" w:themeColor="accent1" w:themeShade="BF"/>
          <w:sz w:val="28"/>
          <w:szCs w:val="28"/>
        </w:rPr>
        <w:t xml:space="preserve"> </w:t>
      </w:r>
      <w:r w:rsidRPr="00D47D1F">
        <w:rPr>
          <w:rFonts w:eastAsia="Calibri" w:cs="Times New Roman"/>
          <w:szCs w:val="24"/>
        </w:rPr>
        <w:t>A Glimpse of Membrane Transport through Structures-Advances in the Structural Biology of the GLUT Glucose Transporters</w:t>
      </w:r>
      <w:r w:rsidRPr="00D47D1F">
        <w:rPr>
          <w:rFonts w:eastAsia="Calibri" w:cs="Times New Roman"/>
          <w:i/>
          <w:szCs w:val="24"/>
        </w:rPr>
        <w:t>. Journal of molecular biology</w:t>
      </w:r>
      <w:r w:rsidRPr="00D47D1F">
        <w:rPr>
          <w:rFonts w:eastAsia="Calibri" w:cs="Times New Roman"/>
          <w:szCs w:val="24"/>
        </w:rPr>
        <w:t xml:space="preserve"> 2017, 429 (17), 2710-2725. </w:t>
      </w:r>
    </w:p>
    <w:p w:rsidR="006F53C9" w:rsidRDefault="006F53C9" w:rsidP="00514F54">
      <w:pPr>
        <w:spacing w:before="120" w:after="240"/>
        <w:ind w:firstLine="0"/>
        <w:rPr>
          <w:rFonts w:eastAsia="Calibri" w:cs="Times New Roman"/>
          <w:szCs w:val="24"/>
        </w:rPr>
      </w:pPr>
      <w:r w:rsidRPr="00D47D1F">
        <w:rPr>
          <w:rFonts w:eastAsia="Calibri" w:cs="Times New Roman"/>
          <w:b/>
          <w:szCs w:val="24"/>
        </w:rPr>
        <w:t>Yang IP, Tsai HL, Huang CW, Lu CY, Miao ZF, Chang SF, Juo SHH, Wang JW.</w:t>
      </w:r>
      <w:r w:rsidRPr="00D47D1F">
        <w:rPr>
          <w:rFonts w:eastAsia="Calibri" w:cs="Times New Roman"/>
          <w:szCs w:val="24"/>
        </w:rPr>
        <w:t xml:space="preserve"> High blood sugar levels significantly impact the prognosis of colorectal cancer patients through down-regulation of microRNA-16 by targeting Myb and VEGFR2. </w:t>
      </w:r>
      <w:r w:rsidRPr="00D47D1F">
        <w:rPr>
          <w:rFonts w:eastAsia="Calibri" w:cs="Times New Roman"/>
          <w:i/>
          <w:szCs w:val="24"/>
        </w:rPr>
        <w:t>Oncotarget</w:t>
      </w:r>
      <w:r w:rsidRPr="00D47D1F">
        <w:rPr>
          <w:rFonts w:eastAsia="Calibri" w:cs="Times New Roman"/>
          <w:szCs w:val="24"/>
        </w:rPr>
        <w:t xml:space="preserve"> 2016, 5, 7 (14), 18837-18850. </w:t>
      </w:r>
    </w:p>
    <w:p w:rsidR="006F53C9" w:rsidRPr="006F53C9" w:rsidRDefault="006F53C9" w:rsidP="00514F54">
      <w:pPr>
        <w:autoSpaceDE w:val="0"/>
        <w:autoSpaceDN w:val="0"/>
        <w:adjustRightInd w:val="0"/>
        <w:spacing w:before="120" w:after="240"/>
        <w:ind w:firstLine="0"/>
        <w:rPr>
          <w:rFonts w:eastAsia="Calibri" w:cs="Times New Roman"/>
          <w:szCs w:val="24"/>
        </w:rPr>
      </w:pPr>
      <w:r w:rsidRPr="006F53C9">
        <w:rPr>
          <w:rFonts w:eastAsia="Calibri" w:cs="Times New Roman"/>
          <w:b/>
          <w:szCs w:val="24"/>
        </w:rPr>
        <w:t>Yang W, Lu Z.</w:t>
      </w:r>
      <w:r w:rsidRPr="006F53C9">
        <w:rPr>
          <w:rFonts w:eastAsia="Calibri" w:cs="Times New Roman"/>
          <w:szCs w:val="24"/>
        </w:rPr>
        <w:t xml:space="preserve"> Regulation and function of pyruvate kinase M2 in cancer. </w:t>
      </w:r>
      <w:r w:rsidRPr="006F53C9">
        <w:rPr>
          <w:rFonts w:eastAsia="Calibri" w:cs="Times New Roman"/>
          <w:i/>
          <w:szCs w:val="24"/>
        </w:rPr>
        <w:t>Cancer Letters</w:t>
      </w:r>
      <w:r w:rsidRPr="006F53C9">
        <w:rPr>
          <w:rFonts w:eastAsia="Calibri" w:cs="Times New Roman"/>
          <w:szCs w:val="24"/>
        </w:rPr>
        <w:t xml:space="preserve"> 2013, 339,153–158. </w:t>
      </w:r>
    </w:p>
    <w:p w:rsidR="006F53C9" w:rsidRDefault="0037177D" w:rsidP="00514F54">
      <w:pPr>
        <w:spacing w:before="120" w:after="240"/>
        <w:ind w:firstLine="0"/>
        <w:rPr>
          <w:rFonts w:eastAsia="Calibri" w:cs="Times New Roman"/>
          <w:szCs w:val="24"/>
        </w:rPr>
      </w:pPr>
      <w:hyperlink r:id="rId1015" w:history="1">
        <w:r w:rsidR="006F53C9" w:rsidRPr="00D47D1F">
          <w:rPr>
            <w:rFonts w:eastAsia="Calibri" w:cs="Times New Roman"/>
            <w:b/>
            <w:szCs w:val="24"/>
          </w:rPr>
          <w:t>Yang X</w:t>
        </w:r>
      </w:hyperlink>
      <w:r w:rsidR="006F53C9" w:rsidRPr="00D47D1F">
        <w:rPr>
          <w:rFonts w:eastAsia="Calibri" w:cs="Times New Roman"/>
          <w:b/>
          <w:szCs w:val="24"/>
        </w:rPr>
        <w:t>, </w:t>
      </w:r>
      <w:hyperlink r:id="rId1016" w:history="1">
        <w:r w:rsidR="006F53C9" w:rsidRPr="00D47D1F">
          <w:rPr>
            <w:rFonts w:eastAsia="Calibri" w:cs="Times New Roman"/>
            <w:b/>
            <w:szCs w:val="24"/>
          </w:rPr>
          <w:t>Borg LA</w:t>
        </w:r>
      </w:hyperlink>
      <w:r w:rsidR="006F53C9" w:rsidRPr="00D47D1F">
        <w:rPr>
          <w:rFonts w:eastAsia="Calibri" w:cs="Times New Roman"/>
          <w:b/>
          <w:szCs w:val="24"/>
        </w:rPr>
        <w:t>, </w:t>
      </w:r>
      <w:hyperlink r:id="rId1017" w:history="1">
        <w:r w:rsidR="006F53C9" w:rsidRPr="00D47D1F">
          <w:rPr>
            <w:rFonts w:eastAsia="Calibri" w:cs="Times New Roman"/>
            <w:b/>
            <w:szCs w:val="24"/>
          </w:rPr>
          <w:t>Eriksson UJ</w:t>
        </w:r>
      </w:hyperlink>
      <w:r w:rsidR="006F53C9" w:rsidRPr="00D47D1F">
        <w:rPr>
          <w:rFonts w:eastAsia="Calibri" w:cs="Times New Roman"/>
          <w:b/>
          <w:szCs w:val="24"/>
        </w:rPr>
        <w:t>.</w:t>
      </w:r>
      <w:r w:rsidR="006F53C9" w:rsidRPr="00D47D1F">
        <w:rPr>
          <w:rFonts w:eastAsiaTheme="majorEastAsia" w:cstheme="majorBidi"/>
          <w:bCs/>
          <w:color w:val="365F91" w:themeColor="accent1" w:themeShade="BF"/>
          <w:szCs w:val="24"/>
        </w:rPr>
        <w:t xml:space="preserve"> </w:t>
      </w:r>
      <w:r w:rsidR="006F53C9" w:rsidRPr="00D47D1F">
        <w:rPr>
          <w:rFonts w:eastAsia="Calibri" w:cs="Times New Roman"/>
          <w:szCs w:val="24"/>
        </w:rPr>
        <w:t xml:space="preserve">Altered metabolism and superoxide generation in neural tissue of rat embryos exposed to high glucose. </w:t>
      </w:r>
      <w:r w:rsidR="006F53C9" w:rsidRPr="00D47D1F">
        <w:rPr>
          <w:rFonts w:eastAsia="Calibri" w:cs="Times New Roman"/>
          <w:i/>
          <w:szCs w:val="24"/>
        </w:rPr>
        <w:t>The American Journal of Physiology</w:t>
      </w:r>
      <w:r w:rsidR="006F53C9" w:rsidRPr="00D47D1F">
        <w:rPr>
          <w:rFonts w:eastAsia="Calibri" w:cs="Times New Roman"/>
          <w:szCs w:val="24"/>
        </w:rPr>
        <w:t xml:space="preserve"> 1997, 272(1 Pt 1), E173-180. </w:t>
      </w:r>
    </w:p>
    <w:p w:rsidR="00193A10" w:rsidRDefault="006F53C9" w:rsidP="00193A10">
      <w:pPr>
        <w:spacing w:before="120" w:after="240"/>
        <w:ind w:firstLine="0"/>
        <w:rPr>
          <w:rFonts w:eastAsia="Calibri" w:cs="Times New Roman"/>
          <w:szCs w:val="24"/>
        </w:rPr>
      </w:pPr>
      <w:r w:rsidRPr="00D47D1F">
        <w:rPr>
          <w:rFonts w:eastAsiaTheme="majorEastAsia" w:cs="Times New Roman"/>
          <w:b/>
          <w:bCs/>
          <w:szCs w:val="24"/>
        </w:rPr>
        <w:t xml:space="preserve">Yang YC, Cheng TY, Huang SM, Su CY, Yang PW, Lee JM, Chen CK, Hsiao M, Hua KT, Kuo ML. </w:t>
      </w:r>
      <w:r w:rsidRPr="00D47D1F">
        <w:rPr>
          <w:rFonts w:eastAsia="Calibri" w:cs="Times New Roman"/>
          <w:szCs w:val="24"/>
        </w:rPr>
        <w:t xml:space="preserve">Cytosolic PKM2 stabilizes mutant EGFR protein expression through regulating HSP90-EGFR association. </w:t>
      </w:r>
      <w:r w:rsidRPr="00D47D1F">
        <w:rPr>
          <w:rFonts w:eastAsia="Calibri" w:cs="Times New Roman"/>
          <w:i/>
          <w:szCs w:val="24"/>
        </w:rPr>
        <w:t>Oncogene</w:t>
      </w:r>
      <w:r w:rsidRPr="00D47D1F">
        <w:rPr>
          <w:rFonts w:eastAsia="Calibri" w:cs="Times New Roman"/>
          <w:szCs w:val="24"/>
        </w:rPr>
        <w:t xml:space="preserve"> 2016, 35 (26), 3387.</w:t>
      </w:r>
    </w:p>
    <w:p w:rsidR="006F53C9" w:rsidRPr="006F53C9" w:rsidRDefault="0037177D" w:rsidP="00193A10">
      <w:pPr>
        <w:spacing w:before="120" w:after="240"/>
        <w:ind w:firstLine="0"/>
        <w:rPr>
          <w:rFonts w:eastAsia="Calibri" w:cs="Times New Roman"/>
          <w:szCs w:val="24"/>
        </w:rPr>
      </w:pPr>
      <w:hyperlink r:id="rId1018" w:history="1">
        <w:r w:rsidR="006F53C9" w:rsidRPr="006F53C9">
          <w:rPr>
            <w:rFonts w:eastAsia="Calibri" w:cs="Times New Roman"/>
            <w:b/>
            <w:szCs w:val="24"/>
          </w:rPr>
          <w:t>Yao F</w:t>
        </w:r>
      </w:hyperlink>
      <w:r w:rsidR="006F53C9" w:rsidRPr="006F53C9">
        <w:rPr>
          <w:rFonts w:eastAsia="Calibri" w:cs="Times New Roman"/>
          <w:b/>
          <w:szCs w:val="24"/>
        </w:rPr>
        <w:t>, </w:t>
      </w:r>
      <w:hyperlink r:id="rId1019" w:history="1">
        <w:r w:rsidR="006F53C9" w:rsidRPr="006F53C9">
          <w:rPr>
            <w:rFonts w:eastAsia="Calibri" w:cs="Times New Roman"/>
            <w:b/>
            <w:szCs w:val="24"/>
          </w:rPr>
          <w:t>Zhao T</w:t>
        </w:r>
      </w:hyperlink>
      <w:r w:rsidR="006F53C9" w:rsidRPr="006F53C9">
        <w:rPr>
          <w:rFonts w:eastAsia="Calibri" w:cs="Times New Roman"/>
          <w:b/>
          <w:szCs w:val="24"/>
        </w:rPr>
        <w:t>, </w:t>
      </w:r>
      <w:hyperlink r:id="rId1020" w:history="1">
        <w:r w:rsidR="006F53C9" w:rsidRPr="006F53C9">
          <w:rPr>
            <w:rFonts w:eastAsia="Calibri" w:cs="Times New Roman"/>
            <w:b/>
            <w:szCs w:val="24"/>
          </w:rPr>
          <w:t>Zhong C</w:t>
        </w:r>
      </w:hyperlink>
      <w:r w:rsidR="006F53C9" w:rsidRPr="006F53C9">
        <w:rPr>
          <w:rFonts w:eastAsia="Calibri" w:cs="Times New Roman"/>
          <w:b/>
          <w:szCs w:val="24"/>
        </w:rPr>
        <w:t>, </w:t>
      </w:r>
      <w:hyperlink r:id="rId1021" w:history="1">
        <w:r w:rsidR="006F53C9" w:rsidRPr="006F53C9">
          <w:rPr>
            <w:rFonts w:eastAsia="Calibri" w:cs="Times New Roman"/>
            <w:b/>
            <w:szCs w:val="24"/>
          </w:rPr>
          <w:t>Zhu J</w:t>
        </w:r>
      </w:hyperlink>
      <w:r w:rsidR="006F53C9" w:rsidRPr="006F53C9">
        <w:rPr>
          <w:rFonts w:eastAsia="Calibri" w:cs="Times New Roman"/>
          <w:b/>
          <w:szCs w:val="24"/>
        </w:rPr>
        <w:t>, </w:t>
      </w:r>
      <w:hyperlink r:id="rId1022" w:history="1">
        <w:r w:rsidR="006F53C9" w:rsidRPr="006F53C9">
          <w:rPr>
            <w:rFonts w:eastAsia="Calibri" w:cs="Times New Roman"/>
            <w:b/>
            <w:szCs w:val="24"/>
          </w:rPr>
          <w:t>Zhao H</w:t>
        </w:r>
      </w:hyperlink>
      <w:r w:rsidR="006F53C9" w:rsidRPr="006F53C9">
        <w:rPr>
          <w:rFonts w:eastAsia="Calibri" w:cs="Times New Roman"/>
          <w:b/>
          <w:szCs w:val="24"/>
        </w:rPr>
        <w:t>.</w:t>
      </w:r>
      <w:r w:rsidR="006F53C9" w:rsidRPr="006F53C9">
        <w:rPr>
          <w:rFonts w:eastAsia="Calibri" w:cs="Times New Roman"/>
          <w:szCs w:val="24"/>
        </w:rPr>
        <w:t xml:space="preserve"> LDHA is necessary for the tumorigenicity of esophageal squamous cell carcinoma. </w:t>
      </w:r>
      <w:r w:rsidR="006F53C9" w:rsidRPr="006F53C9">
        <w:rPr>
          <w:rFonts w:eastAsia="Calibri" w:cs="Times New Roman"/>
          <w:i/>
          <w:szCs w:val="24"/>
        </w:rPr>
        <w:t>Tumour Biology</w:t>
      </w:r>
      <w:r w:rsidR="006F53C9" w:rsidRPr="006F53C9">
        <w:rPr>
          <w:rFonts w:eastAsia="Calibri" w:cs="Times New Roman"/>
          <w:szCs w:val="24"/>
        </w:rPr>
        <w:t xml:space="preserve"> 2013, 34(1), 25-31.</w:t>
      </w:r>
    </w:p>
    <w:p w:rsidR="006F53C9" w:rsidRPr="0081054F" w:rsidRDefault="0037177D" w:rsidP="00514F54">
      <w:pPr>
        <w:autoSpaceDE w:val="0"/>
        <w:autoSpaceDN w:val="0"/>
        <w:adjustRightInd w:val="0"/>
        <w:spacing w:before="120" w:after="240"/>
        <w:ind w:firstLine="0"/>
        <w:rPr>
          <w:rFonts w:eastAsia="Calibri" w:cs="Times New Roman"/>
          <w:szCs w:val="24"/>
        </w:rPr>
      </w:pPr>
      <w:hyperlink r:id="rId1023" w:history="1">
        <w:r w:rsidR="006F53C9" w:rsidRPr="0081054F">
          <w:rPr>
            <w:rFonts w:eastAsia="Calibri" w:cs="Times New Roman"/>
            <w:b/>
            <w:szCs w:val="24"/>
          </w:rPr>
          <w:t>Yaromina A</w:t>
        </w:r>
      </w:hyperlink>
      <w:r w:rsidR="006F53C9" w:rsidRPr="0081054F">
        <w:rPr>
          <w:rFonts w:eastAsia="Calibri" w:cs="Times New Roman"/>
          <w:b/>
          <w:szCs w:val="24"/>
        </w:rPr>
        <w:t>, </w:t>
      </w:r>
      <w:hyperlink r:id="rId1024" w:history="1">
        <w:r w:rsidR="006F53C9" w:rsidRPr="0081054F">
          <w:rPr>
            <w:rFonts w:eastAsia="Calibri" w:cs="Times New Roman"/>
            <w:b/>
            <w:szCs w:val="24"/>
          </w:rPr>
          <w:t>Quennet V</w:t>
        </w:r>
      </w:hyperlink>
      <w:r w:rsidR="006F53C9" w:rsidRPr="0081054F">
        <w:rPr>
          <w:rFonts w:eastAsia="Calibri" w:cs="Times New Roman"/>
          <w:b/>
          <w:szCs w:val="24"/>
        </w:rPr>
        <w:t>, </w:t>
      </w:r>
      <w:hyperlink r:id="rId1025" w:history="1">
        <w:r w:rsidR="006F53C9" w:rsidRPr="0081054F">
          <w:rPr>
            <w:rFonts w:eastAsia="Calibri" w:cs="Times New Roman"/>
            <w:b/>
            <w:szCs w:val="24"/>
          </w:rPr>
          <w:t>Zips D</w:t>
        </w:r>
      </w:hyperlink>
      <w:r w:rsidR="006F53C9" w:rsidRPr="0081054F">
        <w:rPr>
          <w:rFonts w:eastAsia="Calibri" w:cs="Times New Roman"/>
          <w:b/>
          <w:szCs w:val="24"/>
        </w:rPr>
        <w:t>, </w:t>
      </w:r>
      <w:hyperlink r:id="rId1026" w:history="1">
        <w:r w:rsidR="006F53C9" w:rsidRPr="0081054F">
          <w:rPr>
            <w:rFonts w:eastAsia="Calibri" w:cs="Times New Roman"/>
            <w:b/>
            <w:szCs w:val="24"/>
          </w:rPr>
          <w:t>Meyer S</w:t>
        </w:r>
      </w:hyperlink>
      <w:r w:rsidR="006F53C9" w:rsidRPr="0081054F">
        <w:rPr>
          <w:rFonts w:eastAsia="Calibri" w:cs="Times New Roman"/>
          <w:b/>
          <w:szCs w:val="24"/>
        </w:rPr>
        <w:t>, </w:t>
      </w:r>
      <w:hyperlink r:id="rId1027" w:history="1">
        <w:r w:rsidR="006F53C9" w:rsidRPr="0081054F">
          <w:rPr>
            <w:rFonts w:eastAsia="Calibri" w:cs="Times New Roman"/>
            <w:b/>
            <w:szCs w:val="24"/>
          </w:rPr>
          <w:t>Shakirin G</w:t>
        </w:r>
      </w:hyperlink>
      <w:r w:rsidR="006F53C9" w:rsidRPr="0081054F">
        <w:rPr>
          <w:rFonts w:eastAsia="Calibri" w:cs="Times New Roman"/>
          <w:b/>
          <w:szCs w:val="24"/>
        </w:rPr>
        <w:t>, </w:t>
      </w:r>
      <w:hyperlink r:id="rId1028" w:history="1">
        <w:r w:rsidR="006F53C9" w:rsidRPr="0081054F">
          <w:rPr>
            <w:rFonts w:eastAsia="Calibri" w:cs="Times New Roman"/>
            <w:b/>
            <w:szCs w:val="24"/>
          </w:rPr>
          <w:t>Walenta S</w:t>
        </w:r>
      </w:hyperlink>
      <w:r w:rsidR="006F53C9" w:rsidRPr="0081054F">
        <w:rPr>
          <w:rFonts w:eastAsia="Calibri" w:cs="Times New Roman"/>
          <w:b/>
          <w:szCs w:val="24"/>
        </w:rPr>
        <w:t>, </w:t>
      </w:r>
      <w:hyperlink r:id="rId1029" w:history="1">
        <w:r w:rsidR="006F53C9" w:rsidRPr="0081054F">
          <w:rPr>
            <w:rFonts w:eastAsia="Calibri" w:cs="Times New Roman"/>
            <w:b/>
            <w:szCs w:val="24"/>
          </w:rPr>
          <w:t>Mueller-Klieser W</w:t>
        </w:r>
      </w:hyperlink>
      <w:r w:rsidR="006F53C9" w:rsidRPr="0081054F">
        <w:rPr>
          <w:rFonts w:eastAsia="Calibri" w:cs="Times New Roman"/>
          <w:b/>
          <w:szCs w:val="24"/>
        </w:rPr>
        <w:t>, </w:t>
      </w:r>
      <w:hyperlink r:id="rId1030" w:history="1">
        <w:r w:rsidR="006F53C9" w:rsidRPr="0081054F">
          <w:rPr>
            <w:rFonts w:eastAsia="Calibri" w:cs="Times New Roman"/>
            <w:b/>
            <w:szCs w:val="24"/>
          </w:rPr>
          <w:t>Baumann M</w:t>
        </w:r>
      </w:hyperlink>
      <w:r w:rsidR="006F53C9" w:rsidRPr="0081054F">
        <w:rPr>
          <w:rFonts w:eastAsia="Calibri" w:cs="Times New Roman"/>
          <w:b/>
          <w:szCs w:val="24"/>
        </w:rPr>
        <w:t xml:space="preserve">. </w:t>
      </w:r>
      <w:r w:rsidR="006F53C9" w:rsidRPr="0081054F">
        <w:rPr>
          <w:rFonts w:eastAsia="Calibri" w:cs="Times New Roman"/>
          <w:szCs w:val="24"/>
        </w:rPr>
        <w:t xml:space="preserve">Co-localisation of hypoxia and perfusion markers with parameters of glucose metabolism in human squamous cell carcinoma (hSCC) xenografts. </w:t>
      </w:r>
      <w:r w:rsidR="006F53C9" w:rsidRPr="0081054F">
        <w:rPr>
          <w:rFonts w:eastAsia="Calibri" w:cs="Times New Roman"/>
          <w:i/>
          <w:szCs w:val="24"/>
        </w:rPr>
        <w:t>International journal of radiation biology</w:t>
      </w:r>
      <w:r w:rsidR="006F53C9" w:rsidRPr="0081054F">
        <w:rPr>
          <w:rFonts w:eastAsia="Calibri" w:cs="Times New Roman"/>
          <w:szCs w:val="24"/>
        </w:rPr>
        <w:t xml:space="preserve"> 2009, 85, 972-980.</w:t>
      </w:r>
    </w:p>
    <w:p w:rsidR="006F53C9" w:rsidRPr="0081054F" w:rsidRDefault="006F53C9" w:rsidP="00514F54">
      <w:pPr>
        <w:spacing w:before="120" w:after="240"/>
        <w:ind w:firstLine="0"/>
        <w:rPr>
          <w:rFonts w:eastAsia="Calibri" w:cs="Times New Roman"/>
          <w:szCs w:val="24"/>
        </w:rPr>
      </w:pPr>
      <w:r w:rsidRPr="0081054F">
        <w:rPr>
          <w:rFonts w:eastAsiaTheme="majorEastAsia" w:cs="Times New Roman"/>
          <w:b/>
          <w:bCs/>
          <w:szCs w:val="24"/>
        </w:rPr>
        <w:t xml:space="preserve">Yasuda S, Arii S, Mori A, Isobe N, Yang W, Oe H, Fujimoto A, Yonenaga Y, Sakashita H, Imamura M. </w:t>
      </w:r>
      <w:r w:rsidRPr="0081054F">
        <w:rPr>
          <w:rFonts w:eastAsia="Calibri" w:cs="Times New Roman"/>
          <w:szCs w:val="24"/>
        </w:rPr>
        <w:t xml:space="preserve">Hexokinase II and VEGF expression in liver tumors: correlation with hypoxia-inducible factor-1α and its significance. </w:t>
      </w:r>
      <w:r w:rsidRPr="0081054F">
        <w:rPr>
          <w:rFonts w:eastAsia="Calibri" w:cs="Times New Roman"/>
          <w:i/>
          <w:szCs w:val="24"/>
        </w:rPr>
        <w:t>Journal of Hepatology</w:t>
      </w:r>
      <w:r w:rsidRPr="0081054F">
        <w:rPr>
          <w:rFonts w:eastAsia="Calibri" w:cs="Times New Roman"/>
          <w:szCs w:val="24"/>
        </w:rPr>
        <w:t xml:space="preserve"> 2004, 40(1), 117-123.</w:t>
      </w:r>
    </w:p>
    <w:p w:rsidR="006F53C9" w:rsidRPr="0081054F" w:rsidRDefault="0037177D" w:rsidP="00514F54">
      <w:pPr>
        <w:keepNext/>
        <w:keepLines/>
        <w:shd w:val="clear" w:color="auto" w:fill="FFFFFF"/>
        <w:spacing w:before="120" w:after="240"/>
        <w:ind w:firstLine="0"/>
        <w:outlineLvl w:val="0"/>
        <w:rPr>
          <w:rFonts w:eastAsia="Calibri" w:cs="Times New Roman"/>
          <w:szCs w:val="24"/>
        </w:rPr>
      </w:pPr>
      <w:hyperlink r:id="rId1031" w:history="1">
        <w:r w:rsidR="006F53C9" w:rsidRPr="0081054F">
          <w:rPr>
            <w:rFonts w:eastAsiaTheme="majorEastAsia" w:cs="Times New Roman"/>
            <w:b/>
            <w:szCs w:val="24"/>
          </w:rPr>
          <w:t>Ye J</w:t>
        </w:r>
      </w:hyperlink>
      <w:r w:rsidR="006F53C9" w:rsidRPr="0081054F">
        <w:rPr>
          <w:rFonts w:eastAsiaTheme="majorEastAsia" w:cs="Times New Roman"/>
          <w:b/>
          <w:szCs w:val="24"/>
        </w:rPr>
        <w:t>, </w:t>
      </w:r>
      <w:hyperlink r:id="rId1032" w:history="1">
        <w:r w:rsidR="006F53C9" w:rsidRPr="0081054F">
          <w:rPr>
            <w:rFonts w:eastAsiaTheme="majorEastAsia" w:cs="Times New Roman"/>
            <w:b/>
            <w:szCs w:val="24"/>
          </w:rPr>
          <w:t>Mancuso A</w:t>
        </w:r>
      </w:hyperlink>
      <w:r w:rsidR="006F53C9" w:rsidRPr="0081054F">
        <w:rPr>
          <w:rFonts w:eastAsiaTheme="majorEastAsia" w:cs="Times New Roman"/>
          <w:b/>
          <w:szCs w:val="24"/>
        </w:rPr>
        <w:t>, </w:t>
      </w:r>
      <w:hyperlink r:id="rId1033" w:history="1">
        <w:r w:rsidR="006F53C9" w:rsidRPr="0081054F">
          <w:rPr>
            <w:rFonts w:eastAsiaTheme="majorEastAsia" w:cs="Times New Roman"/>
            <w:b/>
            <w:szCs w:val="24"/>
          </w:rPr>
          <w:t>Tong X</w:t>
        </w:r>
      </w:hyperlink>
      <w:r w:rsidR="006F53C9" w:rsidRPr="0081054F">
        <w:rPr>
          <w:rFonts w:eastAsiaTheme="majorEastAsia" w:cs="Times New Roman"/>
          <w:b/>
          <w:szCs w:val="24"/>
        </w:rPr>
        <w:t>, </w:t>
      </w:r>
      <w:hyperlink r:id="rId1034" w:history="1">
        <w:r w:rsidR="006F53C9" w:rsidRPr="0081054F">
          <w:rPr>
            <w:rFonts w:eastAsiaTheme="majorEastAsia" w:cs="Times New Roman"/>
            <w:b/>
            <w:szCs w:val="24"/>
          </w:rPr>
          <w:t>Ward PS</w:t>
        </w:r>
      </w:hyperlink>
      <w:r w:rsidR="006F53C9" w:rsidRPr="0081054F">
        <w:rPr>
          <w:rFonts w:eastAsiaTheme="majorEastAsia" w:cs="Times New Roman"/>
          <w:b/>
          <w:szCs w:val="24"/>
        </w:rPr>
        <w:t>, </w:t>
      </w:r>
      <w:hyperlink r:id="rId1035" w:history="1">
        <w:r w:rsidR="006F53C9" w:rsidRPr="0081054F">
          <w:rPr>
            <w:rFonts w:eastAsiaTheme="majorEastAsia" w:cs="Times New Roman"/>
            <w:b/>
            <w:szCs w:val="24"/>
          </w:rPr>
          <w:t>Fan J</w:t>
        </w:r>
      </w:hyperlink>
      <w:r w:rsidR="006F53C9" w:rsidRPr="0081054F">
        <w:rPr>
          <w:rFonts w:eastAsiaTheme="majorEastAsia" w:cs="Times New Roman"/>
          <w:b/>
          <w:szCs w:val="24"/>
        </w:rPr>
        <w:t>, </w:t>
      </w:r>
      <w:hyperlink r:id="rId1036" w:history="1">
        <w:r w:rsidR="006F53C9" w:rsidRPr="0081054F">
          <w:rPr>
            <w:rFonts w:eastAsiaTheme="majorEastAsia" w:cs="Times New Roman"/>
            <w:b/>
            <w:szCs w:val="24"/>
          </w:rPr>
          <w:t>Rabinowitz JD</w:t>
        </w:r>
      </w:hyperlink>
      <w:r w:rsidR="006F53C9" w:rsidRPr="0081054F">
        <w:rPr>
          <w:rFonts w:eastAsiaTheme="majorEastAsia" w:cs="Times New Roman"/>
          <w:b/>
          <w:szCs w:val="24"/>
        </w:rPr>
        <w:t>, </w:t>
      </w:r>
      <w:hyperlink r:id="rId1037" w:history="1">
        <w:r w:rsidR="006F53C9" w:rsidRPr="0081054F">
          <w:rPr>
            <w:rFonts w:eastAsiaTheme="majorEastAsia" w:cs="Times New Roman"/>
            <w:b/>
            <w:szCs w:val="24"/>
          </w:rPr>
          <w:t>Thompson CB</w:t>
        </w:r>
      </w:hyperlink>
      <w:r w:rsidR="006F53C9" w:rsidRPr="0081054F">
        <w:rPr>
          <w:rFonts w:eastAsiaTheme="majorEastAsia" w:cs="Times New Roman"/>
          <w:b/>
          <w:szCs w:val="24"/>
        </w:rPr>
        <w:t>.</w:t>
      </w:r>
      <w:r w:rsidR="006F53C9" w:rsidRPr="0081054F">
        <w:rPr>
          <w:rFonts w:eastAsia="Calibri" w:cs="Times New Roman"/>
          <w:szCs w:val="24"/>
        </w:rPr>
        <w:t xml:space="preserve"> Pyruvate kinase M2 promotes de novo serine synthesis to sustain mTORC1 activity and cell proliferation. </w:t>
      </w:r>
      <w:r w:rsidR="006F53C9" w:rsidRPr="0081054F">
        <w:rPr>
          <w:rFonts w:eastAsia="Calibri" w:cs="Times New Roman"/>
          <w:i/>
          <w:szCs w:val="24"/>
        </w:rPr>
        <w:t xml:space="preserve">Proceedings of The National Academy of Sciences of The United States of America </w:t>
      </w:r>
      <w:r w:rsidR="006F53C9" w:rsidRPr="0081054F">
        <w:rPr>
          <w:rFonts w:eastAsia="Calibri" w:cs="Times New Roman"/>
          <w:szCs w:val="24"/>
        </w:rPr>
        <w:t>2012, 109 (18), 6904-6909.</w:t>
      </w:r>
    </w:p>
    <w:p w:rsidR="006F53C9" w:rsidRPr="0081054F" w:rsidRDefault="006F53C9" w:rsidP="00514F54">
      <w:pPr>
        <w:spacing w:before="120" w:after="240"/>
        <w:ind w:firstLine="0"/>
        <w:rPr>
          <w:rFonts w:eastAsia="Calibri" w:cs="Times New Roman"/>
          <w:szCs w:val="24"/>
        </w:rPr>
      </w:pPr>
      <w:r w:rsidRPr="0081054F">
        <w:rPr>
          <w:rFonts w:eastAsia="Calibri" w:cs="Times New Roman"/>
          <w:b/>
          <w:szCs w:val="24"/>
        </w:rPr>
        <w:t>Yi W, Clark PM, Mason DE, Keenan MC, Hill C, Goddard III WA, Peters EC, Driggers EM, Hsieh-Wilson LC.</w:t>
      </w:r>
      <w:r w:rsidRPr="0081054F">
        <w:rPr>
          <w:rFonts w:eastAsia="Calibri" w:cs="Times New Roman"/>
          <w:szCs w:val="24"/>
        </w:rPr>
        <w:t xml:space="preserve"> Phosphofructokinase 1 Glycosylation Regulates Cell Growth and Metabolism. </w:t>
      </w:r>
      <w:r w:rsidRPr="0081054F">
        <w:rPr>
          <w:rFonts w:eastAsia="Calibri" w:cs="Times New Roman"/>
          <w:i/>
          <w:szCs w:val="24"/>
        </w:rPr>
        <w:t>Science</w:t>
      </w:r>
      <w:r w:rsidRPr="0081054F">
        <w:rPr>
          <w:rFonts w:eastAsia="Calibri" w:cs="Times New Roman"/>
          <w:szCs w:val="24"/>
        </w:rPr>
        <w:t xml:space="preserve"> 2012, 337, 975-980.</w:t>
      </w:r>
    </w:p>
    <w:p w:rsidR="006F53C9" w:rsidRPr="0081054F" w:rsidRDefault="0037177D" w:rsidP="00514F54">
      <w:pPr>
        <w:spacing w:before="120" w:after="240"/>
        <w:ind w:firstLine="0"/>
        <w:rPr>
          <w:rFonts w:eastAsia="Calibri" w:cs="Times New Roman"/>
          <w:szCs w:val="24"/>
        </w:rPr>
      </w:pPr>
      <w:hyperlink r:id="rId1038" w:history="1">
        <w:r w:rsidR="006F53C9" w:rsidRPr="0081054F">
          <w:rPr>
            <w:rFonts w:eastAsia="Calibri" w:cs="Times New Roman"/>
            <w:b/>
            <w:szCs w:val="24"/>
          </w:rPr>
          <w:t>Yin LM</w:t>
        </w:r>
      </w:hyperlink>
      <w:r w:rsidR="006F53C9" w:rsidRPr="0081054F">
        <w:rPr>
          <w:rFonts w:eastAsia="Calibri" w:cs="Times New Roman"/>
          <w:b/>
          <w:szCs w:val="24"/>
        </w:rPr>
        <w:t>, </w:t>
      </w:r>
      <w:hyperlink r:id="rId1039" w:history="1">
        <w:r w:rsidR="006F53C9" w:rsidRPr="0081054F">
          <w:rPr>
            <w:rFonts w:eastAsia="Calibri" w:cs="Times New Roman"/>
            <w:b/>
            <w:szCs w:val="24"/>
          </w:rPr>
          <w:t>Wei Y</w:t>
        </w:r>
      </w:hyperlink>
      <w:r w:rsidR="006F53C9" w:rsidRPr="0081054F">
        <w:rPr>
          <w:rFonts w:eastAsia="Calibri" w:cs="Times New Roman"/>
          <w:b/>
          <w:szCs w:val="24"/>
        </w:rPr>
        <w:t>, </w:t>
      </w:r>
      <w:hyperlink r:id="rId1040" w:history="1">
        <w:r w:rsidR="006F53C9" w:rsidRPr="0081054F">
          <w:rPr>
            <w:rFonts w:eastAsia="Calibri" w:cs="Times New Roman"/>
            <w:b/>
            <w:szCs w:val="24"/>
          </w:rPr>
          <w:t>Wang Y</w:t>
        </w:r>
      </w:hyperlink>
      <w:r w:rsidR="006F53C9" w:rsidRPr="0081054F">
        <w:rPr>
          <w:rFonts w:eastAsia="Calibri" w:cs="Times New Roman"/>
          <w:b/>
          <w:szCs w:val="24"/>
        </w:rPr>
        <w:t>, </w:t>
      </w:r>
      <w:hyperlink r:id="rId1041" w:history="1">
        <w:r w:rsidR="006F53C9" w:rsidRPr="0081054F">
          <w:rPr>
            <w:rFonts w:eastAsia="Calibri" w:cs="Times New Roman"/>
            <w:b/>
            <w:szCs w:val="24"/>
          </w:rPr>
          <w:t>Xu YD</w:t>
        </w:r>
      </w:hyperlink>
      <w:r w:rsidR="006F53C9" w:rsidRPr="0081054F">
        <w:rPr>
          <w:rFonts w:eastAsia="Calibri" w:cs="Times New Roman"/>
          <w:b/>
          <w:szCs w:val="24"/>
        </w:rPr>
        <w:t>, </w:t>
      </w:r>
      <w:hyperlink r:id="rId1042" w:history="1">
        <w:r w:rsidR="006F53C9" w:rsidRPr="0081054F">
          <w:rPr>
            <w:rFonts w:eastAsia="Calibri" w:cs="Times New Roman"/>
            <w:b/>
            <w:szCs w:val="24"/>
          </w:rPr>
          <w:t>Yang YQ</w:t>
        </w:r>
      </w:hyperlink>
      <w:r w:rsidR="006F53C9" w:rsidRPr="0081054F">
        <w:rPr>
          <w:rFonts w:eastAsia="Calibri" w:cs="Times New Roman"/>
          <w:b/>
          <w:szCs w:val="24"/>
        </w:rPr>
        <w:t>.</w:t>
      </w:r>
      <w:r w:rsidR="006F53C9" w:rsidRPr="0081054F">
        <w:rPr>
          <w:rFonts w:eastAsia="Calibri" w:cs="Times New Roman"/>
          <w:szCs w:val="24"/>
        </w:rPr>
        <w:t xml:space="preserve"> Long Term and Standard Incubations of WST-1 Reagent Reflect the Same Inhibitory Trend of Cell Viability in Rat Airway Smooth Muscle Cells" </w:t>
      </w:r>
      <w:r w:rsidR="006F53C9" w:rsidRPr="0081054F">
        <w:rPr>
          <w:rFonts w:eastAsia="Calibri" w:cs="Times New Roman"/>
          <w:i/>
          <w:szCs w:val="24"/>
        </w:rPr>
        <w:t>International Journal of Medical Sciences</w:t>
      </w:r>
      <w:r w:rsidR="006F53C9" w:rsidRPr="0081054F">
        <w:rPr>
          <w:rFonts w:eastAsia="Calibri" w:cs="Times New Roman"/>
          <w:szCs w:val="24"/>
        </w:rPr>
        <w:t xml:space="preserve"> 2013, 10 (1), 68-72. </w:t>
      </w:r>
    </w:p>
    <w:p w:rsidR="006F53C9" w:rsidRDefault="006F53C9" w:rsidP="00514F54">
      <w:pPr>
        <w:autoSpaceDE w:val="0"/>
        <w:autoSpaceDN w:val="0"/>
        <w:adjustRightInd w:val="0"/>
        <w:spacing w:before="120" w:after="240"/>
        <w:ind w:firstLine="0"/>
        <w:rPr>
          <w:rFonts w:eastAsia="Calibri" w:cs="Times New Roman"/>
          <w:szCs w:val="24"/>
        </w:rPr>
      </w:pPr>
      <w:r w:rsidRPr="0081054F">
        <w:rPr>
          <w:rFonts w:eastAsia="Calibri" w:cs="Times New Roman"/>
          <w:b/>
          <w:szCs w:val="24"/>
        </w:rPr>
        <w:t>Yu L, Hales CA.</w:t>
      </w:r>
      <w:r w:rsidRPr="0081054F">
        <w:rPr>
          <w:rFonts w:eastAsia="Calibri" w:cs="Times New Roman"/>
          <w:szCs w:val="24"/>
        </w:rPr>
        <w:t xml:space="preserve"> Long-term exposure to hypoxia inhibits tumor progression of lung cancer in rats and mice. </w:t>
      </w:r>
      <w:r w:rsidRPr="0081054F">
        <w:rPr>
          <w:rFonts w:eastAsia="Calibri" w:cs="Times New Roman"/>
          <w:i/>
          <w:szCs w:val="24"/>
        </w:rPr>
        <w:t>BMC Cancer</w:t>
      </w:r>
      <w:r w:rsidRPr="0081054F">
        <w:rPr>
          <w:rFonts w:eastAsia="Calibri" w:cs="Times New Roman"/>
          <w:szCs w:val="24"/>
        </w:rPr>
        <w:t xml:space="preserve"> 2011, 11, 331.</w:t>
      </w:r>
    </w:p>
    <w:p w:rsidR="006F53C9" w:rsidRPr="006F53C9" w:rsidRDefault="0037177D" w:rsidP="00514F54">
      <w:pPr>
        <w:keepNext/>
        <w:keepLines/>
        <w:shd w:val="clear" w:color="auto" w:fill="FFFFFF"/>
        <w:spacing w:before="120" w:after="240"/>
        <w:ind w:firstLine="0"/>
        <w:outlineLvl w:val="0"/>
        <w:rPr>
          <w:rFonts w:ascii="Arial" w:eastAsiaTheme="majorEastAsia" w:hAnsi="Arial" w:cs="Arial"/>
          <w:b/>
          <w:bCs/>
          <w:color w:val="000000"/>
          <w:sz w:val="17"/>
          <w:szCs w:val="17"/>
          <w:shd w:val="clear" w:color="auto" w:fill="FFFFFF"/>
        </w:rPr>
      </w:pPr>
      <w:hyperlink r:id="rId1043" w:history="1">
        <w:r w:rsidR="006F53C9" w:rsidRPr="006F53C9">
          <w:rPr>
            <w:rFonts w:eastAsia="Calibri" w:cs="Times New Roman"/>
            <w:b/>
            <w:bCs/>
            <w:szCs w:val="24"/>
          </w:rPr>
          <w:t>Yun H</w:t>
        </w:r>
      </w:hyperlink>
      <w:r w:rsidR="006F53C9" w:rsidRPr="006F53C9">
        <w:rPr>
          <w:rFonts w:eastAsia="Calibri" w:cs="Times New Roman"/>
          <w:b/>
          <w:bCs/>
          <w:szCs w:val="24"/>
        </w:rPr>
        <w:t>, </w:t>
      </w:r>
      <w:hyperlink r:id="rId1044" w:history="1">
        <w:r w:rsidR="006F53C9" w:rsidRPr="006F53C9">
          <w:rPr>
            <w:rFonts w:eastAsia="Calibri" w:cs="Times New Roman"/>
            <w:b/>
            <w:bCs/>
            <w:szCs w:val="24"/>
          </w:rPr>
          <w:t>Lee M</w:t>
        </w:r>
      </w:hyperlink>
      <w:r w:rsidR="006F53C9" w:rsidRPr="006F53C9">
        <w:rPr>
          <w:rFonts w:eastAsia="Calibri" w:cs="Times New Roman"/>
          <w:b/>
          <w:bCs/>
          <w:szCs w:val="24"/>
        </w:rPr>
        <w:t>, </w:t>
      </w:r>
      <w:hyperlink r:id="rId1045" w:history="1">
        <w:r w:rsidR="006F53C9" w:rsidRPr="006F53C9">
          <w:rPr>
            <w:rFonts w:eastAsia="Calibri" w:cs="Times New Roman"/>
            <w:b/>
            <w:bCs/>
            <w:szCs w:val="24"/>
          </w:rPr>
          <w:t>Kim SS</w:t>
        </w:r>
      </w:hyperlink>
      <w:r w:rsidR="006F53C9" w:rsidRPr="006F53C9">
        <w:rPr>
          <w:rFonts w:eastAsia="Calibri" w:cs="Times New Roman"/>
          <w:b/>
          <w:bCs/>
          <w:szCs w:val="24"/>
        </w:rPr>
        <w:t>, </w:t>
      </w:r>
      <w:hyperlink r:id="rId1046" w:history="1">
        <w:r w:rsidR="006F53C9" w:rsidRPr="006F53C9">
          <w:rPr>
            <w:rFonts w:eastAsia="Calibri" w:cs="Times New Roman"/>
            <w:b/>
            <w:bCs/>
            <w:szCs w:val="24"/>
          </w:rPr>
          <w:t>Ha J</w:t>
        </w:r>
      </w:hyperlink>
      <w:r w:rsidR="006F53C9" w:rsidRPr="006F53C9">
        <w:rPr>
          <w:rFonts w:eastAsia="Calibri" w:cs="Times New Roman"/>
          <w:b/>
          <w:bCs/>
          <w:szCs w:val="24"/>
        </w:rPr>
        <w:t>.</w:t>
      </w:r>
      <w:r w:rsidR="006F53C9" w:rsidRPr="006F53C9">
        <w:rPr>
          <w:rFonts w:eastAsia="Calibri" w:cs="Times New Roman"/>
          <w:bCs/>
          <w:szCs w:val="24"/>
        </w:rPr>
        <w:t xml:space="preserve"> Glucose deprivation increases mRNA stability of vascular endothelial growth factor through activation of AMP-activated protein kinase in DU145 prostate carcinoma. </w:t>
      </w:r>
      <w:r w:rsidR="006F53C9" w:rsidRPr="006F53C9">
        <w:rPr>
          <w:rFonts w:eastAsia="Calibri" w:cs="Times New Roman"/>
          <w:bCs/>
          <w:i/>
          <w:szCs w:val="24"/>
        </w:rPr>
        <w:t>The Journal of Biological Chemistry</w:t>
      </w:r>
      <w:r w:rsidR="006F53C9" w:rsidRPr="006F53C9">
        <w:rPr>
          <w:rFonts w:eastAsia="Calibri" w:cs="Times New Roman"/>
          <w:bCs/>
          <w:szCs w:val="24"/>
        </w:rPr>
        <w:t xml:space="preserve"> 2005, 280 (11), 9963-9972.</w:t>
      </w:r>
      <w:r w:rsidR="006F53C9" w:rsidRPr="006F53C9">
        <w:rPr>
          <w:rFonts w:ascii="Arial" w:eastAsiaTheme="majorEastAsia" w:hAnsi="Arial" w:cs="Arial"/>
          <w:b/>
          <w:bCs/>
          <w:color w:val="000000"/>
          <w:sz w:val="17"/>
          <w:szCs w:val="17"/>
          <w:shd w:val="clear" w:color="auto" w:fill="FFFFFF"/>
        </w:rPr>
        <w:t> </w:t>
      </w:r>
    </w:p>
    <w:p w:rsidR="00193A10" w:rsidRDefault="0037177D" w:rsidP="00514F54">
      <w:pPr>
        <w:autoSpaceDE w:val="0"/>
        <w:autoSpaceDN w:val="0"/>
        <w:adjustRightInd w:val="0"/>
        <w:spacing w:before="120" w:after="240"/>
        <w:ind w:firstLine="0"/>
        <w:rPr>
          <w:rFonts w:eastAsia="Calibri" w:cs="Times New Roman"/>
          <w:szCs w:val="24"/>
        </w:rPr>
      </w:pPr>
      <w:hyperlink r:id="rId1047" w:history="1">
        <w:r w:rsidR="006F53C9" w:rsidRPr="0081054F">
          <w:rPr>
            <w:rFonts w:eastAsia="Calibri" w:cs="Times New Roman"/>
            <w:b/>
            <w:szCs w:val="24"/>
          </w:rPr>
          <w:t>Yun J</w:t>
        </w:r>
      </w:hyperlink>
      <w:r w:rsidR="006F53C9" w:rsidRPr="0081054F">
        <w:rPr>
          <w:rFonts w:eastAsia="Calibri" w:cs="Times New Roman"/>
          <w:b/>
          <w:szCs w:val="24"/>
        </w:rPr>
        <w:t>, </w:t>
      </w:r>
      <w:hyperlink r:id="rId1048" w:history="1">
        <w:r w:rsidR="006F53C9" w:rsidRPr="0081054F">
          <w:rPr>
            <w:rFonts w:eastAsia="Calibri" w:cs="Times New Roman"/>
            <w:b/>
            <w:szCs w:val="24"/>
          </w:rPr>
          <w:t>Mullarky E</w:t>
        </w:r>
      </w:hyperlink>
      <w:r w:rsidR="006F53C9" w:rsidRPr="0081054F">
        <w:rPr>
          <w:rFonts w:eastAsia="Calibri" w:cs="Times New Roman"/>
          <w:b/>
          <w:szCs w:val="24"/>
        </w:rPr>
        <w:t>, </w:t>
      </w:r>
      <w:hyperlink r:id="rId1049" w:history="1">
        <w:r w:rsidR="006F53C9" w:rsidRPr="0081054F">
          <w:rPr>
            <w:rFonts w:eastAsia="Calibri" w:cs="Times New Roman"/>
            <w:b/>
            <w:szCs w:val="24"/>
          </w:rPr>
          <w:t>Lu C</w:t>
        </w:r>
      </w:hyperlink>
      <w:r w:rsidR="006F53C9" w:rsidRPr="0081054F">
        <w:rPr>
          <w:rFonts w:eastAsia="Calibri" w:cs="Times New Roman"/>
          <w:b/>
          <w:szCs w:val="24"/>
        </w:rPr>
        <w:t>, </w:t>
      </w:r>
      <w:hyperlink r:id="rId1050" w:history="1">
        <w:r w:rsidR="006F53C9" w:rsidRPr="0081054F">
          <w:rPr>
            <w:rFonts w:eastAsia="Calibri" w:cs="Times New Roman"/>
            <w:b/>
            <w:szCs w:val="24"/>
          </w:rPr>
          <w:t>Bosch KN</w:t>
        </w:r>
      </w:hyperlink>
      <w:r w:rsidR="006F53C9" w:rsidRPr="0081054F">
        <w:rPr>
          <w:rFonts w:eastAsia="Calibri" w:cs="Times New Roman"/>
          <w:b/>
          <w:szCs w:val="24"/>
        </w:rPr>
        <w:t>, </w:t>
      </w:r>
      <w:hyperlink r:id="rId1051" w:history="1">
        <w:r w:rsidR="006F53C9" w:rsidRPr="0081054F">
          <w:rPr>
            <w:rFonts w:eastAsia="Calibri" w:cs="Times New Roman"/>
            <w:b/>
            <w:szCs w:val="24"/>
          </w:rPr>
          <w:t>Kavalier A</w:t>
        </w:r>
      </w:hyperlink>
      <w:r w:rsidR="006F53C9" w:rsidRPr="0081054F">
        <w:rPr>
          <w:rFonts w:eastAsia="Calibri" w:cs="Times New Roman"/>
          <w:b/>
          <w:szCs w:val="24"/>
        </w:rPr>
        <w:t>, </w:t>
      </w:r>
      <w:hyperlink r:id="rId1052" w:history="1">
        <w:r w:rsidR="006F53C9" w:rsidRPr="0081054F">
          <w:rPr>
            <w:rFonts w:eastAsia="Calibri" w:cs="Times New Roman"/>
            <w:b/>
            <w:szCs w:val="24"/>
          </w:rPr>
          <w:t>Rivera K</w:t>
        </w:r>
      </w:hyperlink>
      <w:r w:rsidR="006F53C9" w:rsidRPr="0081054F">
        <w:rPr>
          <w:rFonts w:eastAsia="Calibri" w:cs="Times New Roman"/>
          <w:b/>
          <w:szCs w:val="24"/>
        </w:rPr>
        <w:t>, </w:t>
      </w:r>
      <w:hyperlink r:id="rId1053" w:history="1">
        <w:r w:rsidR="006F53C9" w:rsidRPr="0081054F">
          <w:rPr>
            <w:rFonts w:eastAsia="Calibri" w:cs="Times New Roman"/>
            <w:b/>
            <w:szCs w:val="24"/>
          </w:rPr>
          <w:t>Roper J</w:t>
        </w:r>
      </w:hyperlink>
      <w:r w:rsidR="006F53C9" w:rsidRPr="0081054F">
        <w:rPr>
          <w:rFonts w:eastAsia="Calibri" w:cs="Times New Roman"/>
          <w:b/>
          <w:szCs w:val="24"/>
        </w:rPr>
        <w:t>, </w:t>
      </w:r>
      <w:hyperlink r:id="rId1054" w:history="1">
        <w:r w:rsidR="006F53C9" w:rsidRPr="0081054F">
          <w:rPr>
            <w:rFonts w:eastAsia="Calibri" w:cs="Times New Roman"/>
            <w:b/>
            <w:szCs w:val="24"/>
          </w:rPr>
          <w:t>Chio II</w:t>
        </w:r>
      </w:hyperlink>
      <w:r w:rsidR="006F53C9" w:rsidRPr="0081054F">
        <w:rPr>
          <w:rFonts w:eastAsia="Calibri" w:cs="Times New Roman"/>
          <w:b/>
          <w:szCs w:val="24"/>
        </w:rPr>
        <w:t>, </w:t>
      </w:r>
      <w:hyperlink r:id="rId1055" w:history="1">
        <w:r w:rsidR="006F53C9" w:rsidRPr="0081054F">
          <w:rPr>
            <w:rFonts w:eastAsia="Calibri" w:cs="Times New Roman"/>
            <w:b/>
            <w:szCs w:val="24"/>
          </w:rPr>
          <w:t>Giannopoulou EG</w:t>
        </w:r>
      </w:hyperlink>
      <w:r w:rsidR="006F53C9" w:rsidRPr="0081054F">
        <w:rPr>
          <w:rFonts w:eastAsia="Calibri" w:cs="Times New Roman"/>
          <w:b/>
          <w:szCs w:val="24"/>
        </w:rPr>
        <w:t>, </w:t>
      </w:r>
      <w:hyperlink r:id="rId1056" w:history="1">
        <w:r w:rsidR="006F53C9" w:rsidRPr="0081054F">
          <w:rPr>
            <w:rFonts w:eastAsia="Calibri" w:cs="Times New Roman"/>
            <w:b/>
            <w:szCs w:val="24"/>
          </w:rPr>
          <w:t>Rago C</w:t>
        </w:r>
      </w:hyperlink>
      <w:r w:rsidR="006F53C9" w:rsidRPr="0081054F">
        <w:rPr>
          <w:rFonts w:eastAsia="Calibri" w:cs="Times New Roman"/>
          <w:b/>
          <w:szCs w:val="24"/>
        </w:rPr>
        <w:t>, </w:t>
      </w:r>
      <w:hyperlink r:id="rId1057" w:history="1">
        <w:r w:rsidR="006F53C9" w:rsidRPr="0081054F">
          <w:rPr>
            <w:rFonts w:eastAsia="Calibri" w:cs="Times New Roman"/>
            <w:b/>
            <w:szCs w:val="24"/>
          </w:rPr>
          <w:t>Muley A</w:t>
        </w:r>
      </w:hyperlink>
      <w:r w:rsidR="006F53C9" w:rsidRPr="0081054F">
        <w:rPr>
          <w:rFonts w:eastAsia="Calibri" w:cs="Times New Roman"/>
          <w:b/>
          <w:szCs w:val="24"/>
        </w:rPr>
        <w:t>, </w:t>
      </w:r>
      <w:hyperlink r:id="rId1058" w:history="1">
        <w:r w:rsidR="006F53C9" w:rsidRPr="0081054F">
          <w:rPr>
            <w:rFonts w:eastAsia="Calibri" w:cs="Times New Roman"/>
            <w:b/>
            <w:szCs w:val="24"/>
          </w:rPr>
          <w:t>Asara JM</w:t>
        </w:r>
      </w:hyperlink>
      <w:r w:rsidR="006F53C9" w:rsidRPr="0081054F">
        <w:rPr>
          <w:rFonts w:eastAsia="Calibri" w:cs="Times New Roman"/>
          <w:b/>
          <w:szCs w:val="24"/>
        </w:rPr>
        <w:t>, </w:t>
      </w:r>
      <w:hyperlink r:id="rId1059" w:history="1">
        <w:r w:rsidR="006F53C9" w:rsidRPr="0081054F">
          <w:rPr>
            <w:rFonts w:eastAsia="Calibri" w:cs="Times New Roman"/>
            <w:b/>
            <w:szCs w:val="24"/>
          </w:rPr>
          <w:t>Paik J</w:t>
        </w:r>
      </w:hyperlink>
      <w:r w:rsidR="006F53C9" w:rsidRPr="0081054F">
        <w:rPr>
          <w:rFonts w:eastAsia="Calibri" w:cs="Times New Roman"/>
          <w:b/>
          <w:szCs w:val="24"/>
        </w:rPr>
        <w:t>, </w:t>
      </w:r>
      <w:hyperlink r:id="rId1060" w:history="1">
        <w:r w:rsidR="006F53C9" w:rsidRPr="0081054F">
          <w:rPr>
            <w:rFonts w:eastAsia="Calibri" w:cs="Times New Roman"/>
            <w:b/>
            <w:szCs w:val="24"/>
          </w:rPr>
          <w:t>Elemento O</w:t>
        </w:r>
      </w:hyperlink>
      <w:r w:rsidR="006F53C9" w:rsidRPr="0081054F">
        <w:rPr>
          <w:rFonts w:eastAsia="Calibri" w:cs="Times New Roman"/>
          <w:b/>
          <w:szCs w:val="24"/>
        </w:rPr>
        <w:t>, </w:t>
      </w:r>
      <w:hyperlink r:id="rId1061" w:history="1">
        <w:r w:rsidR="006F53C9" w:rsidRPr="0081054F">
          <w:rPr>
            <w:rFonts w:eastAsia="Calibri" w:cs="Times New Roman"/>
            <w:b/>
            <w:szCs w:val="24"/>
          </w:rPr>
          <w:t>Chen Z</w:t>
        </w:r>
      </w:hyperlink>
      <w:r w:rsidR="006F53C9" w:rsidRPr="0081054F">
        <w:rPr>
          <w:rFonts w:eastAsia="Calibri" w:cs="Times New Roman"/>
          <w:b/>
          <w:szCs w:val="24"/>
        </w:rPr>
        <w:t>, </w:t>
      </w:r>
      <w:hyperlink r:id="rId1062" w:history="1">
        <w:r w:rsidR="006F53C9" w:rsidRPr="0081054F">
          <w:rPr>
            <w:rFonts w:eastAsia="Calibri" w:cs="Times New Roman"/>
            <w:b/>
            <w:szCs w:val="24"/>
          </w:rPr>
          <w:t>Pappin DJ</w:t>
        </w:r>
      </w:hyperlink>
      <w:r w:rsidR="006F53C9" w:rsidRPr="0081054F">
        <w:rPr>
          <w:rFonts w:eastAsia="Calibri" w:cs="Times New Roman"/>
          <w:b/>
          <w:szCs w:val="24"/>
        </w:rPr>
        <w:t>, </w:t>
      </w:r>
      <w:hyperlink r:id="rId1063" w:history="1">
        <w:r w:rsidR="006F53C9" w:rsidRPr="0081054F">
          <w:rPr>
            <w:rFonts w:eastAsia="Calibri" w:cs="Times New Roman"/>
            <w:b/>
            <w:szCs w:val="24"/>
          </w:rPr>
          <w:t>Dow LE</w:t>
        </w:r>
      </w:hyperlink>
      <w:r w:rsidR="006F53C9" w:rsidRPr="0081054F">
        <w:rPr>
          <w:rFonts w:eastAsia="Calibri" w:cs="Times New Roman"/>
          <w:b/>
          <w:szCs w:val="24"/>
        </w:rPr>
        <w:t>, </w:t>
      </w:r>
      <w:hyperlink r:id="rId1064" w:history="1">
        <w:r w:rsidR="006F53C9" w:rsidRPr="0081054F">
          <w:rPr>
            <w:rFonts w:eastAsia="Calibri" w:cs="Times New Roman"/>
            <w:b/>
            <w:szCs w:val="24"/>
          </w:rPr>
          <w:t>Papadopoulos N</w:t>
        </w:r>
      </w:hyperlink>
      <w:r w:rsidR="006F53C9" w:rsidRPr="0081054F">
        <w:rPr>
          <w:rFonts w:eastAsia="Calibri" w:cs="Times New Roman"/>
          <w:b/>
          <w:szCs w:val="24"/>
        </w:rPr>
        <w:t>, </w:t>
      </w:r>
      <w:hyperlink r:id="rId1065" w:history="1">
        <w:r w:rsidR="006F53C9" w:rsidRPr="0081054F">
          <w:rPr>
            <w:rFonts w:eastAsia="Calibri" w:cs="Times New Roman"/>
            <w:b/>
            <w:szCs w:val="24"/>
          </w:rPr>
          <w:t>Gross SS</w:t>
        </w:r>
      </w:hyperlink>
      <w:r w:rsidR="006F53C9" w:rsidRPr="0081054F">
        <w:rPr>
          <w:rFonts w:eastAsia="Calibri" w:cs="Times New Roman"/>
          <w:b/>
          <w:szCs w:val="24"/>
        </w:rPr>
        <w:t>, </w:t>
      </w:r>
      <w:hyperlink r:id="rId1066" w:history="1">
        <w:r w:rsidR="006F53C9" w:rsidRPr="0081054F">
          <w:rPr>
            <w:rFonts w:eastAsia="Calibri" w:cs="Times New Roman"/>
            <w:b/>
            <w:szCs w:val="24"/>
          </w:rPr>
          <w:t>Cantley LC</w:t>
        </w:r>
      </w:hyperlink>
      <w:r w:rsidR="006F53C9" w:rsidRPr="0081054F">
        <w:rPr>
          <w:rFonts w:eastAsia="Calibri" w:cs="Times New Roman"/>
          <w:b/>
          <w:szCs w:val="24"/>
        </w:rPr>
        <w:t>.</w:t>
      </w:r>
      <w:r w:rsidR="006F53C9" w:rsidRPr="0081054F">
        <w:rPr>
          <w:rFonts w:eastAsiaTheme="majorEastAsia" w:cstheme="majorBidi"/>
          <w:bCs/>
          <w:color w:val="365F91" w:themeColor="accent1" w:themeShade="BF"/>
          <w:szCs w:val="24"/>
        </w:rPr>
        <w:t xml:space="preserve"> </w:t>
      </w:r>
      <w:r w:rsidR="006F53C9" w:rsidRPr="0081054F">
        <w:rPr>
          <w:rFonts w:eastAsia="Calibri" w:cs="Times New Roman"/>
          <w:szCs w:val="24"/>
        </w:rPr>
        <w:t xml:space="preserve">Vitamin C selectively kills KRAS and BRAF mutant colorectal cancer cells by targeting GAPDH. </w:t>
      </w:r>
      <w:r w:rsidR="006F53C9" w:rsidRPr="0081054F">
        <w:rPr>
          <w:rFonts w:eastAsia="Calibri" w:cs="Times New Roman"/>
          <w:i/>
          <w:szCs w:val="24"/>
        </w:rPr>
        <w:t>Science</w:t>
      </w:r>
      <w:r w:rsidR="006F53C9" w:rsidRPr="0081054F">
        <w:rPr>
          <w:rFonts w:eastAsia="Calibri" w:cs="Times New Roman"/>
          <w:szCs w:val="24"/>
        </w:rPr>
        <w:t xml:space="preserve"> 2015, 350 (6266), 1391-1396.</w:t>
      </w:r>
    </w:p>
    <w:p w:rsidR="006F53C9" w:rsidRPr="0081054F" w:rsidRDefault="0037177D" w:rsidP="00514F54">
      <w:pPr>
        <w:autoSpaceDE w:val="0"/>
        <w:autoSpaceDN w:val="0"/>
        <w:adjustRightInd w:val="0"/>
        <w:spacing w:before="120" w:after="240"/>
        <w:ind w:firstLine="0"/>
        <w:rPr>
          <w:rFonts w:eastAsia="Calibri" w:cs="Times New Roman"/>
          <w:szCs w:val="24"/>
        </w:rPr>
      </w:pPr>
      <w:hyperlink r:id="rId1067" w:history="1">
        <w:r w:rsidR="006F53C9" w:rsidRPr="0081054F">
          <w:rPr>
            <w:rFonts w:eastAsiaTheme="majorEastAsia" w:cs="Times New Roman"/>
            <w:b/>
            <w:szCs w:val="24"/>
          </w:rPr>
          <w:t>Zancan P</w:t>
        </w:r>
      </w:hyperlink>
      <w:r w:rsidR="006F53C9" w:rsidRPr="0081054F">
        <w:rPr>
          <w:rFonts w:eastAsiaTheme="majorEastAsia" w:cs="Times New Roman"/>
          <w:b/>
          <w:szCs w:val="24"/>
        </w:rPr>
        <w:t>, </w:t>
      </w:r>
      <w:hyperlink r:id="rId1068" w:history="1">
        <w:r w:rsidR="006F53C9" w:rsidRPr="0081054F">
          <w:rPr>
            <w:rFonts w:eastAsiaTheme="majorEastAsia" w:cs="Times New Roman"/>
            <w:b/>
            <w:szCs w:val="24"/>
          </w:rPr>
          <w:t>Sola-Penna M</w:t>
        </w:r>
      </w:hyperlink>
      <w:r w:rsidR="006F53C9" w:rsidRPr="0081054F">
        <w:rPr>
          <w:rFonts w:eastAsiaTheme="majorEastAsia" w:cs="Times New Roman"/>
          <w:b/>
          <w:szCs w:val="24"/>
        </w:rPr>
        <w:t>, </w:t>
      </w:r>
      <w:hyperlink r:id="rId1069" w:history="1">
        <w:r w:rsidR="006F53C9" w:rsidRPr="0081054F">
          <w:rPr>
            <w:rFonts w:eastAsiaTheme="majorEastAsia" w:cs="Times New Roman"/>
            <w:b/>
            <w:szCs w:val="24"/>
          </w:rPr>
          <w:t>Furtado CM</w:t>
        </w:r>
      </w:hyperlink>
      <w:r w:rsidR="006F53C9" w:rsidRPr="0081054F">
        <w:rPr>
          <w:rFonts w:eastAsiaTheme="majorEastAsia" w:cs="Times New Roman"/>
          <w:b/>
          <w:szCs w:val="24"/>
        </w:rPr>
        <w:t>, </w:t>
      </w:r>
      <w:hyperlink r:id="rId1070" w:history="1">
        <w:r w:rsidR="006F53C9" w:rsidRPr="0081054F">
          <w:rPr>
            <w:rFonts w:eastAsiaTheme="majorEastAsia" w:cs="Times New Roman"/>
            <w:b/>
            <w:szCs w:val="24"/>
          </w:rPr>
          <w:t>Da Silva D</w:t>
        </w:r>
      </w:hyperlink>
      <w:r w:rsidR="006F53C9" w:rsidRPr="0081054F">
        <w:rPr>
          <w:rFonts w:eastAsiaTheme="majorEastAsia" w:cs="Times New Roman"/>
          <w:b/>
          <w:szCs w:val="24"/>
        </w:rPr>
        <w:t>.</w:t>
      </w:r>
      <w:r w:rsidR="006F53C9" w:rsidRPr="0081054F">
        <w:rPr>
          <w:rFonts w:eastAsiaTheme="majorEastAsia" w:cstheme="majorBidi"/>
          <w:color w:val="365F91" w:themeColor="accent1" w:themeShade="BF"/>
          <w:szCs w:val="24"/>
        </w:rPr>
        <w:t xml:space="preserve"> </w:t>
      </w:r>
      <w:r w:rsidR="006F53C9" w:rsidRPr="0081054F">
        <w:rPr>
          <w:rFonts w:eastAsia="Calibri" w:cs="Times New Roman"/>
          <w:szCs w:val="24"/>
        </w:rPr>
        <w:t xml:space="preserve">Differential expression of phosphofructokinase-1 isoforms correlates with the glycolytic efficiency of breast cancer cells. </w:t>
      </w:r>
      <w:r w:rsidR="006F53C9" w:rsidRPr="0081054F">
        <w:rPr>
          <w:rFonts w:eastAsia="Calibri" w:cs="Times New Roman"/>
          <w:i/>
          <w:szCs w:val="24"/>
        </w:rPr>
        <w:t>Molecular genetics and metabolism</w:t>
      </w:r>
      <w:r w:rsidR="006F53C9" w:rsidRPr="0081054F">
        <w:rPr>
          <w:rFonts w:eastAsia="Calibri" w:cs="Times New Roman"/>
          <w:szCs w:val="24"/>
        </w:rPr>
        <w:t xml:space="preserve"> 2010, 100(4), 372-378. </w:t>
      </w:r>
    </w:p>
    <w:p w:rsidR="006F53C9" w:rsidRPr="0081054F" w:rsidRDefault="006F53C9" w:rsidP="00514F54">
      <w:pPr>
        <w:spacing w:before="120" w:after="240"/>
        <w:ind w:firstLine="0"/>
        <w:rPr>
          <w:rFonts w:eastAsia="Calibri" w:cs="Times New Roman"/>
          <w:szCs w:val="24"/>
        </w:rPr>
      </w:pPr>
      <w:r w:rsidRPr="0081054F">
        <w:rPr>
          <w:rFonts w:eastAsia="Calibri" w:cs="Times New Roman"/>
          <w:b/>
          <w:szCs w:val="24"/>
        </w:rPr>
        <w:t>Zhang H, Gao P, Fukuda R, Kumar G, Krishnamachary B, Zeller KI, Dang CV, Semenza GL.</w:t>
      </w:r>
      <w:r w:rsidRPr="0081054F">
        <w:rPr>
          <w:rFonts w:ascii="Calibri" w:eastAsia="Calibri" w:hAnsi="Calibri" w:cs="Times New Roman"/>
          <w:color w:val="000000"/>
          <w:sz w:val="27"/>
          <w:szCs w:val="27"/>
        </w:rPr>
        <w:t xml:space="preserve"> </w:t>
      </w:r>
      <w:r w:rsidRPr="0081054F">
        <w:rPr>
          <w:rFonts w:eastAsia="Calibri" w:cs="Times New Roman"/>
          <w:szCs w:val="24"/>
        </w:rPr>
        <w:t xml:space="preserve">HIF-1 inhibits mitochondrial biogenesis and cellular respiration in VHL-deficient renal cell carcinoma by repression of C-MYC activity. </w:t>
      </w:r>
      <w:r w:rsidRPr="0081054F">
        <w:rPr>
          <w:rFonts w:eastAsia="Calibri" w:cs="Times New Roman"/>
          <w:i/>
          <w:szCs w:val="24"/>
        </w:rPr>
        <w:t>Cancer Cell</w:t>
      </w:r>
      <w:r w:rsidRPr="0081054F">
        <w:rPr>
          <w:rFonts w:eastAsia="Calibri" w:cs="Times New Roman"/>
          <w:szCs w:val="24"/>
        </w:rPr>
        <w:t xml:space="preserve"> 2007, 11(5), 407–420.</w:t>
      </w:r>
    </w:p>
    <w:p w:rsidR="006F53C9" w:rsidRPr="0081054F" w:rsidRDefault="006F53C9" w:rsidP="00514F54">
      <w:pPr>
        <w:spacing w:before="120" w:after="240"/>
        <w:ind w:firstLine="0"/>
        <w:rPr>
          <w:rFonts w:eastAsia="Calibri" w:cs="Times New Roman"/>
          <w:szCs w:val="24"/>
        </w:rPr>
      </w:pPr>
      <w:r w:rsidRPr="0081054F">
        <w:rPr>
          <w:rFonts w:eastAsiaTheme="majorEastAsia" w:cs="Times New Roman"/>
          <w:b/>
          <w:bCs/>
          <w:szCs w:val="24"/>
        </w:rPr>
        <w:t>Zhang JY, Zhang F, Hong CQ, Giuliano AE, Cui XJ, Zhou GJ, Zhang GJ, Cui YK.</w:t>
      </w:r>
      <w:r w:rsidRPr="0081054F">
        <w:rPr>
          <w:rFonts w:ascii="Calibri" w:eastAsia="Calibri" w:hAnsi="Calibri" w:cs="Times New Roman"/>
          <w:sz w:val="22"/>
        </w:rPr>
        <w:t xml:space="preserve"> </w:t>
      </w:r>
      <w:r w:rsidRPr="0081054F">
        <w:rPr>
          <w:rFonts w:eastAsia="Calibri" w:cs="Times New Roman"/>
          <w:szCs w:val="24"/>
        </w:rPr>
        <w:t xml:space="preserve">Critical protein GAPDH and its regulatory mechanisms in cancer cells. </w:t>
      </w:r>
      <w:r w:rsidRPr="0081054F">
        <w:rPr>
          <w:rFonts w:eastAsia="Calibri" w:cs="Times New Roman"/>
          <w:i/>
          <w:szCs w:val="24"/>
        </w:rPr>
        <w:t>Cancer Biology &amp;Medicine</w:t>
      </w:r>
      <w:r w:rsidRPr="0081054F">
        <w:rPr>
          <w:rFonts w:eastAsia="Calibri" w:cs="Times New Roman"/>
          <w:szCs w:val="24"/>
        </w:rPr>
        <w:t xml:space="preserve"> 2015, 12, 10-22.</w:t>
      </w:r>
    </w:p>
    <w:p w:rsidR="006F53C9" w:rsidRPr="0081054F" w:rsidRDefault="006F53C9" w:rsidP="00514F54">
      <w:pPr>
        <w:keepNext/>
        <w:keepLines/>
        <w:spacing w:before="120" w:after="240"/>
        <w:ind w:firstLine="0"/>
        <w:outlineLvl w:val="0"/>
        <w:rPr>
          <w:rFonts w:eastAsia="Calibri" w:cs="Times New Roman"/>
          <w:szCs w:val="24"/>
        </w:rPr>
      </w:pPr>
      <w:r w:rsidRPr="0081054F">
        <w:rPr>
          <w:rFonts w:eastAsiaTheme="majorEastAsia" w:cs="Times New Roman"/>
          <w:b/>
          <w:bCs/>
          <w:szCs w:val="24"/>
        </w:rPr>
        <w:t>Zhang Z, Huang S, Wang H, Wu J, Chen D, Peng D, Zhou Q.</w:t>
      </w:r>
      <w:r w:rsidRPr="0081054F">
        <w:rPr>
          <w:rFonts w:asciiTheme="majorHAnsi" w:eastAsiaTheme="majorEastAsia" w:hAnsiTheme="majorHAnsi" w:cstheme="majorBidi"/>
          <w:b/>
          <w:bCs/>
          <w:color w:val="365F91" w:themeColor="accent1" w:themeShade="BF"/>
          <w:sz w:val="28"/>
          <w:szCs w:val="28"/>
        </w:rPr>
        <w:t xml:space="preserve"> </w:t>
      </w:r>
      <w:r w:rsidRPr="0081054F">
        <w:rPr>
          <w:rFonts w:eastAsia="Calibri" w:cs="Times New Roman"/>
          <w:szCs w:val="24"/>
        </w:rPr>
        <w:t xml:space="preserve">High expression of hexokinase domain containing 1 is associated with poor prognosis and aggressive phenotype in hepatocarcinoma. </w:t>
      </w:r>
      <w:r w:rsidRPr="0081054F">
        <w:rPr>
          <w:rFonts w:eastAsia="Calibri" w:cs="Times New Roman"/>
          <w:i/>
          <w:szCs w:val="24"/>
        </w:rPr>
        <w:t>Biochemical and Biophysical Research Communications</w:t>
      </w:r>
      <w:r w:rsidRPr="0081054F">
        <w:rPr>
          <w:rFonts w:eastAsia="Calibri" w:cs="Times New Roman"/>
          <w:szCs w:val="24"/>
        </w:rPr>
        <w:t xml:space="preserve"> 2016, 474 (4), 673-679.</w:t>
      </w:r>
    </w:p>
    <w:p w:rsidR="006F53C9" w:rsidRPr="006F53C9" w:rsidRDefault="0037177D" w:rsidP="00514F54">
      <w:pPr>
        <w:keepNext/>
        <w:keepLines/>
        <w:shd w:val="clear" w:color="auto" w:fill="FFFFFF"/>
        <w:spacing w:before="120" w:after="240"/>
        <w:ind w:firstLine="0"/>
        <w:outlineLvl w:val="0"/>
        <w:rPr>
          <w:rFonts w:eastAsia="Calibri" w:cs="Times New Roman"/>
          <w:bCs/>
          <w:szCs w:val="24"/>
        </w:rPr>
      </w:pPr>
      <w:hyperlink r:id="rId1071" w:history="1">
        <w:r w:rsidR="006F53C9" w:rsidRPr="006F53C9">
          <w:rPr>
            <w:rFonts w:eastAsia="Calibri" w:cs="Times New Roman"/>
            <w:b/>
            <w:szCs w:val="24"/>
          </w:rPr>
          <w:t>Zhang Z</w:t>
        </w:r>
      </w:hyperlink>
      <w:r w:rsidR="006F53C9" w:rsidRPr="006F53C9">
        <w:rPr>
          <w:rFonts w:eastAsia="Calibri" w:cs="Times New Roman"/>
          <w:b/>
          <w:szCs w:val="24"/>
        </w:rPr>
        <w:t>, </w:t>
      </w:r>
      <w:hyperlink r:id="rId1072" w:history="1">
        <w:r w:rsidR="006F53C9" w:rsidRPr="006F53C9">
          <w:rPr>
            <w:rFonts w:eastAsia="Calibri" w:cs="Times New Roman"/>
            <w:b/>
            <w:szCs w:val="24"/>
          </w:rPr>
          <w:t>Liew CW</w:t>
        </w:r>
      </w:hyperlink>
      <w:r w:rsidR="006F53C9" w:rsidRPr="006F53C9">
        <w:rPr>
          <w:rFonts w:eastAsia="Calibri" w:cs="Times New Roman"/>
          <w:b/>
          <w:szCs w:val="24"/>
        </w:rPr>
        <w:t>, </w:t>
      </w:r>
      <w:hyperlink r:id="rId1073" w:history="1">
        <w:r w:rsidR="006F53C9" w:rsidRPr="006F53C9">
          <w:rPr>
            <w:rFonts w:eastAsia="Calibri" w:cs="Times New Roman"/>
            <w:b/>
            <w:szCs w:val="24"/>
          </w:rPr>
          <w:t>Handy DE</w:t>
        </w:r>
      </w:hyperlink>
      <w:r w:rsidR="006F53C9" w:rsidRPr="006F53C9">
        <w:rPr>
          <w:rFonts w:eastAsia="Calibri" w:cs="Times New Roman"/>
          <w:b/>
          <w:szCs w:val="24"/>
        </w:rPr>
        <w:t>, </w:t>
      </w:r>
      <w:hyperlink r:id="rId1074" w:history="1">
        <w:r w:rsidR="006F53C9" w:rsidRPr="006F53C9">
          <w:rPr>
            <w:rFonts w:eastAsia="Calibri" w:cs="Times New Roman"/>
            <w:b/>
            <w:szCs w:val="24"/>
          </w:rPr>
          <w:t>Zhang Y</w:t>
        </w:r>
      </w:hyperlink>
      <w:r w:rsidR="006F53C9" w:rsidRPr="006F53C9">
        <w:rPr>
          <w:rFonts w:eastAsia="Calibri" w:cs="Times New Roman"/>
          <w:b/>
          <w:szCs w:val="24"/>
        </w:rPr>
        <w:t>, </w:t>
      </w:r>
      <w:hyperlink r:id="rId1075" w:history="1">
        <w:r w:rsidR="006F53C9" w:rsidRPr="006F53C9">
          <w:rPr>
            <w:rFonts w:eastAsia="Calibri" w:cs="Times New Roman"/>
            <w:b/>
            <w:szCs w:val="24"/>
          </w:rPr>
          <w:t>Leopold JA</w:t>
        </w:r>
      </w:hyperlink>
      <w:r w:rsidR="006F53C9" w:rsidRPr="006F53C9">
        <w:rPr>
          <w:rFonts w:eastAsia="Calibri" w:cs="Times New Roman"/>
          <w:b/>
          <w:szCs w:val="24"/>
        </w:rPr>
        <w:t>, </w:t>
      </w:r>
      <w:hyperlink r:id="rId1076" w:history="1">
        <w:r w:rsidR="006F53C9" w:rsidRPr="006F53C9">
          <w:rPr>
            <w:rFonts w:eastAsia="Calibri" w:cs="Times New Roman"/>
            <w:b/>
            <w:szCs w:val="24"/>
          </w:rPr>
          <w:t>Hu J</w:t>
        </w:r>
      </w:hyperlink>
      <w:r w:rsidR="006F53C9" w:rsidRPr="006F53C9">
        <w:rPr>
          <w:rFonts w:eastAsia="Calibri" w:cs="Times New Roman"/>
          <w:b/>
          <w:szCs w:val="24"/>
        </w:rPr>
        <w:t>, </w:t>
      </w:r>
      <w:hyperlink r:id="rId1077" w:history="1">
        <w:r w:rsidR="006F53C9" w:rsidRPr="006F53C9">
          <w:rPr>
            <w:rFonts w:eastAsia="Calibri" w:cs="Times New Roman"/>
            <w:b/>
            <w:szCs w:val="24"/>
          </w:rPr>
          <w:t>Guo L</w:t>
        </w:r>
      </w:hyperlink>
      <w:r w:rsidR="006F53C9" w:rsidRPr="006F53C9">
        <w:rPr>
          <w:rFonts w:eastAsia="Calibri" w:cs="Times New Roman"/>
          <w:b/>
          <w:szCs w:val="24"/>
        </w:rPr>
        <w:t>, </w:t>
      </w:r>
      <w:hyperlink r:id="rId1078" w:history="1">
        <w:r w:rsidR="006F53C9" w:rsidRPr="006F53C9">
          <w:rPr>
            <w:rFonts w:eastAsia="Calibri" w:cs="Times New Roman"/>
            <w:b/>
            <w:szCs w:val="24"/>
          </w:rPr>
          <w:t>Kulkarni RN</w:t>
        </w:r>
      </w:hyperlink>
      <w:r w:rsidR="006F53C9" w:rsidRPr="006F53C9">
        <w:rPr>
          <w:rFonts w:eastAsia="Calibri" w:cs="Times New Roman"/>
          <w:b/>
          <w:szCs w:val="24"/>
        </w:rPr>
        <w:t>, </w:t>
      </w:r>
      <w:hyperlink r:id="rId1079" w:history="1">
        <w:r w:rsidR="006F53C9" w:rsidRPr="006F53C9">
          <w:rPr>
            <w:rFonts w:eastAsia="Calibri" w:cs="Times New Roman"/>
            <w:b/>
            <w:szCs w:val="24"/>
          </w:rPr>
          <w:t>Loscalzo J</w:t>
        </w:r>
      </w:hyperlink>
      <w:r w:rsidR="006F53C9" w:rsidRPr="006F53C9">
        <w:rPr>
          <w:rFonts w:eastAsia="Calibri" w:cs="Times New Roman"/>
          <w:b/>
          <w:szCs w:val="24"/>
        </w:rPr>
        <w:t>, </w:t>
      </w:r>
      <w:hyperlink r:id="rId1080" w:history="1">
        <w:r w:rsidR="006F53C9" w:rsidRPr="006F53C9">
          <w:rPr>
            <w:rFonts w:eastAsia="Calibri" w:cs="Times New Roman"/>
            <w:b/>
            <w:szCs w:val="24"/>
          </w:rPr>
          <w:t>Stanton RC</w:t>
        </w:r>
      </w:hyperlink>
      <w:r w:rsidR="006F53C9" w:rsidRPr="006F53C9">
        <w:rPr>
          <w:rFonts w:eastAsia="Calibri" w:cs="Times New Roman"/>
          <w:b/>
          <w:szCs w:val="24"/>
        </w:rPr>
        <w:t>.</w:t>
      </w:r>
      <w:r w:rsidR="006F53C9" w:rsidRPr="006F53C9">
        <w:rPr>
          <w:rFonts w:eastAsia="Calibri" w:cs="Times New Roman"/>
          <w:bCs/>
          <w:szCs w:val="24"/>
        </w:rPr>
        <w:t xml:space="preserve"> High glucose inhibits glucose-6-phosphate dehydrogenase, leading to increased oxidative stress and beta-cell apoptosis. </w:t>
      </w:r>
      <w:r w:rsidR="006F53C9" w:rsidRPr="006F53C9">
        <w:rPr>
          <w:rFonts w:eastAsia="Calibri" w:cs="Times New Roman"/>
          <w:bCs/>
          <w:i/>
          <w:szCs w:val="24"/>
        </w:rPr>
        <w:t>FASEB Journal</w:t>
      </w:r>
      <w:r w:rsidR="006F53C9" w:rsidRPr="006F53C9">
        <w:rPr>
          <w:rFonts w:eastAsia="Calibri" w:cs="Times New Roman"/>
          <w:bCs/>
          <w:szCs w:val="24"/>
        </w:rPr>
        <w:t xml:space="preserve"> 2010, 24(5), 1497-505. </w:t>
      </w:r>
    </w:p>
    <w:p w:rsidR="006F53C9" w:rsidRPr="0081054F" w:rsidRDefault="006F53C9" w:rsidP="00514F54">
      <w:pPr>
        <w:keepNext/>
        <w:keepLines/>
        <w:shd w:val="clear" w:color="auto" w:fill="FFFFFF"/>
        <w:spacing w:before="120" w:after="240"/>
        <w:ind w:firstLine="0"/>
        <w:outlineLvl w:val="0"/>
        <w:rPr>
          <w:rFonts w:eastAsia="Calibri" w:cs="Times New Roman"/>
          <w:szCs w:val="24"/>
        </w:rPr>
      </w:pPr>
      <w:r w:rsidRPr="0081054F">
        <w:rPr>
          <w:rFonts w:eastAsiaTheme="majorEastAsia" w:cs="Times New Roman"/>
          <w:b/>
          <w:bCs/>
          <w:szCs w:val="24"/>
        </w:rPr>
        <w:t>Zhao FQ, Keating AF.</w:t>
      </w:r>
      <w:r w:rsidRPr="0081054F">
        <w:rPr>
          <w:rFonts w:eastAsiaTheme="majorEastAsia" w:cstheme="majorBidi"/>
          <w:b/>
          <w:bCs/>
          <w:color w:val="365F91" w:themeColor="accent1" w:themeShade="BF"/>
          <w:szCs w:val="24"/>
        </w:rPr>
        <w:t xml:space="preserve"> </w:t>
      </w:r>
      <w:r w:rsidRPr="0081054F">
        <w:rPr>
          <w:rFonts w:eastAsia="Calibri" w:cs="Times New Roman"/>
          <w:szCs w:val="24"/>
        </w:rPr>
        <w:t xml:space="preserve">Functional properties and genomics of glucose transporters. </w:t>
      </w:r>
      <w:r w:rsidRPr="0081054F">
        <w:rPr>
          <w:rFonts w:eastAsia="Calibri" w:cs="Times New Roman"/>
          <w:i/>
          <w:szCs w:val="24"/>
        </w:rPr>
        <w:t>Current genomics</w:t>
      </w:r>
      <w:r w:rsidRPr="0081054F">
        <w:rPr>
          <w:rFonts w:eastAsia="Calibri" w:cs="Times New Roman"/>
          <w:szCs w:val="24"/>
        </w:rPr>
        <w:t xml:space="preserve"> 2007, 8 (2), 113-128. </w:t>
      </w:r>
    </w:p>
    <w:p w:rsidR="0089198B" w:rsidRDefault="006F53C9" w:rsidP="0089198B">
      <w:pPr>
        <w:spacing w:before="120" w:after="240"/>
        <w:ind w:firstLine="0"/>
        <w:rPr>
          <w:rFonts w:eastAsia="Calibri" w:cs="Times New Roman"/>
          <w:szCs w:val="24"/>
        </w:rPr>
      </w:pPr>
      <w:r w:rsidRPr="0081054F">
        <w:rPr>
          <w:rFonts w:eastAsiaTheme="majorEastAsia" w:cs="Times New Roman"/>
          <w:b/>
          <w:bCs/>
          <w:szCs w:val="24"/>
        </w:rPr>
        <w:t xml:space="preserve">Zhong H, Simons JW. Direct comparison of GAPDH, beta-actin, cyclophilin, and 28S rRNA as internal standards for quantifying RNA levels under hypoxia. </w:t>
      </w:r>
      <w:r w:rsidRPr="0081054F">
        <w:rPr>
          <w:rFonts w:eastAsia="Calibri" w:cs="Times New Roman"/>
          <w:i/>
          <w:szCs w:val="24"/>
        </w:rPr>
        <w:t>Biochemical and Biophysical Research Communications</w:t>
      </w:r>
      <w:r w:rsidRPr="0081054F">
        <w:rPr>
          <w:rFonts w:eastAsia="Calibri" w:cs="Times New Roman"/>
          <w:szCs w:val="24"/>
        </w:rPr>
        <w:t xml:space="preserve"> 1999, 259, 523-526.</w:t>
      </w:r>
    </w:p>
    <w:p w:rsidR="00193A10" w:rsidRDefault="006F53C9" w:rsidP="00193A10">
      <w:pPr>
        <w:spacing w:before="120" w:after="240"/>
        <w:ind w:firstLine="0"/>
        <w:rPr>
          <w:rFonts w:eastAsia="Calibri" w:cs="Times New Roman"/>
          <w:szCs w:val="24"/>
        </w:rPr>
      </w:pPr>
      <w:r w:rsidRPr="0081054F">
        <w:rPr>
          <w:rFonts w:eastAsia="Calibri" w:cs="Times New Roman"/>
          <w:b/>
          <w:szCs w:val="24"/>
        </w:rPr>
        <w:t>Zhu S, Yao F, Li WH, Wan JN, Zhang YM, Tang Z, Khan S, Wang CH, Sun SR.</w:t>
      </w:r>
      <w:r w:rsidRPr="0081054F">
        <w:rPr>
          <w:rFonts w:eastAsia="Calibri" w:cs="Times New Roman"/>
          <w:szCs w:val="24"/>
        </w:rPr>
        <w:t xml:space="preserve"> PKCδ-dependent Activation of the Ubiquitin Proteasome System is Responsible for High Glucose-induced Human Breast Cancer MCF-7 Cell Proliferation, Migration and Invasion. </w:t>
      </w:r>
      <w:hyperlink r:id="rId1081" w:history="1">
        <w:r w:rsidRPr="0081054F">
          <w:rPr>
            <w:rFonts w:eastAsia="Calibri" w:cs="Times New Roman"/>
            <w:i/>
            <w:szCs w:val="24"/>
          </w:rPr>
          <w:t>Asian Pacific Journal of Cancer Prevention</w:t>
        </w:r>
      </w:hyperlink>
      <w:r w:rsidRPr="0081054F">
        <w:rPr>
          <w:rFonts w:eastAsia="Calibri" w:cs="Times New Roman"/>
          <w:szCs w:val="24"/>
        </w:rPr>
        <w:t xml:space="preserve"> 2013, 14 (10), 5687-5692. </w:t>
      </w:r>
    </w:p>
    <w:p w:rsidR="006F53C9" w:rsidRPr="0081054F" w:rsidRDefault="006F53C9" w:rsidP="00193A10">
      <w:pPr>
        <w:spacing w:before="120" w:after="240"/>
        <w:ind w:firstLine="0"/>
        <w:rPr>
          <w:rFonts w:eastAsia="Calibri" w:cs="Times New Roman"/>
          <w:szCs w:val="24"/>
        </w:rPr>
      </w:pPr>
      <w:r w:rsidRPr="0081054F">
        <w:rPr>
          <w:rFonts w:eastAsia="Calibri" w:cs="Times New Roman"/>
          <w:b/>
          <w:szCs w:val="24"/>
        </w:rPr>
        <w:lastRenderedPageBreak/>
        <w:t>Ziebart T, Walenta S, Kunkel M, Reichert TE, Wagner W, Mueller-Klieser W.</w:t>
      </w:r>
      <w:r w:rsidRPr="0081054F">
        <w:rPr>
          <w:rFonts w:eastAsia="Calibri" w:cs="Times New Roman"/>
          <w:szCs w:val="24"/>
        </w:rPr>
        <w:t xml:space="preserve">  Metabolic and proteomic differentials in head and neck squamous cell carcinomas and normal gingival tissue. </w:t>
      </w:r>
      <w:r w:rsidRPr="0081054F">
        <w:rPr>
          <w:rFonts w:eastAsia="Calibri" w:cs="Times New Roman"/>
          <w:i/>
          <w:szCs w:val="24"/>
        </w:rPr>
        <w:t>Journal of Cancer Research and Clinical Oncology</w:t>
      </w:r>
      <w:r w:rsidRPr="0081054F">
        <w:rPr>
          <w:rFonts w:eastAsia="Calibri" w:cs="Times New Roman"/>
          <w:szCs w:val="24"/>
        </w:rPr>
        <w:t xml:space="preserve"> 2011, 137, 193-199.</w:t>
      </w: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6F53C9" w:rsidRDefault="006F53C9" w:rsidP="0081054F">
      <w:pPr>
        <w:autoSpaceDE w:val="0"/>
        <w:autoSpaceDN w:val="0"/>
        <w:adjustRightInd w:val="0"/>
        <w:ind w:firstLine="0"/>
        <w:jc w:val="center"/>
        <w:rPr>
          <w:rFonts w:cs="Times New Roman"/>
          <w:b/>
          <w:bCs/>
          <w:sz w:val="28"/>
          <w:szCs w:val="28"/>
        </w:rPr>
      </w:pPr>
    </w:p>
    <w:p w:rsidR="00F0072D" w:rsidRDefault="00F0072D" w:rsidP="0081054F">
      <w:pPr>
        <w:autoSpaceDE w:val="0"/>
        <w:autoSpaceDN w:val="0"/>
        <w:adjustRightInd w:val="0"/>
        <w:ind w:firstLine="0"/>
        <w:jc w:val="center"/>
        <w:rPr>
          <w:rFonts w:cs="Times New Roman"/>
          <w:b/>
          <w:bCs/>
          <w:sz w:val="28"/>
          <w:szCs w:val="28"/>
        </w:rPr>
      </w:pPr>
      <w:r>
        <w:rPr>
          <w:rFonts w:cs="Times New Roman"/>
          <w:b/>
          <w:bCs/>
          <w:sz w:val="28"/>
          <w:szCs w:val="28"/>
        </w:rPr>
        <w:lastRenderedPageBreak/>
        <w:t>ÖZGEÇMİŞ</w:t>
      </w:r>
    </w:p>
    <w:p w:rsidR="0081054F" w:rsidRDefault="0081054F" w:rsidP="0081054F">
      <w:pPr>
        <w:autoSpaceDE w:val="0"/>
        <w:autoSpaceDN w:val="0"/>
        <w:adjustRightInd w:val="0"/>
        <w:ind w:firstLine="0"/>
        <w:jc w:val="center"/>
        <w:rPr>
          <w:rFonts w:cs="Times New Roman"/>
          <w:b/>
          <w:bCs/>
          <w:sz w:val="28"/>
          <w:szCs w:val="28"/>
        </w:rPr>
      </w:pPr>
    </w:p>
    <w:p w:rsidR="00BF1AAD" w:rsidRDefault="00BF1AAD" w:rsidP="0081054F">
      <w:pPr>
        <w:autoSpaceDE w:val="0"/>
        <w:autoSpaceDN w:val="0"/>
        <w:adjustRightInd w:val="0"/>
        <w:ind w:firstLine="0"/>
        <w:jc w:val="center"/>
        <w:rPr>
          <w:rFonts w:cs="Times New Roman"/>
          <w:b/>
          <w:bCs/>
          <w:sz w:val="28"/>
          <w:szCs w:val="28"/>
        </w:rPr>
      </w:pPr>
    </w:p>
    <w:tbl>
      <w:tblPr>
        <w:tblW w:w="0" w:type="auto"/>
        <w:tblLook w:val="04A0" w:firstRow="1" w:lastRow="0" w:firstColumn="1" w:lastColumn="0" w:noHBand="0" w:noVBand="1"/>
      </w:tblPr>
      <w:tblGrid>
        <w:gridCol w:w="3227"/>
        <w:gridCol w:w="4252"/>
      </w:tblGrid>
      <w:tr w:rsidR="00BF1AAD" w:rsidRPr="00461564" w:rsidTr="005E4754">
        <w:trPr>
          <w:trHeight w:val="206"/>
        </w:trPr>
        <w:tc>
          <w:tcPr>
            <w:tcW w:w="3227" w:type="dxa"/>
            <w:hideMark/>
          </w:tcPr>
          <w:p w:rsidR="00BF1AAD" w:rsidRPr="00461564" w:rsidRDefault="00BF1AAD" w:rsidP="005E4754">
            <w:pPr>
              <w:rPr>
                <w:szCs w:val="24"/>
              </w:rPr>
            </w:pPr>
            <w:r w:rsidRPr="00461564">
              <w:rPr>
                <w:b/>
                <w:szCs w:val="24"/>
                <w:lang w:val="en-US"/>
              </w:rPr>
              <w:t>Soyadı, Adı</w:t>
            </w:r>
          </w:p>
        </w:tc>
        <w:tc>
          <w:tcPr>
            <w:tcW w:w="4252" w:type="dxa"/>
            <w:hideMark/>
          </w:tcPr>
          <w:p w:rsidR="00BF1AAD" w:rsidRPr="00461564" w:rsidRDefault="00BF1AAD" w:rsidP="005E4754">
            <w:pPr>
              <w:rPr>
                <w:szCs w:val="24"/>
              </w:rPr>
            </w:pPr>
            <w:r w:rsidRPr="00461564">
              <w:rPr>
                <w:szCs w:val="24"/>
                <w:lang w:val="en-US"/>
              </w:rPr>
              <w:t xml:space="preserve">: </w:t>
            </w:r>
            <w:r w:rsidRPr="00461564">
              <w:rPr>
                <w:rFonts w:cs="Times New Roman"/>
                <w:szCs w:val="24"/>
              </w:rPr>
              <w:t>BAYAR, İrem</w:t>
            </w:r>
          </w:p>
        </w:tc>
      </w:tr>
      <w:tr w:rsidR="00BF1AAD" w:rsidRPr="00461564" w:rsidTr="005E4754">
        <w:tc>
          <w:tcPr>
            <w:tcW w:w="3227" w:type="dxa"/>
            <w:hideMark/>
          </w:tcPr>
          <w:p w:rsidR="00BF1AAD" w:rsidRPr="00461564" w:rsidRDefault="00BF1AAD" w:rsidP="005E4754">
            <w:pPr>
              <w:tabs>
                <w:tab w:val="left" w:pos="3261"/>
              </w:tabs>
              <w:rPr>
                <w:szCs w:val="24"/>
                <w:lang w:val="en-US"/>
              </w:rPr>
            </w:pPr>
            <w:r w:rsidRPr="00461564">
              <w:rPr>
                <w:b/>
                <w:szCs w:val="24"/>
                <w:lang w:val="en-US"/>
              </w:rPr>
              <w:t>Uyruk</w:t>
            </w:r>
            <w:r w:rsidRPr="00461564">
              <w:rPr>
                <w:szCs w:val="24"/>
                <w:lang w:val="en-US"/>
              </w:rPr>
              <w:tab/>
              <w:t xml:space="preserve">  .</w:t>
            </w:r>
          </w:p>
        </w:tc>
        <w:tc>
          <w:tcPr>
            <w:tcW w:w="4252" w:type="dxa"/>
            <w:hideMark/>
          </w:tcPr>
          <w:p w:rsidR="00BF1AAD" w:rsidRPr="00461564" w:rsidRDefault="00BF1AAD" w:rsidP="005E4754">
            <w:pPr>
              <w:rPr>
                <w:szCs w:val="24"/>
              </w:rPr>
            </w:pPr>
            <w:r w:rsidRPr="00461564">
              <w:rPr>
                <w:szCs w:val="24"/>
                <w:lang w:val="en-US"/>
              </w:rPr>
              <w:t>: T.C.</w:t>
            </w:r>
          </w:p>
        </w:tc>
      </w:tr>
      <w:tr w:rsidR="00BF1AAD" w:rsidRPr="00461564" w:rsidTr="005E4754">
        <w:tc>
          <w:tcPr>
            <w:tcW w:w="3227" w:type="dxa"/>
            <w:hideMark/>
          </w:tcPr>
          <w:p w:rsidR="00BF1AAD" w:rsidRPr="00461564" w:rsidRDefault="00BF1AAD" w:rsidP="005E4754">
            <w:pPr>
              <w:tabs>
                <w:tab w:val="left" w:pos="3402"/>
              </w:tabs>
              <w:rPr>
                <w:szCs w:val="24"/>
                <w:lang w:val="en-US"/>
              </w:rPr>
            </w:pPr>
            <w:r w:rsidRPr="00461564">
              <w:rPr>
                <w:b/>
                <w:szCs w:val="24"/>
                <w:lang w:val="en-US"/>
              </w:rPr>
              <w:t>Doğum yeri ve tarihi</w:t>
            </w:r>
          </w:p>
        </w:tc>
        <w:tc>
          <w:tcPr>
            <w:tcW w:w="4252" w:type="dxa"/>
            <w:hideMark/>
          </w:tcPr>
          <w:p w:rsidR="00BF1AAD" w:rsidRPr="00461564" w:rsidRDefault="00BF1AAD" w:rsidP="005E4754">
            <w:pPr>
              <w:rPr>
                <w:szCs w:val="24"/>
              </w:rPr>
            </w:pPr>
            <w:r w:rsidRPr="00461564">
              <w:rPr>
                <w:szCs w:val="24"/>
                <w:lang w:val="en-US"/>
              </w:rPr>
              <w:t xml:space="preserve">: </w:t>
            </w:r>
            <w:r w:rsidRPr="00461564">
              <w:rPr>
                <w:rFonts w:cs="Times New Roman"/>
                <w:szCs w:val="24"/>
              </w:rPr>
              <w:t>İzmir / 20.08.1989</w:t>
            </w:r>
          </w:p>
        </w:tc>
      </w:tr>
      <w:tr w:rsidR="00BF1AAD" w:rsidRPr="00461564" w:rsidTr="005E4754">
        <w:tc>
          <w:tcPr>
            <w:tcW w:w="3227" w:type="dxa"/>
            <w:hideMark/>
          </w:tcPr>
          <w:p w:rsidR="00BF1AAD" w:rsidRPr="00461564" w:rsidRDefault="00BF1AAD" w:rsidP="005E4754">
            <w:pPr>
              <w:tabs>
                <w:tab w:val="left" w:pos="3261"/>
                <w:tab w:val="left" w:pos="3402"/>
              </w:tabs>
              <w:rPr>
                <w:szCs w:val="24"/>
                <w:lang w:val="en-US"/>
              </w:rPr>
            </w:pPr>
            <w:r w:rsidRPr="00461564">
              <w:rPr>
                <w:b/>
                <w:szCs w:val="24"/>
                <w:lang w:val="en-US"/>
              </w:rPr>
              <w:t>E-mail</w:t>
            </w:r>
          </w:p>
        </w:tc>
        <w:tc>
          <w:tcPr>
            <w:tcW w:w="4252" w:type="dxa"/>
            <w:hideMark/>
          </w:tcPr>
          <w:p w:rsidR="00BF1AAD" w:rsidRPr="00461564" w:rsidRDefault="00BF1AAD" w:rsidP="00993159">
            <w:pPr>
              <w:rPr>
                <w:szCs w:val="24"/>
              </w:rPr>
            </w:pPr>
            <w:r w:rsidRPr="00461564">
              <w:rPr>
                <w:szCs w:val="24"/>
                <w:lang w:val="en-US"/>
              </w:rPr>
              <w:t xml:space="preserve">: </w:t>
            </w:r>
            <w:r w:rsidRPr="00461564">
              <w:rPr>
                <w:rFonts w:cs="Times New Roman"/>
                <w:szCs w:val="24"/>
              </w:rPr>
              <w:t>irem.b</w:t>
            </w:r>
            <w:r w:rsidR="00993159">
              <w:rPr>
                <w:rFonts w:cs="Times New Roman"/>
                <w:szCs w:val="24"/>
              </w:rPr>
              <w:t>aya</w:t>
            </w:r>
            <w:r w:rsidRPr="00461564">
              <w:rPr>
                <w:rFonts w:cs="Times New Roman"/>
                <w:szCs w:val="24"/>
              </w:rPr>
              <w:t>r@</w:t>
            </w:r>
            <w:r w:rsidR="00993159">
              <w:rPr>
                <w:rFonts w:cs="Times New Roman"/>
                <w:szCs w:val="24"/>
              </w:rPr>
              <w:t>selcuk</w:t>
            </w:r>
            <w:r w:rsidRPr="00461564">
              <w:rPr>
                <w:rFonts w:cs="Times New Roman"/>
                <w:szCs w:val="24"/>
              </w:rPr>
              <w:t>.</w:t>
            </w:r>
            <w:r w:rsidR="00993159">
              <w:rPr>
                <w:rFonts w:cs="Times New Roman"/>
                <w:szCs w:val="24"/>
              </w:rPr>
              <w:t>edu.tr</w:t>
            </w:r>
            <w:r w:rsidRPr="00461564">
              <w:rPr>
                <w:rStyle w:val="Kpr"/>
                <w:rFonts w:cs="Times New Roman"/>
                <w:color w:val="auto"/>
                <w:szCs w:val="24"/>
                <w:u w:val="none"/>
                <w:lang w:val="en-US"/>
              </w:rPr>
              <w:t xml:space="preserve"> </w:t>
            </w:r>
          </w:p>
        </w:tc>
      </w:tr>
      <w:tr w:rsidR="00BF1AAD" w:rsidRPr="00461564" w:rsidTr="005E4754">
        <w:tc>
          <w:tcPr>
            <w:tcW w:w="3227" w:type="dxa"/>
            <w:hideMark/>
          </w:tcPr>
          <w:p w:rsidR="00BF1AAD" w:rsidRPr="00461564" w:rsidRDefault="00BF1AAD" w:rsidP="005E4754">
            <w:pPr>
              <w:rPr>
                <w:szCs w:val="24"/>
              </w:rPr>
            </w:pPr>
            <w:r w:rsidRPr="00461564">
              <w:rPr>
                <w:b/>
                <w:szCs w:val="24"/>
                <w:lang w:val="en-US"/>
              </w:rPr>
              <w:t xml:space="preserve">Yabancı Dil                                       </w:t>
            </w:r>
          </w:p>
        </w:tc>
        <w:tc>
          <w:tcPr>
            <w:tcW w:w="4252" w:type="dxa"/>
            <w:hideMark/>
          </w:tcPr>
          <w:p w:rsidR="00BF1AAD" w:rsidRPr="00461564" w:rsidRDefault="00BF1AAD" w:rsidP="005E4754">
            <w:pPr>
              <w:rPr>
                <w:szCs w:val="24"/>
              </w:rPr>
            </w:pPr>
            <w:r w:rsidRPr="00461564">
              <w:rPr>
                <w:szCs w:val="24"/>
                <w:lang w:val="en-US"/>
              </w:rPr>
              <w:t xml:space="preserve">: İngilizce </w:t>
            </w:r>
          </w:p>
        </w:tc>
      </w:tr>
    </w:tbl>
    <w:p w:rsidR="0081054F" w:rsidRDefault="0081054F" w:rsidP="0081054F">
      <w:pPr>
        <w:autoSpaceDE w:val="0"/>
        <w:autoSpaceDN w:val="0"/>
        <w:adjustRightInd w:val="0"/>
        <w:ind w:firstLine="0"/>
        <w:jc w:val="center"/>
        <w:rPr>
          <w:rFonts w:cs="Times New Roman"/>
          <w:b/>
          <w:bCs/>
          <w:sz w:val="28"/>
          <w:szCs w:val="28"/>
        </w:rPr>
      </w:pPr>
    </w:p>
    <w:p w:rsidR="00AD1270" w:rsidRPr="0035197B" w:rsidRDefault="00AD1270" w:rsidP="00AD1270">
      <w:pPr>
        <w:tabs>
          <w:tab w:val="left" w:pos="3360"/>
        </w:tabs>
        <w:rPr>
          <w:rFonts w:eastAsia="Times New Roman" w:cs="Times New Roman"/>
          <w:szCs w:val="24"/>
        </w:rPr>
      </w:pPr>
      <w:r w:rsidRPr="0035197B">
        <w:rPr>
          <w:rFonts w:eastAsia="Times New Roman" w:cs="Times New Roman"/>
          <w:b/>
          <w:szCs w:val="24"/>
        </w:rPr>
        <w:t>EĞİTİM</w:t>
      </w:r>
    </w:p>
    <w:p w:rsidR="00AD1270" w:rsidRPr="0035197B" w:rsidRDefault="00AD1270" w:rsidP="00AD1270">
      <w:pPr>
        <w:tabs>
          <w:tab w:val="left" w:pos="3360"/>
        </w:tabs>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AD1270" w:rsidRPr="0035197B" w:rsidTr="005E4754">
        <w:trPr>
          <w:trHeight w:val="512"/>
          <w:jc w:val="center"/>
        </w:trPr>
        <w:tc>
          <w:tcPr>
            <w:tcW w:w="1430" w:type="dxa"/>
            <w:tcBorders>
              <w:top w:val="single" w:sz="4" w:space="0" w:color="auto"/>
              <w:bottom w:val="single" w:sz="4" w:space="0" w:color="auto"/>
            </w:tcBorders>
          </w:tcPr>
          <w:p w:rsidR="00AD1270" w:rsidRPr="0035197B" w:rsidRDefault="00AD1270" w:rsidP="005E4754">
            <w:pPr>
              <w:tabs>
                <w:tab w:val="left" w:pos="3360"/>
              </w:tabs>
              <w:ind w:firstLine="0"/>
              <w:rPr>
                <w:rFonts w:eastAsia="Times New Roman" w:cs="Times New Roman"/>
                <w:b/>
                <w:szCs w:val="24"/>
              </w:rPr>
            </w:pPr>
            <w:r w:rsidRPr="0035197B">
              <w:rPr>
                <w:rFonts w:eastAsia="Times New Roman" w:cs="Times New Roman"/>
                <w:b/>
                <w:szCs w:val="24"/>
              </w:rPr>
              <w:t>Derece</w:t>
            </w:r>
          </w:p>
        </w:tc>
        <w:tc>
          <w:tcPr>
            <w:tcW w:w="4511" w:type="dxa"/>
            <w:tcBorders>
              <w:top w:val="single" w:sz="4" w:space="0" w:color="auto"/>
              <w:bottom w:val="single" w:sz="4" w:space="0" w:color="auto"/>
            </w:tcBorders>
          </w:tcPr>
          <w:p w:rsidR="00AD1270" w:rsidRPr="0035197B" w:rsidRDefault="00AD1270" w:rsidP="005E4754">
            <w:pPr>
              <w:tabs>
                <w:tab w:val="left" w:pos="3360"/>
              </w:tabs>
              <w:jc w:val="center"/>
              <w:rPr>
                <w:rFonts w:eastAsia="Times New Roman" w:cs="Times New Roman"/>
                <w:b/>
                <w:szCs w:val="24"/>
              </w:rPr>
            </w:pPr>
            <w:r w:rsidRPr="0035197B">
              <w:rPr>
                <w:rFonts w:eastAsia="Times New Roman" w:cs="Times New Roman"/>
                <w:b/>
                <w:szCs w:val="24"/>
              </w:rPr>
              <w:t>Kurum</w:t>
            </w:r>
          </w:p>
        </w:tc>
        <w:tc>
          <w:tcPr>
            <w:tcW w:w="2826" w:type="dxa"/>
            <w:tcBorders>
              <w:top w:val="single" w:sz="4" w:space="0" w:color="auto"/>
              <w:bottom w:val="single" w:sz="4" w:space="0" w:color="auto"/>
            </w:tcBorders>
          </w:tcPr>
          <w:p w:rsidR="00AD1270" w:rsidRPr="0035197B" w:rsidRDefault="00AD1270" w:rsidP="005E4754">
            <w:pPr>
              <w:tabs>
                <w:tab w:val="left" w:pos="3360"/>
              </w:tabs>
              <w:ind w:firstLine="0"/>
              <w:jc w:val="center"/>
              <w:rPr>
                <w:rFonts w:eastAsia="Times New Roman" w:cs="Times New Roman"/>
                <w:b/>
                <w:szCs w:val="24"/>
              </w:rPr>
            </w:pPr>
            <w:r w:rsidRPr="0035197B">
              <w:rPr>
                <w:rFonts w:eastAsia="Times New Roman" w:cs="Times New Roman"/>
                <w:b/>
                <w:szCs w:val="24"/>
              </w:rPr>
              <w:t>Mezuniyet tarihi</w:t>
            </w:r>
          </w:p>
        </w:tc>
      </w:tr>
      <w:tr w:rsidR="00AD1270" w:rsidRPr="0035197B" w:rsidTr="005E4754">
        <w:trPr>
          <w:trHeight w:val="498"/>
          <w:jc w:val="center"/>
        </w:trPr>
        <w:tc>
          <w:tcPr>
            <w:tcW w:w="1430" w:type="dxa"/>
            <w:tcBorders>
              <w:top w:val="single" w:sz="4" w:space="0" w:color="auto"/>
            </w:tcBorders>
            <w:vAlign w:val="center"/>
          </w:tcPr>
          <w:p w:rsidR="00AD1270" w:rsidRPr="0035197B" w:rsidRDefault="00AD1270" w:rsidP="005E4754">
            <w:pPr>
              <w:tabs>
                <w:tab w:val="left" w:pos="3360"/>
              </w:tabs>
              <w:ind w:firstLine="0"/>
              <w:rPr>
                <w:rFonts w:eastAsia="Times New Roman" w:cs="Times New Roman"/>
                <w:szCs w:val="24"/>
              </w:rPr>
            </w:pPr>
            <w:r w:rsidRPr="0035197B">
              <w:rPr>
                <w:rFonts w:eastAsia="Times New Roman" w:cs="Times New Roman"/>
                <w:szCs w:val="24"/>
              </w:rPr>
              <w:t>Doktora</w:t>
            </w:r>
          </w:p>
        </w:tc>
        <w:tc>
          <w:tcPr>
            <w:tcW w:w="4511" w:type="dxa"/>
            <w:tcBorders>
              <w:top w:val="single" w:sz="4" w:space="0" w:color="auto"/>
            </w:tcBorders>
            <w:vAlign w:val="center"/>
          </w:tcPr>
          <w:p w:rsidR="00AD1270" w:rsidRPr="0035197B" w:rsidRDefault="00AD1270" w:rsidP="005E4754">
            <w:pPr>
              <w:tabs>
                <w:tab w:val="left" w:pos="3360"/>
              </w:tabs>
              <w:jc w:val="center"/>
              <w:rPr>
                <w:rFonts w:eastAsia="Times New Roman" w:cs="Times New Roman"/>
                <w:szCs w:val="24"/>
              </w:rPr>
            </w:pPr>
            <w:r>
              <w:rPr>
                <w:rFonts w:eastAsia="Times New Roman" w:cs="Times New Roman"/>
                <w:szCs w:val="24"/>
              </w:rPr>
              <w:t>Adnan Menderes Üniversitesi</w:t>
            </w:r>
          </w:p>
        </w:tc>
        <w:tc>
          <w:tcPr>
            <w:tcW w:w="2826" w:type="dxa"/>
            <w:tcBorders>
              <w:top w:val="single" w:sz="4" w:space="0" w:color="auto"/>
            </w:tcBorders>
            <w:vAlign w:val="center"/>
          </w:tcPr>
          <w:p w:rsidR="00AD1270" w:rsidRPr="0035197B" w:rsidRDefault="00AD1270" w:rsidP="005E4754">
            <w:pPr>
              <w:tabs>
                <w:tab w:val="left" w:pos="3360"/>
              </w:tabs>
              <w:ind w:right="-564"/>
              <w:jc w:val="center"/>
              <w:rPr>
                <w:rFonts w:eastAsia="Times New Roman" w:cs="Times New Roman"/>
                <w:szCs w:val="24"/>
              </w:rPr>
            </w:pPr>
          </w:p>
        </w:tc>
      </w:tr>
      <w:tr w:rsidR="00AD1270" w:rsidRPr="0035197B" w:rsidTr="005E4754">
        <w:trPr>
          <w:trHeight w:val="512"/>
          <w:jc w:val="center"/>
        </w:trPr>
        <w:tc>
          <w:tcPr>
            <w:tcW w:w="1430" w:type="dxa"/>
            <w:vAlign w:val="center"/>
          </w:tcPr>
          <w:p w:rsidR="00AD1270" w:rsidRPr="0035197B" w:rsidRDefault="00AD1270" w:rsidP="005E4754">
            <w:pPr>
              <w:tabs>
                <w:tab w:val="left" w:pos="3360"/>
              </w:tabs>
              <w:ind w:firstLine="0"/>
              <w:rPr>
                <w:rFonts w:eastAsia="Times New Roman" w:cs="Times New Roman"/>
                <w:szCs w:val="24"/>
              </w:rPr>
            </w:pPr>
            <w:r w:rsidRPr="0035197B">
              <w:rPr>
                <w:rFonts w:eastAsia="Times New Roman" w:cs="Times New Roman"/>
                <w:szCs w:val="24"/>
              </w:rPr>
              <w:t>Y. Lisans</w:t>
            </w:r>
          </w:p>
        </w:tc>
        <w:tc>
          <w:tcPr>
            <w:tcW w:w="4511" w:type="dxa"/>
            <w:vAlign w:val="center"/>
          </w:tcPr>
          <w:p w:rsidR="00AD1270" w:rsidRPr="00C62E9B" w:rsidRDefault="00AD1270" w:rsidP="005E4754">
            <w:pPr>
              <w:tabs>
                <w:tab w:val="left" w:pos="3360"/>
              </w:tabs>
              <w:jc w:val="center"/>
              <w:rPr>
                <w:rFonts w:eastAsia="Times New Roman" w:cs="Times New Roman"/>
                <w:szCs w:val="24"/>
              </w:rPr>
            </w:pPr>
            <w:r w:rsidRPr="00C62E9B">
              <w:rPr>
                <w:rFonts w:cs="Times New Roman"/>
                <w:color w:val="000000"/>
                <w:szCs w:val="24"/>
              </w:rPr>
              <w:t>Dokuz Eylül Üniversitesi</w:t>
            </w:r>
          </w:p>
        </w:tc>
        <w:tc>
          <w:tcPr>
            <w:tcW w:w="2826" w:type="dxa"/>
            <w:vAlign w:val="center"/>
          </w:tcPr>
          <w:p w:rsidR="00AD1270" w:rsidRPr="0035197B" w:rsidRDefault="00AD1270" w:rsidP="005E4754">
            <w:pPr>
              <w:tabs>
                <w:tab w:val="left" w:pos="3360"/>
              </w:tabs>
              <w:jc w:val="center"/>
              <w:rPr>
                <w:rFonts w:eastAsia="Times New Roman" w:cs="Times New Roman"/>
                <w:szCs w:val="24"/>
              </w:rPr>
            </w:pPr>
            <w:r>
              <w:rPr>
                <w:rFonts w:eastAsia="Times New Roman" w:cs="Times New Roman"/>
                <w:szCs w:val="24"/>
              </w:rPr>
              <w:t>2014</w:t>
            </w:r>
          </w:p>
        </w:tc>
      </w:tr>
      <w:tr w:rsidR="00AD1270" w:rsidRPr="0035197B" w:rsidTr="005E4754">
        <w:trPr>
          <w:trHeight w:val="526"/>
          <w:jc w:val="center"/>
        </w:trPr>
        <w:tc>
          <w:tcPr>
            <w:tcW w:w="1430" w:type="dxa"/>
            <w:tcBorders>
              <w:bottom w:val="single" w:sz="4" w:space="0" w:color="auto"/>
            </w:tcBorders>
            <w:vAlign w:val="center"/>
          </w:tcPr>
          <w:p w:rsidR="00AD1270" w:rsidRPr="0035197B" w:rsidRDefault="00AD1270" w:rsidP="005E4754">
            <w:pPr>
              <w:tabs>
                <w:tab w:val="left" w:pos="3360"/>
              </w:tabs>
              <w:ind w:firstLine="0"/>
              <w:rPr>
                <w:rFonts w:eastAsia="Times New Roman" w:cs="Times New Roman"/>
                <w:szCs w:val="24"/>
              </w:rPr>
            </w:pPr>
            <w:r w:rsidRPr="0035197B">
              <w:rPr>
                <w:rFonts w:eastAsia="Times New Roman" w:cs="Times New Roman"/>
                <w:szCs w:val="24"/>
              </w:rPr>
              <w:t>Lisans</w:t>
            </w:r>
          </w:p>
        </w:tc>
        <w:tc>
          <w:tcPr>
            <w:tcW w:w="4511" w:type="dxa"/>
            <w:tcBorders>
              <w:bottom w:val="single" w:sz="4" w:space="0" w:color="auto"/>
            </w:tcBorders>
            <w:vAlign w:val="center"/>
          </w:tcPr>
          <w:p w:rsidR="00AD1270" w:rsidRPr="00C62E9B" w:rsidRDefault="00AD1270" w:rsidP="005E4754">
            <w:pPr>
              <w:tabs>
                <w:tab w:val="left" w:pos="3360"/>
              </w:tabs>
              <w:jc w:val="center"/>
              <w:rPr>
                <w:rFonts w:eastAsia="Times New Roman" w:cs="Times New Roman"/>
                <w:szCs w:val="24"/>
              </w:rPr>
            </w:pPr>
            <w:r w:rsidRPr="00C62E9B">
              <w:rPr>
                <w:rFonts w:cs="Times New Roman"/>
                <w:color w:val="000000"/>
                <w:szCs w:val="24"/>
              </w:rPr>
              <w:t>Pamukkale Üniversitesi</w:t>
            </w:r>
          </w:p>
        </w:tc>
        <w:tc>
          <w:tcPr>
            <w:tcW w:w="2826" w:type="dxa"/>
            <w:tcBorders>
              <w:bottom w:val="single" w:sz="4" w:space="0" w:color="auto"/>
            </w:tcBorders>
            <w:vAlign w:val="center"/>
          </w:tcPr>
          <w:p w:rsidR="00AD1270" w:rsidRPr="0035197B" w:rsidRDefault="00AD1270" w:rsidP="005E4754">
            <w:pPr>
              <w:tabs>
                <w:tab w:val="left" w:pos="3360"/>
              </w:tabs>
              <w:jc w:val="center"/>
              <w:rPr>
                <w:rFonts w:eastAsia="Times New Roman" w:cs="Times New Roman"/>
                <w:szCs w:val="24"/>
              </w:rPr>
            </w:pPr>
            <w:r>
              <w:rPr>
                <w:rFonts w:eastAsia="Times New Roman" w:cs="Times New Roman"/>
                <w:szCs w:val="24"/>
              </w:rPr>
              <w:t>2011</w:t>
            </w:r>
          </w:p>
        </w:tc>
      </w:tr>
    </w:tbl>
    <w:p w:rsidR="00AD1270" w:rsidRPr="0035197B" w:rsidRDefault="00AD1270" w:rsidP="00AD1270">
      <w:pPr>
        <w:tabs>
          <w:tab w:val="left" w:pos="3360"/>
        </w:tabs>
        <w:rPr>
          <w:rFonts w:eastAsia="Times New Roman" w:cs="Times New Roman"/>
          <w:szCs w:val="24"/>
        </w:rPr>
      </w:pPr>
    </w:p>
    <w:p w:rsidR="00AD1270" w:rsidRPr="0035197B" w:rsidRDefault="00AD1270" w:rsidP="00AD1270">
      <w:pPr>
        <w:tabs>
          <w:tab w:val="left" w:pos="3360"/>
        </w:tabs>
        <w:rPr>
          <w:rFonts w:eastAsia="Times New Roman" w:cs="Times New Roman"/>
          <w:b/>
          <w:szCs w:val="24"/>
        </w:rPr>
      </w:pPr>
      <w:r w:rsidRPr="0035197B">
        <w:rPr>
          <w:rFonts w:eastAsia="Times New Roman" w:cs="Times New Roman"/>
          <w:b/>
          <w:szCs w:val="24"/>
        </w:rPr>
        <w:t>BURSLAR ve ÖDÜLLER</w:t>
      </w:r>
    </w:p>
    <w:p w:rsidR="00AD1270" w:rsidRPr="0035197B" w:rsidRDefault="00AD1270" w:rsidP="00AD1270">
      <w:pPr>
        <w:tabs>
          <w:tab w:val="left" w:pos="3360"/>
        </w:tabs>
        <w:rPr>
          <w:rFonts w:eastAsia="Times New Roman" w:cs="Times New Roman"/>
          <w:szCs w:val="24"/>
        </w:rPr>
      </w:pPr>
    </w:p>
    <w:p w:rsidR="00AD1270" w:rsidRDefault="00AD1270" w:rsidP="00AD1270">
      <w:pPr>
        <w:tabs>
          <w:tab w:val="left" w:pos="3360"/>
        </w:tabs>
        <w:rPr>
          <w:rFonts w:cs="Times New Roman"/>
          <w:color w:val="000000"/>
          <w:sz w:val="23"/>
          <w:szCs w:val="23"/>
        </w:rPr>
      </w:pPr>
      <w:r>
        <w:rPr>
          <w:rFonts w:cs="Times New Roman"/>
          <w:color w:val="000000"/>
          <w:sz w:val="23"/>
          <w:szCs w:val="23"/>
        </w:rPr>
        <w:t>Tübitak 1001 Projesi Bursiyer (</w:t>
      </w:r>
      <w:r w:rsidR="0084776A" w:rsidRPr="0084776A">
        <w:rPr>
          <w:rFonts w:cs="Times New Roman"/>
          <w:color w:val="000000"/>
          <w:sz w:val="23"/>
          <w:szCs w:val="23"/>
        </w:rPr>
        <w:t>01/11/2011-01/02/2014</w:t>
      </w:r>
      <w:r>
        <w:rPr>
          <w:rFonts w:cs="Times New Roman"/>
          <w:color w:val="000000"/>
          <w:sz w:val="23"/>
          <w:szCs w:val="23"/>
        </w:rPr>
        <w:t>)</w:t>
      </w:r>
    </w:p>
    <w:p w:rsidR="00AD1270" w:rsidRDefault="00AD1270" w:rsidP="00AD1270">
      <w:pPr>
        <w:tabs>
          <w:tab w:val="left" w:pos="3360"/>
        </w:tabs>
        <w:rPr>
          <w:rFonts w:cs="Times New Roman"/>
          <w:color w:val="000000"/>
          <w:sz w:val="23"/>
          <w:szCs w:val="23"/>
        </w:rPr>
      </w:pPr>
      <w:r>
        <w:rPr>
          <w:rFonts w:cs="Times New Roman"/>
          <w:color w:val="000000"/>
          <w:sz w:val="23"/>
          <w:szCs w:val="23"/>
        </w:rPr>
        <w:t>Tübitak 1002 Projesi Bursiyer (</w:t>
      </w:r>
      <w:r w:rsidR="0084776A" w:rsidRPr="0084776A">
        <w:rPr>
          <w:rFonts w:cs="Times New Roman"/>
          <w:color w:val="000000"/>
          <w:sz w:val="23"/>
          <w:szCs w:val="23"/>
        </w:rPr>
        <w:t>15/04/2018-15/04/2019</w:t>
      </w:r>
      <w:r>
        <w:rPr>
          <w:rFonts w:cs="Times New Roman"/>
          <w:color w:val="000000"/>
          <w:sz w:val="23"/>
          <w:szCs w:val="23"/>
        </w:rPr>
        <w:t>)</w:t>
      </w:r>
    </w:p>
    <w:p w:rsidR="00AD1270" w:rsidRPr="0035197B" w:rsidRDefault="00AD1270" w:rsidP="00AD1270">
      <w:pPr>
        <w:tabs>
          <w:tab w:val="left" w:pos="3360"/>
        </w:tabs>
        <w:rPr>
          <w:rFonts w:eastAsia="Times New Roman" w:cs="Times New Roman"/>
          <w:szCs w:val="24"/>
        </w:rPr>
      </w:pPr>
    </w:p>
    <w:p w:rsidR="00A70837" w:rsidRPr="0035197B" w:rsidRDefault="00A70837" w:rsidP="00A70837">
      <w:pPr>
        <w:tabs>
          <w:tab w:val="left" w:pos="3360"/>
        </w:tabs>
        <w:rPr>
          <w:rFonts w:eastAsia="Times New Roman" w:cs="Times New Roman"/>
          <w:b/>
          <w:szCs w:val="24"/>
        </w:rPr>
      </w:pPr>
      <w:r w:rsidRPr="0035197B">
        <w:rPr>
          <w:rFonts w:eastAsia="Times New Roman" w:cs="Times New Roman"/>
          <w:b/>
          <w:szCs w:val="24"/>
        </w:rPr>
        <w:t>İŞ DENEYİMİ</w:t>
      </w:r>
    </w:p>
    <w:p w:rsidR="00A70837" w:rsidRPr="0035197B" w:rsidRDefault="00A70837" w:rsidP="00A70837">
      <w:pPr>
        <w:tabs>
          <w:tab w:val="left" w:pos="3360"/>
        </w:tabs>
        <w:rPr>
          <w:rFonts w:eastAsia="Times New Roman" w:cs="Times New Roman"/>
          <w:b/>
          <w:szCs w:val="24"/>
        </w:rPr>
      </w:pPr>
    </w:p>
    <w:tbl>
      <w:tblPr>
        <w:tblW w:w="9044" w:type="dxa"/>
        <w:jc w:val="center"/>
        <w:tblBorders>
          <w:top w:val="single" w:sz="4" w:space="0" w:color="auto"/>
          <w:bottom w:val="single" w:sz="4" w:space="0" w:color="auto"/>
        </w:tblBorders>
        <w:tblLook w:val="04A0" w:firstRow="1" w:lastRow="0" w:firstColumn="1" w:lastColumn="0" w:noHBand="0" w:noVBand="1"/>
      </w:tblPr>
      <w:tblGrid>
        <w:gridCol w:w="2898"/>
        <w:gridCol w:w="3841"/>
        <w:gridCol w:w="2305"/>
      </w:tblGrid>
      <w:tr w:rsidR="00A70837" w:rsidRPr="0035197B" w:rsidTr="0087737D">
        <w:trPr>
          <w:trHeight w:val="435"/>
          <w:jc w:val="center"/>
        </w:trPr>
        <w:tc>
          <w:tcPr>
            <w:tcW w:w="2898" w:type="dxa"/>
            <w:tcBorders>
              <w:bottom w:val="single" w:sz="4" w:space="0" w:color="auto"/>
            </w:tcBorders>
          </w:tcPr>
          <w:p w:rsidR="00A70837" w:rsidRPr="0035197B" w:rsidRDefault="00A70837" w:rsidP="005E4754">
            <w:pPr>
              <w:tabs>
                <w:tab w:val="left" w:pos="3360"/>
              </w:tabs>
              <w:jc w:val="center"/>
              <w:rPr>
                <w:rFonts w:eastAsia="Times New Roman" w:cs="Times New Roman"/>
                <w:b/>
                <w:szCs w:val="24"/>
              </w:rPr>
            </w:pPr>
            <w:r w:rsidRPr="0035197B">
              <w:rPr>
                <w:rFonts w:eastAsia="Times New Roman" w:cs="Times New Roman"/>
                <w:b/>
                <w:szCs w:val="24"/>
              </w:rPr>
              <w:t>Yıl</w:t>
            </w:r>
          </w:p>
        </w:tc>
        <w:tc>
          <w:tcPr>
            <w:tcW w:w="3841" w:type="dxa"/>
            <w:tcBorders>
              <w:bottom w:val="single" w:sz="4" w:space="0" w:color="auto"/>
            </w:tcBorders>
          </w:tcPr>
          <w:p w:rsidR="00A70837" w:rsidRPr="0035197B" w:rsidRDefault="00A70837" w:rsidP="005E4754">
            <w:pPr>
              <w:tabs>
                <w:tab w:val="left" w:pos="3360"/>
              </w:tabs>
              <w:jc w:val="center"/>
              <w:rPr>
                <w:rFonts w:eastAsia="Times New Roman" w:cs="Times New Roman"/>
                <w:b/>
                <w:szCs w:val="24"/>
              </w:rPr>
            </w:pPr>
            <w:r w:rsidRPr="0035197B">
              <w:rPr>
                <w:rFonts w:eastAsia="Times New Roman" w:cs="Times New Roman"/>
                <w:b/>
                <w:szCs w:val="24"/>
              </w:rPr>
              <w:t>Yer/Kurum</w:t>
            </w:r>
          </w:p>
        </w:tc>
        <w:tc>
          <w:tcPr>
            <w:tcW w:w="2305" w:type="dxa"/>
            <w:tcBorders>
              <w:bottom w:val="single" w:sz="4" w:space="0" w:color="auto"/>
            </w:tcBorders>
          </w:tcPr>
          <w:p w:rsidR="00A70837" w:rsidRPr="0035197B" w:rsidRDefault="00A70837" w:rsidP="005E4754">
            <w:pPr>
              <w:tabs>
                <w:tab w:val="left" w:pos="3360"/>
              </w:tabs>
              <w:jc w:val="center"/>
              <w:rPr>
                <w:rFonts w:eastAsia="Times New Roman" w:cs="Times New Roman"/>
                <w:b/>
                <w:szCs w:val="24"/>
              </w:rPr>
            </w:pPr>
            <w:r w:rsidRPr="0035197B">
              <w:rPr>
                <w:rFonts w:eastAsia="Times New Roman" w:cs="Times New Roman"/>
                <w:b/>
                <w:szCs w:val="24"/>
              </w:rPr>
              <w:t>Ünvan</w:t>
            </w:r>
          </w:p>
        </w:tc>
      </w:tr>
      <w:tr w:rsidR="00A70837" w:rsidRPr="0084776A" w:rsidTr="0087737D">
        <w:trPr>
          <w:trHeight w:val="408"/>
          <w:jc w:val="center"/>
        </w:trPr>
        <w:tc>
          <w:tcPr>
            <w:tcW w:w="2898" w:type="dxa"/>
            <w:tcBorders>
              <w:top w:val="single" w:sz="4" w:space="0" w:color="auto"/>
              <w:bottom w:val="single" w:sz="4" w:space="0" w:color="auto"/>
            </w:tcBorders>
          </w:tcPr>
          <w:p w:rsidR="0084776A" w:rsidRDefault="0084776A" w:rsidP="005E4754">
            <w:pPr>
              <w:tabs>
                <w:tab w:val="left" w:pos="3360"/>
              </w:tabs>
              <w:jc w:val="center"/>
              <w:rPr>
                <w:rFonts w:cs="Times New Roman"/>
                <w:szCs w:val="24"/>
              </w:rPr>
            </w:pPr>
            <w:r w:rsidRPr="0084776A">
              <w:rPr>
                <w:rFonts w:cs="Times New Roman"/>
                <w:sz w:val="22"/>
                <w:szCs w:val="24"/>
              </w:rPr>
              <w:t>2019- Devam ediyor</w:t>
            </w:r>
          </w:p>
          <w:p w:rsidR="0084776A" w:rsidRDefault="0084776A" w:rsidP="005E4754">
            <w:pPr>
              <w:tabs>
                <w:tab w:val="left" w:pos="3360"/>
              </w:tabs>
              <w:jc w:val="center"/>
              <w:rPr>
                <w:rFonts w:cs="Times New Roman"/>
                <w:szCs w:val="24"/>
              </w:rPr>
            </w:pPr>
          </w:p>
          <w:p w:rsidR="00A70837" w:rsidRPr="0084776A" w:rsidRDefault="0087737D" w:rsidP="0087737D">
            <w:pPr>
              <w:tabs>
                <w:tab w:val="left" w:pos="3360"/>
              </w:tabs>
              <w:rPr>
                <w:rFonts w:eastAsia="Times New Roman" w:cs="Times New Roman"/>
                <w:szCs w:val="24"/>
              </w:rPr>
            </w:pPr>
            <w:r>
              <w:rPr>
                <w:rFonts w:cs="Times New Roman"/>
                <w:sz w:val="22"/>
                <w:szCs w:val="24"/>
              </w:rPr>
              <w:t>15.09.2014-</w:t>
            </w:r>
            <w:r w:rsidR="0084776A">
              <w:rPr>
                <w:rFonts w:cs="Times New Roman"/>
                <w:sz w:val="22"/>
                <w:szCs w:val="24"/>
              </w:rPr>
              <w:t>15.09.2017</w:t>
            </w:r>
          </w:p>
        </w:tc>
        <w:tc>
          <w:tcPr>
            <w:tcW w:w="3841" w:type="dxa"/>
            <w:tcBorders>
              <w:top w:val="single" w:sz="4" w:space="0" w:color="auto"/>
              <w:bottom w:val="single" w:sz="4" w:space="0" w:color="auto"/>
            </w:tcBorders>
          </w:tcPr>
          <w:p w:rsidR="00A70837" w:rsidRPr="0084776A" w:rsidRDefault="00A70837" w:rsidP="005E4754">
            <w:pPr>
              <w:tabs>
                <w:tab w:val="left" w:pos="3360"/>
              </w:tabs>
              <w:jc w:val="center"/>
              <w:rPr>
                <w:rFonts w:cs="Times New Roman"/>
                <w:szCs w:val="24"/>
              </w:rPr>
            </w:pPr>
            <w:r w:rsidRPr="0084776A">
              <w:rPr>
                <w:rFonts w:cs="Times New Roman"/>
                <w:sz w:val="22"/>
                <w:szCs w:val="24"/>
              </w:rPr>
              <w:t xml:space="preserve">Selçuk Üniversitesi Veteriner </w:t>
            </w:r>
          </w:p>
          <w:p w:rsidR="00A70837" w:rsidRPr="0084776A" w:rsidRDefault="00A70837" w:rsidP="005E4754">
            <w:pPr>
              <w:tabs>
                <w:tab w:val="left" w:pos="3360"/>
              </w:tabs>
              <w:jc w:val="center"/>
              <w:rPr>
                <w:rFonts w:cs="Times New Roman"/>
                <w:szCs w:val="24"/>
              </w:rPr>
            </w:pPr>
            <w:r w:rsidRPr="0084776A">
              <w:rPr>
                <w:rFonts w:cs="Times New Roman"/>
                <w:sz w:val="22"/>
                <w:szCs w:val="24"/>
              </w:rPr>
              <w:t>Fakültesi Biyokimya ABD</w:t>
            </w:r>
          </w:p>
          <w:p w:rsidR="0084776A" w:rsidRPr="0084776A" w:rsidRDefault="0084776A" w:rsidP="0084776A">
            <w:pPr>
              <w:tabs>
                <w:tab w:val="left" w:pos="3360"/>
              </w:tabs>
              <w:jc w:val="center"/>
              <w:rPr>
                <w:rFonts w:eastAsia="Times New Roman" w:cs="Times New Roman"/>
                <w:szCs w:val="24"/>
              </w:rPr>
            </w:pPr>
            <w:r w:rsidRPr="0084776A">
              <w:rPr>
                <w:rFonts w:eastAsia="Times New Roman" w:cs="Times New Roman"/>
                <w:sz w:val="22"/>
                <w:szCs w:val="24"/>
              </w:rPr>
              <w:t xml:space="preserve">Saranel Koleji                           </w:t>
            </w:r>
          </w:p>
        </w:tc>
        <w:tc>
          <w:tcPr>
            <w:tcW w:w="2305" w:type="dxa"/>
            <w:tcBorders>
              <w:top w:val="single" w:sz="4" w:space="0" w:color="auto"/>
              <w:bottom w:val="single" w:sz="4" w:space="0" w:color="auto"/>
            </w:tcBorders>
          </w:tcPr>
          <w:p w:rsidR="0084776A" w:rsidRPr="0084776A" w:rsidRDefault="0084776A" w:rsidP="005E4754">
            <w:pPr>
              <w:tabs>
                <w:tab w:val="left" w:pos="3360"/>
              </w:tabs>
              <w:jc w:val="center"/>
              <w:rPr>
                <w:rFonts w:ascii="Arial" w:hAnsi="Arial" w:cs="Arial"/>
                <w:color w:val="4D5156"/>
                <w:szCs w:val="21"/>
                <w:shd w:val="clear" w:color="auto" w:fill="FFFFFF"/>
              </w:rPr>
            </w:pPr>
            <w:r w:rsidRPr="0084776A">
              <w:rPr>
                <w:rFonts w:cs="Times New Roman"/>
                <w:sz w:val="22"/>
                <w:szCs w:val="24"/>
              </w:rPr>
              <w:t>Öğr.Gör.</w:t>
            </w:r>
            <w:r w:rsidR="00A70837" w:rsidRPr="0084776A">
              <w:rPr>
                <w:rFonts w:ascii="Arial" w:hAnsi="Arial" w:cs="Arial"/>
                <w:color w:val="4D5156"/>
                <w:sz w:val="22"/>
                <w:szCs w:val="21"/>
                <w:shd w:val="clear" w:color="auto" w:fill="FFFFFF"/>
              </w:rPr>
              <w:t xml:space="preserve"> </w:t>
            </w:r>
          </w:p>
          <w:p w:rsidR="0084776A" w:rsidRPr="0084776A" w:rsidRDefault="0084776A" w:rsidP="005E4754">
            <w:pPr>
              <w:tabs>
                <w:tab w:val="left" w:pos="3360"/>
              </w:tabs>
              <w:jc w:val="center"/>
              <w:rPr>
                <w:rFonts w:ascii="Arial" w:hAnsi="Arial" w:cs="Arial"/>
                <w:color w:val="4D5156"/>
                <w:szCs w:val="21"/>
                <w:shd w:val="clear" w:color="auto" w:fill="FFFFFF"/>
              </w:rPr>
            </w:pPr>
          </w:p>
          <w:p w:rsidR="00A70837" w:rsidRPr="0084776A" w:rsidRDefault="0084776A" w:rsidP="005E4754">
            <w:pPr>
              <w:tabs>
                <w:tab w:val="left" w:pos="3360"/>
              </w:tabs>
              <w:jc w:val="center"/>
              <w:rPr>
                <w:rFonts w:eastAsia="Times New Roman" w:cs="Times New Roman"/>
                <w:szCs w:val="24"/>
              </w:rPr>
            </w:pPr>
            <w:r>
              <w:rPr>
                <w:rFonts w:eastAsia="Times New Roman" w:cs="Times New Roman"/>
                <w:sz w:val="22"/>
                <w:szCs w:val="24"/>
              </w:rPr>
              <w:t>Kimya Öğr.</w:t>
            </w:r>
          </w:p>
        </w:tc>
      </w:tr>
    </w:tbl>
    <w:p w:rsidR="00A70837" w:rsidRDefault="00A70837" w:rsidP="00A70837">
      <w:pPr>
        <w:pStyle w:val="Balk1"/>
        <w:ind w:firstLine="0"/>
        <w:rPr>
          <w:rFonts w:cs="Times New Roman"/>
          <w:b w:val="0"/>
          <w:bCs w:val="0"/>
          <w:sz w:val="24"/>
          <w:szCs w:val="24"/>
        </w:rPr>
      </w:pPr>
    </w:p>
    <w:p w:rsidR="00A70837" w:rsidRDefault="00A70837" w:rsidP="00A70837"/>
    <w:p w:rsidR="00A70837" w:rsidRDefault="00A70837" w:rsidP="00A70837"/>
    <w:p w:rsidR="00626110" w:rsidRDefault="00626110" w:rsidP="00A70837"/>
    <w:p w:rsidR="00A70837" w:rsidRDefault="00A70837" w:rsidP="00A70837"/>
    <w:p w:rsidR="00A70837" w:rsidRPr="00A70837" w:rsidRDefault="00A70837" w:rsidP="00A70837"/>
    <w:p w:rsidR="00A70837" w:rsidRPr="0035197B" w:rsidRDefault="00A70837" w:rsidP="00A70837">
      <w:pPr>
        <w:tabs>
          <w:tab w:val="left" w:pos="2620"/>
          <w:tab w:val="left" w:pos="3540"/>
        </w:tabs>
        <w:rPr>
          <w:rFonts w:eastAsia="Times New Roman" w:cs="Times New Roman"/>
          <w:b/>
          <w:szCs w:val="24"/>
        </w:rPr>
      </w:pPr>
      <w:r w:rsidRPr="0035197B">
        <w:rPr>
          <w:rFonts w:eastAsia="Times New Roman" w:cs="Times New Roman"/>
          <w:b/>
          <w:szCs w:val="24"/>
        </w:rPr>
        <w:t>AKADEMİK YAYINLAR</w:t>
      </w:r>
    </w:p>
    <w:p w:rsidR="00A70837" w:rsidRPr="0035197B" w:rsidRDefault="00A70837" w:rsidP="00A70837">
      <w:pPr>
        <w:ind w:left="900" w:hanging="900"/>
        <w:rPr>
          <w:rFonts w:eastAsia="Times New Roman" w:cs="Times New Roman"/>
          <w:szCs w:val="24"/>
        </w:rPr>
      </w:pPr>
    </w:p>
    <w:p w:rsidR="00A70837" w:rsidRPr="0035197B" w:rsidRDefault="00A70837" w:rsidP="00A70837">
      <w:pPr>
        <w:tabs>
          <w:tab w:val="left" w:pos="2620"/>
          <w:tab w:val="left" w:pos="3540"/>
        </w:tabs>
        <w:rPr>
          <w:rFonts w:eastAsia="Times New Roman" w:cs="Times New Roman"/>
          <w:szCs w:val="24"/>
          <w:lang w:eastAsia="tr-TR"/>
        </w:rPr>
      </w:pPr>
      <w:r w:rsidRPr="0035197B">
        <w:rPr>
          <w:rFonts w:eastAsia="Times New Roman" w:cs="Times New Roman"/>
          <w:b/>
          <w:szCs w:val="24"/>
          <w:lang w:eastAsia="tr-TR"/>
        </w:rPr>
        <w:t>1.</w:t>
      </w:r>
      <w:r w:rsidRPr="0035197B">
        <w:rPr>
          <w:rFonts w:eastAsia="Times New Roman" w:cs="Times New Roman"/>
          <w:szCs w:val="24"/>
          <w:lang w:eastAsia="tr-TR"/>
        </w:rPr>
        <w:t xml:space="preserve"> </w:t>
      </w:r>
      <w:r w:rsidRPr="0035197B">
        <w:rPr>
          <w:rFonts w:eastAsia="Times New Roman" w:cs="Times New Roman"/>
          <w:b/>
          <w:szCs w:val="24"/>
          <w:lang w:eastAsia="tr-TR"/>
        </w:rPr>
        <w:t>MAKALELER</w:t>
      </w:r>
    </w:p>
    <w:p w:rsidR="00A70837" w:rsidRPr="0035197B" w:rsidRDefault="00A70837" w:rsidP="00A70837">
      <w:pPr>
        <w:tabs>
          <w:tab w:val="left" w:pos="2620"/>
          <w:tab w:val="left" w:pos="3540"/>
        </w:tabs>
        <w:rPr>
          <w:rFonts w:eastAsia="Times New Roman" w:cs="Times New Roman"/>
          <w:szCs w:val="24"/>
          <w:lang w:eastAsia="tr-TR"/>
        </w:rPr>
      </w:pPr>
    </w:p>
    <w:p w:rsidR="00FB320C" w:rsidRPr="0084776A" w:rsidRDefault="0084776A" w:rsidP="0084776A">
      <w:pPr>
        <w:rPr>
          <w:bCs/>
          <w:i/>
          <w:color w:val="222222"/>
          <w:szCs w:val="20"/>
        </w:rPr>
      </w:pPr>
      <w:r>
        <w:rPr>
          <w:szCs w:val="20"/>
        </w:rPr>
        <w:t>Bildik A. ve Bayar İ.</w:t>
      </w:r>
      <w:r w:rsidR="00DE09FF" w:rsidRPr="00DE09FF">
        <w:rPr>
          <w:szCs w:val="20"/>
        </w:rPr>
        <w:t xml:space="preserve"> </w:t>
      </w:r>
      <w:r w:rsidRPr="0084776A">
        <w:rPr>
          <w:szCs w:val="20"/>
        </w:rPr>
        <w:t>Inhibition of Apoptotic Pathways in Cancer</w:t>
      </w:r>
      <w:r w:rsidR="00DE09FF" w:rsidRPr="00DE09FF">
        <w:rPr>
          <w:szCs w:val="20"/>
        </w:rPr>
        <w:t xml:space="preserve">. </w:t>
      </w:r>
      <w:r w:rsidRPr="0084776A">
        <w:rPr>
          <w:bCs/>
          <w:i/>
          <w:color w:val="222222"/>
          <w:szCs w:val="20"/>
        </w:rPr>
        <w:t>T</w:t>
      </w:r>
      <w:r>
        <w:rPr>
          <w:bCs/>
          <w:i/>
          <w:color w:val="222222"/>
          <w:szCs w:val="20"/>
        </w:rPr>
        <w:t>u</w:t>
      </w:r>
      <w:r w:rsidR="00DE09FF" w:rsidRPr="0084776A">
        <w:rPr>
          <w:bCs/>
          <w:i/>
          <w:color w:val="222222"/>
          <w:szCs w:val="20"/>
        </w:rPr>
        <w:t xml:space="preserve">rkiye Klinikleri </w:t>
      </w:r>
    </w:p>
    <w:p w:rsidR="00DE09FF" w:rsidRDefault="00DE09FF" w:rsidP="0084776A">
      <w:pPr>
        <w:ind w:left="567" w:firstLine="0"/>
        <w:rPr>
          <w:bCs/>
          <w:color w:val="222222"/>
          <w:szCs w:val="20"/>
        </w:rPr>
      </w:pPr>
      <w:r w:rsidRPr="0084776A">
        <w:rPr>
          <w:bCs/>
          <w:i/>
          <w:color w:val="222222"/>
          <w:szCs w:val="20"/>
        </w:rPr>
        <w:t>J</w:t>
      </w:r>
      <w:r w:rsidR="0084776A" w:rsidRPr="0084776A">
        <w:rPr>
          <w:bCs/>
          <w:i/>
          <w:color w:val="222222"/>
          <w:szCs w:val="20"/>
        </w:rPr>
        <w:t>ournal of</w:t>
      </w:r>
      <w:r w:rsidRPr="0084776A">
        <w:rPr>
          <w:bCs/>
          <w:i/>
          <w:color w:val="222222"/>
          <w:szCs w:val="20"/>
        </w:rPr>
        <w:t xml:space="preserve"> Vet</w:t>
      </w:r>
      <w:r w:rsidR="0084776A" w:rsidRPr="0084776A">
        <w:rPr>
          <w:bCs/>
          <w:i/>
          <w:color w:val="222222"/>
          <w:szCs w:val="20"/>
        </w:rPr>
        <w:t>erinary</w:t>
      </w:r>
      <w:r w:rsidRPr="0084776A">
        <w:rPr>
          <w:bCs/>
          <w:i/>
          <w:color w:val="222222"/>
          <w:szCs w:val="20"/>
        </w:rPr>
        <w:t xml:space="preserve"> Sci</w:t>
      </w:r>
      <w:r w:rsidR="0084776A" w:rsidRPr="0084776A">
        <w:rPr>
          <w:bCs/>
          <w:i/>
          <w:color w:val="222222"/>
          <w:szCs w:val="20"/>
        </w:rPr>
        <w:t>ences</w:t>
      </w:r>
      <w:r w:rsidRPr="00DE09FF">
        <w:rPr>
          <w:bCs/>
          <w:color w:val="222222"/>
          <w:szCs w:val="20"/>
        </w:rPr>
        <w:t xml:space="preserve"> 2018; 9(2):42-51.</w:t>
      </w:r>
    </w:p>
    <w:p w:rsidR="00F725BF" w:rsidRDefault="00F725BF" w:rsidP="00F0072D">
      <w:pPr>
        <w:ind w:firstLine="0"/>
        <w:rPr>
          <w:bCs/>
          <w:color w:val="222222"/>
          <w:szCs w:val="20"/>
        </w:rPr>
      </w:pPr>
    </w:p>
    <w:p w:rsidR="00DE09FF" w:rsidRDefault="00DE09FF" w:rsidP="00FB320C">
      <w:pPr>
        <w:rPr>
          <w:b/>
          <w:szCs w:val="20"/>
        </w:rPr>
      </w:pPr>
      <w:r w:rsidRPr="00DE09FF">
        <w:rPr>
          <w:b/>
          <w:szCs w:val="20"/>
        </w:rPr>
        <w:t>2.PROJELER</w:t>
      </w:r>
    </w:p>
    <w:p w:rsidR="00A70837" w:rsidRPr="00DE09FF" w:rsidRDefault="00A70837" w:rsidP="00FB320C">
      <w:pPr>
        <w:rPr>
          <w:b/>
          <w:szCs w:val="20"/>
        </w:rPr>
      </w:pPr>
    </w:p>
    <w:p w:rsidR="00DE09FF" w:rsidRPr="00D078B7" w:rsidRDefault="00200C33" w:rsidP="00A70837">
      <w:pPr>
        <w:autoSpaceDE w:val="0"/>
        <w:autoSpaceDN w:val="0"/>
        <w:adjustRightInd w:val="0"/>
        <w:rPr>
          <w:b/>
          <w:szCs w:val="20"/>
        </w:rPr>
      </w:pPr>
      <w:r>
        <w:rPr>
          <w:b/>
          <w:szCs w:val="20"/>
        </w:rPr>
        <w:t>TÜBİTAK 1001</w:t>
      </w:r>
      <w:r w:rsidRPr="00D078B7">
        <w:rPr>
          <w:b/>
          <w:szCs w:val="20"/>
        </w:rPr>
        <w:t xml:space="preserve"> Projesi /</w:t>
      </w:r>
      <w:r w:rsidR="00DE09FF" w:rsidRPr="00D078B7">
        <w:rPr>
          <w:b/>
          <w:szCs w:val="20"/>
        </w:rPr>
        <w:t>Proje No: 111T404</w:t>
      </w:r>
      <w:r w:rsidR="00732375">
        <w:rPr>
          <w:b/>
          <w:szCs w:val="20"/>
        </w:rPr>
        <w:t xml:space="preserve"> </w:t>
      </w:r>
      <w:r w:rsidR="00732375" w:rsidRPr="00732375">
        <w:rPr>
          <w:b/>
          <w:szCs w:val="20"/>
        </w:rPr>
        <w:t>(01/11/2011-01/02/2014)</w:t>
      </w:r>
    </w:p>
    <w:p w:rsidR="00A70837" w:rsidRDefault="00DE09FF" w:rsidP="00A70837">
      <w:pPr>
        <w:autoSpaceDE w:val="0"/>
        <w:autoSpaceDN w:val="0"/>
        <w:adjustRightInd w:val="0"/>
        <w:rPr>
          <w:szCs w:val="20"/>
        </w:rPr>
      </w:pPr>
      <w:r w:rsidRPr="00DE09FF">
        <w:rPr>
          <w:szCs w:val="20"/>
        </w:rPr>
        <w:t>Hayvansal G</w:t>
      </w:r>
      <w:r w:rsidRPr="00DE09FF">
        <w:rPr>
          <w:rFonts w:hint="eastAsia"/>
          <w:szCs w:val="20"/>
        </w:rPr>
        <w:t>ı</w:t>
      </w:r>
      <w:r w:rsidRPr="00DE09FF">
        <w:rPr>
          <w:szCs w:val="20"/>
        </w:rPr>
        <w:t xml:space="preserve">da </w:t>
      </w:r>
      <w:r w:rsidRPr="00DE09FF">
        <w:rPr>
          <w:rFonts w:hint="eastAsia"/>
          <w:szCs w:val="20"/>
        </w:rPr>
        <w:t>Ö</w:t>
      </w:r>
      <w:r w:rsidRPr="00DE09FF">
        <w:rPr>
          <w:szCs w:val="20"/>
        </w:rPr>
        <w:t>rneklerindeki (S</w:t>
      </w:r>
      <w:r w:rsidRPr="00DE09FF">
        <w:rPr>
          <w:rFonts w:hint="eastAsia"/>
          <w:szCs w:val="20"/>
        </w:rPr>
        <w:t>ığı</w:t>
      </w:r>
      <w:r w:rsidRPr="00DE09FF">
        <w:rPr>
          <w:szCs w:val="20"/>
        </w:rPr>
        <w:t>r Eti, S</w:t>
      </w:r>
      <w:r w:rsidRPr="00DE09FF">
        <w:rPr>
          <w:rFonts w:hint="eastAsia"/>
          <w:szCs w:val="20"/>
        </w:rPr>
        <w:t>ü</w:t>
      </w:r>
      <w:r w:rsidRPr="00DE09FF">
        <w:rPr>
          <w:szCs w:val="20"/>
        </w:rPr>
        <w:t>t, Tavuk Eti, Yumurta Ve K</w:t>
      </w:r>
      <w:r w:rsidRPr="00DE09FF">
        <w:rPr>
          <w:rFonts w:hint="eastAsia"/>
          <w:szCs w:val="20"/>
        </w:rPr>
        <w:t>ü</w:t>
      </w:r>
      <w:r w:rsidRPr="00DE09FF">
        <w:rPr>
          <w:szCs w:val="20"/>
        </w:rPr>
        <w:t>lt</w:t>
      </w:r>
      <w:r w:rsidRPr="00DE09FF">
        <w:rPr>
          <w:rFonts w:hint="eastAsia"/>
          <w:szCs w:val="20"/>
        </w:rPr>
        <w:t>ü</w:t>
      </w:r>
      <w:r w:rsidRPr="00DE09FF">
        <w:rPr>
          <w:szCs w:val="20"/>
        </w:rPr>
        <w:t>r Bal</w:t>
      </w:r>
      <w:r w:rsidRPr="00DE09FF">
        <w:rPr>
          <w:rFonts w:hint="eastAsia"/>
          <w:szCs w:val="20"/>
        </w:rPr>
        <w:t>ığı</w:t>
      </w:r>
      <w:r w:rsidRPr="00DE09FF">
        <w:rPr>
          <w:szCs w:val="20"/>
        </w:rPr>
        <w:t xml:space="preserve">) </w:t>
      </w:r>
    </w:p>
    <w:p w:rsidR="00DE09FF" w:rsidRPr="00DE09FF" w:rsidRDefault="00DE09FF" w:rsidP="00A70837">
      <w:pPr>
        <w:autoSpaceDE w:val="0"/>
        <w:autoSpaceDN w:val="0"/>
        <w:adjustRightInd w:val="0"/>
        <w:ind w:left="540" w:firstLine="0"/>
        <w:rPr>
          <w:szCs w:val="20"/>
        </w:rPr>
      </w:pPr>
      <w:r w:rsidRPr="00DE09FF">
        <w:rPr>
          <w:szCs w:val="20"/>
        </w:rPr>
        <w:t>S</w:t>
      </w:r>
      <w:r w:rsidRPr="00DE09FF">
        <w:rPr>
          <w:rFonts w:hint="eastAsia"/>
          <w:szCs w:val="20"/>
        </w:rPr>
        <w:t>ü</w:t>
      </w:r>
      <w:r w:rsidR="00D078B7">
        <w:rPr>
          <w:szCs w:val="20"/>
        </w:rPr>
        <w:t xml:space="preserve">lfonamid, Florokinolon ve </w:t>
      </w:r>
      <w:r w:rsidRPr="00DE09FF">
        <w:rPr>
          <w:szCs w:val="20"/>
        </w:rPr>
        <w:t xml:space="preserve">Penisilin Grubu Antibiyotiklerinin Ekstraksiyonu </w:t>
      </w:r>
      <w:r w:rsidRPr="00DE09FF">
        <w:rPr>
          <w:rFonts w:hint="eastAsia"/>
          <w:szCs w:val="20"/>
        </w:rPr>
        <w:t>İç</w:t>
      </w:r>
      <w:r w:rsidRPr="00DE09FF">
        <w:rPr>
          <w:szCs w:val="20"/>
        </w:rPr>
        <w:t xml:space="preserve">in </w:t>
      </w:r>
      <w:r w:rsidRPr="00DE09FF">
        <w:rPr>
          <w:rFonts w:hint="eastAsia"/>
          <w:szCs w:val="20"/>
        </w:rPr>
        <w:t>İ</w:t>
      </w:r>
      <w:r w:rsidRPr="00DE09FF">
        <w:rPr>
          <w:szCs w:val="20"/>
        </w:rPr>
        <w:t>yonik S</w:t>
      </w:r>
      <w:r w:rsidRPr="00DE09FF">
        <w:rPr>
          <w:rFonts w:hint="eastAsia"/>
          <w:szCs w:val="20"/>
        </w:rPr>
        <w:t>ı</w:t>
      </w:r>
      <w:r w:rsidRPr="00DE09FF">
        <w:rPr>
          <w:szCs w:val="20"/>
        </w:rPr>
        <w:t>v</w:t>
      </w:r>
      <w:r w:rsidRPr="00DE09FF">
        <w:rPr>
          <w:rFonts w:hint="eastAsia"/>
          <w:szCs w:val="20"/>
        </w:rPr>
        <w:t>ı</w:t>
      </w:r>
      <w:r w:rsidRPr="00DE09FF">
        <w:rPr>
          <w:szCs w:val="20"/>
        </w:rPr>
        <w:t xml:space="preserve"> ile Modifiye Edilmi</w:t>
      </w:r>
      <w:r w:rsidRPr="00DE09FF">
        <w:rPr>
          <w:rFonts w:hint="eastAsia"/>
          <w:szCs w:val="20"/>
        </w:rPr>
        <w:t>ş</w:t>
      </w:r>
      <w:r w:rsidR="00D078B7">
        <w:rPr>
          <w:szCs w:val="20"/>
        </w:rPr>
        <w:t xml:space="preserve"> Kitosan Admisel Sorbentlerinin </w:t>
      </w:r>
      <w:r w:rsidRPr="00DE09FF">
        <w:rPr>
          <w:szCs w:val="20"/>
        </w:rPr>
        <w:t>Haz</w:t>
      </w:r>
      <w:r w:rsidRPr="00DE09FF">
        <w:rPr>
          <w:rFonts w:hint="eastAsia"/>
          <w:szCs w:val="20"/>
        </w:rPr>
        <w:t>ı</w:t>
      </w:r>
      <w:r w:rsidRPr="00DE09FF">
        <w:rPr>
          <w:szCs w:val="20"/>
        </w:rPr>
        <w:t>rlanmas</w:t>
      </w:r>
      <w:r w:rsidRPr="00DE09FF">
        <w:rPr>
          <w:rFonts w:hint="eastAsia"/>
          <w:szCs w:val="20"/>
        </w:rPr>
        <w:t>ı</w:t>
      </w:r>
      <w:r w:rsidRPr="00DE09FF">
        <w:rPr>
          <w:szCs w:val="20"/>
        </w:rPr>
        <w:t xml:space="preserve"> ve S</w:t>
      </w:r>
      <w:r w:rsidRPr="00DE09FF">
        <w:rPr>
          <w:rFonts w:hint="eastAsia"/>
          <w:szCs w:val="20"/>
        </w:rPr>
        <w:t>ı</w:t>
      </w:r>
      <w:r w:rsidRPr="00DE09FF">
        <w:rPr>
          <w:szCs w:val="20"/>
        </w:rPr>
        <w:t>v</w:t>
      </w:r>
      <w:r w:rsidRPr="00DE09FF">
        <w:rPr>
          <w:rFonts w:hint="eastAsia"/>
          <w:szCs w:val="20"/>
        </w:rPr>
        <w:t>ı</w:t>
      </w:r>
      <w:r w:rsidRPr="00DE09FF">
        <w:rPr>
          <w:szCs w:val="20"/>
        </w:rPr>
        <w:t xml:space="preserve"> Kromatografisi (UHPLC) ile Tayinleri.</w:t>
      </w:r>
    </w:p>
    <w:p w:rsidR="00D078B7" w:rsidRDefault="00D078B7" w:rsidP="00DE09FF">
      <w:pPr>
        <w:autoSpaceDE w:val="0"/>
        <w:autoSpaceDN w:val="0"/>
        <w:adjustRightInd w:val="0"/>
        <w:ind w:firstLine="0"/>
        <w:rPr>
          <w:b/>
          <w:szCs w:val="20"/>
        </w:rPr>
      </w:pPr>
    </w:p>
    <w:p w:rsidR="00DE09FF" w:rsidRPr="00D078B7" w:rsidRDefault="00DE09FF" w:rsidP="00993159">
      <w:pPr>
        <w:autoSpaceDE w:val="0"/>
        <w:autoSpaceDN w:val="0"/>
        <w:adjustRightInd w:val="0"/>
        <w:ind w:firstLine="540"/>
        <w:rPr>
          <w:b/>
          <w:szCs w:val="20"/>
        </w:rPr>
      </w:pPr>
      <w:r w:rsidRPr="00D078B7">
        <w:rPr>
          <w:b/>
          <w:szCs w:val="20"/>
        </w:rPr>
        <w:t>T</w:t>
      </w:r>
      <w:r w:rsidRPr="00D078B7">
        <w:rPr>
          <w:rFonts w:hint="eastAsia"/>
          <w:b/>
          <w:szCs w:val="20"/>
        </w:rPr>
        <w:t>Ü</w:t>
      </w:r>
      <w:r w:rsidRPr="00D078B7">
        <w:rPr>
          <w:b/>
          <w:szCs w:val="20"/>
        </w:rPr>
        <w:t>B</w:t>
      </w:r>
      <w:r w:rsidRPr="00D078B7">
        <w:rPr>
          <w:rFonts w:hint="eastAsia"/>
          <w:b/>
          <w:szCs w:val="20"/>
        </w:rPr>
        <w:t>İ</w:t>
      </w:r>
      <w:r w:rsidRPr="00D078B7">
        <w:rPr>
          <w:b/>
          <w:szCs w:val="20"/>
        </w:rPr>
        <w:t>TAK 4004 Projesi</w:t>
      </w:r>
    </w:p>
    <w:p w:rsidR="00DE09FF" w:rsidRDefault="00DE09FF" w:rsidP="00993159">
      <w:pPr>
        <w:ind w:firstLine="540"/>
        <w:rPr>
          <w:szCs w:val="20"/>
        </w:rPr>
      </w:pPr>
      <w:r w:rsidRPr="00DE09FF">
        <w:rPr>
          <w:szCs w:val="20"/>
        </w:rPr>
        <w:t>Akdeniz</w:t>
      </w:r>
      <w:r w:rsidR="00BB5552">
        <w:rPr>
          <w:szCs w:val="20"/>
        </w:rPr>
        <w:t>’</w:t>
      </w:r>
      <w:r w:rsidRPr="00DE09FF">
        <w:rPr>
          <w:szCs w:val="20"/>
        </w:rPr>
        <w:t>den Toroslar</w:t>
      </w:r>
      <w:r w:rsidR="00C549ED">
        <w:rPr>
          <w:szCs w:val="20"/>
        </w:rPr>
        <w:t>’</w:t>
      </w:r>
      <w:r w:rsidRPr="00DE09FF">
        <w:rPr>
          <w:szCs w:val="20"/>
        </w:rPr>
        <w:t>a Bilim ve Do</w:t>
      </w:r>
      <w:r w:rsidRPr="00DE09FF">
        <w:rPr>
          <w:rFonts w:hint="eastAsia"/>
          <w:szCs w:val="20"/>
        </w:rPr>
        <w:t>ğ</w:t>
      </w:r>
      <w:r w:rsidRPr="00DE09FF">
        <w:rPr>
          <w:szCs w:val="20"/>
        </w:rPr>
        <w:t>a E</w:t>
      </w:r>
      <w:r w:rsidRPr="00DE09FF">
        <w:rPr>
          <w:rFonts w:hint="eastAsia"/>
          <w:szCs w:val="20"/>
        </w:rPr>
        <w:t>ğ</w:t>
      </w:r>
      <w:r w:rsidRPr="00DE09FF">
        <w:rPr>
          <w:szCs w:val="20"/>
        </w:rPr>
        <w:t xml:space="preserve">itimi, </w:t>
      </w:r>
      <w:r w:rsidR="00200C33">
        <w:rPr>
          <w:szCs w:val="20"/>
        </w:rPr>
        <w:t xml:space="preserve">Tübitak, </w:t>
      </w:r>
      <w:r w:rsidRPr="00DE09FF">
        <w:rPr>
          <w:szCs w:val="20"/>
        </w:rPr>
        <w:t>Temmuz 2013, Mersin.</w:t>
      </w:r>
    </w:p>
    <w:p w:rsidR="00F725BF" w:rsidRDefault="00F725BF" w:rsidP="00DE09FF">
      <w:pPr>
        <w:ind w:firstLine="0"/>
        <w:rPr>
          <w:szCs w:val="20"/>
        </w:rPr>
      </w:pPr>
    </w:p>
    <w:p w:rsidR="00D078B7" w:rsidRPr="00D078B7" w:rsidRDefault="00D078B7" w:rsidP="00993159">
      <w:pPr>
        <w:ind w:firstLine="540"/>
        <w:rPr>
          <w:b/>
          <w:szCs w:val="20"/>
        </w:rPr>
      </w:pPr>
      <w:r w:rsidRPr="00D078B7">
        <w:rPr>
          <w:b/>
          <w:szCs w:val="20"/>
        </w:rPr>
        <w:t xml:space="preserve">TÜBİTAK 1002 Projesi /Proje No: </w:t>
      </w:r>
      <w:r w:rsidR="00732375" w:rsidRPr="00732375">
        <w:rPr>
          <w:b/>
          <w:szCs w:val="20"/>
        </w:rPr>
        <w:t>VTF-117Z735</w:t>
      </w:r>
      <w:r w:rsidRPr="00D078B7">
        <w:rPr>
          <w:b/>
          <w:szCs w:val="20"/>
        </w:rPr>
        <w:t xml:space="preserve"> </w:t>
      </w:r>
      <w:r w:rsidR="00732375" w:rsidRPr="00732375">
        <w:rPr>
          <w:b/>
          <w:szCs w:val="20"/>
        </w:rPr>
        <w:t>(15/04/2018-15/04/2019)</w:t>
      </w:r>
    </w:p>
    <w:p w:rsidR="00D078B7" w:rsidRDefault="00D078B7" w:rsidP="00993159">
      <w:pPr>
        <w:autoSpaceDE w:val="0"/>
        <w:autoSpaceDN w:val="0"/>
        <w:adjustRightInd w:val="0"/>
        <w:ind w:left="540" w:firstLine="0"/>
        <w:rPr>
          <w:szCs w:val="20"/>
        </w:rPr>
      </w:pPr>
      <w:r w:rsidRPr="00D078B7">
        <w:rPr>
          <w:szCs w:val="20"/>
        </w:rPr>
        <w:t>MCF-7 Meme Kanser Hücre Hattında Warburg Etkisinin ve Hipoksinin Glikoliz Enzimleri Gen Ekspresyonu Düzeyinde Araştırılması</w:t>
      </w:r>
    </w:p>
    <w:p w:rsidR="00F725BF" w:rsidRDefault="00F725BF" w:rsidP="00D078B7">
      <w:pPr>
        <w:autoSpaceDE w:val="0"/>
        <w:autoSpaceDN w:val="0"/>
        <w:adjustRightInd w:val="0"/>
        <w:ind w:firstLine="0"/>
        <w:rPr>
          <w:szCs w:val="20"/>
        </w:rPr>
      </w:pPr>
    </w:p>
    <w:p w:rsidR="00D078B7" w:rsidRDefault="00D078B7" w:rsidP="00993159">
      <w:pPr>
        <w:autoSpaceDE w:val="0"/>
        <w:autoSpaceDN w:val="0"/>
        <w:adjustRightInd w:val="0"/>
        <w:rPr>
          <w:b/>
          <w:szCs w:val="20"/>
        </w:rPr>
      </w:pPr>
      <w:r w:rsidRPr="00D078B7">
        <w:rPr>
          <w:b/>
          <w:szCs w:val="20"/>
        </w:rPr>
        <w:t>3.BİLDİRİLER</w:t>
      </w:r>
    </w:p>
    <w:p w:rsidR="00993159" w:rsidRDefault="00993159" w:rsidP="00993159">
      <w:pPr>
        <w:autoSpaceDE w:val="0"/>
        <w:autoSpaceDN w:val="0"/>
        <w:adjustRightInd w:val="0"/>
        <w:rPr>
          <w:b/>
          <w:szCs w:val="20"/>
        </w:rPr>
      </w:pPr>
    </w:p>
    <w:p w:rsidR="00993159" w:rsidRDefault="00993159" w:rsidP="00993159">
      <w:pPr>
        <w:tabs>
          <w:tab w:val="num" w:pos="360"/>
        </w:tabs>
        <w:spacing w:before="120" w:after="120"/>
        <w:ind w:left="567" w:hanging="567"/>
        <w:rPr>
          <w:szCs w:val="20"/>
        </w:rPr>
      </w:pPr>
      <w:r>
        <w:rPr>
          <w:b/>
          <w:sz w:val="20"/>
          <w:szCs w:val="20"/>
        </w:rPr>
        <w:tab/>
      </w:r>
      <w:r>
        <w:rPr>
          <w:b/>
          <w:sz w:val="20"/>
          <w:szCs w:val="20"/>
        </w:rPr>
        <w:tab/>
      </w:r>
      <w:r w:rsidR="00D078B7" w:rsidRPr="00993159">
        <w:rPr>
          <w:sz w:val="20"/>
          <w:szCs w:val="20"/>
        </w:rPr>
        <w:t>1.</w:t>
      </w:r>
      <w:r w:rsidR="00D078B7">
        <w:rPr>
          <w:b/>
          <w:sz w:val="20"/>
          <w:szCs w:val="20"/>
        </w:rPr>
        <w:t xml:space="preserve"> </w:t>
      </w:r>
      <w:r w:rsidR="00D078B7" w:rsidRPr="00D078B7">
        <w:rPr>
          <w:szCs w:val="20"/>
        </w:rPr>
        <w:t>Determination of Penicillins Using Ionic Liquid Based Chitosan", İrem Bayar, Paniz Tanizhakkori, Deniz Erdoğan, Mine Antep, Nalan Tüzmen, Melek Merdivan and Serap Seyhan Bozkurt 44th World Chemistry Congress, Istanbul- Turkey, 1 - 16 August, 2013.</w:t>
      </w:r>
    </w:p>
    <w:p w:rsidR="00993159" w:rsidRDefault="00993159" w:rsidP="00993159">
      <w:pPr>
        <w:tabs>
          <w:tab w:val="num" w:pos="360"/>
        </w:tabs>
        <w:spacing w:before="120" w:after="120"/>
        <w:ind w:left="567" w:hanging="567"/>
        <w:rPr>
          <w:szCs w:val="20"/>
        </w:rPr>
      </w:pPr>
      <w:r>
        <w:rPr>
          <w:b/>
          <w:sz w:val="20"/>
          <w:szCs w:val="20"/>
        </w:rPr>
        <w:tab/>
      </w:r>
      <w:r>
        <w:rPr>
          <w:b/>
          <w:szCs w:val="20"/>
        </w:rPr>
        <w:tab/>
      </w:r>
      <w:r w:rsidR="00D078B7" w:rsidRPr="00993159">
        <w:rPr>
          <w:szCs w:val="20"/>
        </w:rPr>
        <w:t>2.</w:t>
      </w:r>
      <w:r w:rsidR="00D078B7" w:rsidRPr="00D078B7">
        <w:rPr>
          <w:szCs w:val="20"/>
        </w:rPr>
        <w:t xml:space="preserve"> "Development of Solid Phase Sorbents Based on Mono and Dicationic Imidazolium Ionic Liquids for Determination of Sulfonamides", İrem Bayar, Paniz Tanizhakkori, Deniz Erdoğan, Mine Antep, Nalan Tüzmen, Melek Merdivan and Serap Seyhan Bozkurt 44th World Chemistry Congress, Istanbul- Turkey, 1 - 16 August, 2013.</w:t>
      </w:r>
    </w:p>
    <w:p w:rsidR="00993159" w:rsidRDefault="00993159" w:rsidP="00993159">
      <w:pPr>
        <w:tabs>
          <w:tab w:val="num" w:pos="360"/>
        </w:tabs>
        <w:spacing w:before="120" w:after="120"/>
        <w:ind w:left="567" w:hanging="567"/>
        <w:rPr>
          <w:szCs w:val="20"/>
        </w:rPr>
      </w:pPr>
      <w:r>
        <w:rPr>
          <w:b/>
          <w:szCs w:val="20"/>
        </w:rPr>
        <w:lastRenderedPageBreak/>
        <w:tab/>
      </w:r>
      <w:r>
        <w:rPr>
          <w:b/>
          <w:szCs w:val="20"/>
        </w:rPr>
        <w:tab/>
      </w:r>
      <w:r w:rsidR="00D078B7" w:rsidRPr="00993159">
        <w:rPr>
          <w:szCs w:val="20"/>
        </w:rPr>
        <w:t>3.</w:t>
      </w:r>
      <w:r>
        <w:rPr>
          <w:szCs w:val="20"/>
        </w:rPr>
        <w:t xml:space="preserve"> </w:t>
      </w:r>
      <w:r w:rsidR="00D078B7" w:rsidRPr="00D078B7">
        <w:rPr>
          <w:szCs w:val="20"/>
        </w:rPr>
        <w:t>"Use of Hydrophilic and Hydrophobic Ionic Liquids in Solid Sorbents for Quantitative Determination of Fluoroquinolones by HPLC", İrem Bayar, Paniz Tanizhakkori, Deniz Erdoğan, Mine Antep, Nalan Tüzmen, Melek Merdivan and Serap Seyhan Bozkurt 44th World Chemistry Congress, Istanbul- Turkey, 1 - 16 August, 2013.</w:t>
      </w:r>
    </w:p>
    <w:p w:rsidR="00D078B7" w:rsidRDefault="00993159" w:rsidP="00993159">
      <w:pPr>
        <w:tabs>
          <w:tab w:val="num" w:pos="360"/>
        </w:tabs>
        <w:spacing w:before="120" w:after="120"/>
        <w:ind w:left="567" w:hanging="567"/>
        <w:rPr>
          <w:szCs w:val="20"/>
        </w:rPr>
      </w:pPr>
      <w:r>
        <w:rPr>
          <w:szCs w:val="20"/>
        </w:rPr>
        <w:tab/>
      </w:r>
      <w:r>
        <w:rPr>
          <w:szCs w:val="20"/>
        </w:rPr>
        <w:tab/>
      </w:r>
      <w:r w:rsidR="00D078B7" w:rsidRPr="00993159">
        <w:rPr>
          <w:szCs w:val="20"/>
        </w:rPr>
        <w:t>4.</w:t>
      </w:r>
      <w:r w:rsidR="00D078B7">
        <w:rPr>
          <w:szCs w:val="20"/>
        </w:rPr>
        <w:t xml:space="preserve">   </w:t>
      </w:r>
      <w:r w:rsidR="00D078B7" w:rsidRPr="00D078B7">
        <w:rPr>
          <w:szCs w:val="20"/>
        </w:rPr>
        <w:t>Bayar İ., İnci A., Aypak S.Ü. ve Bildik A. Fatty acid compositions in the muscle tissues of two freshwater fish species from Büyük Menderes River (Aydın),Turkey. Mediterranean Veterinary Congress coupled with 7th REEV-MED General Assembly,</w:t>
      </w:r>
      <w:r w:rsidR="00D078B7">
        <w:rPr>
          <w:szCs w:val="20"/>
        </w:rPr>
        <w:t xml:space="preserve"> Kırı</w:t>
      </w:r>
      <w:r w:rsidR="00D078B7" w:rsidRPr="00D078B7">
        <w:rPr>
          <w:szCs w:val="20"/>
        </w:rPr>
        <w:t>kkale University, Turkey, 13-14 December 2018.</w:t>
      </w:r>
    </w:p>
    <w:p w:rsidR="00993159" w:rsidRDefault="00993159" w:rsidP="00993159">
      <w:pPr>
        <w:tabs>
          <w:tab w:val="num" w:pos="360"/>
        </w:tabs>
        <w:ind w:left="567" w:hanging="567"/>
        <w:rPr>
          <w:szCs w:val="20"/>
        </w:rPr>
      </w:pPr>
    </w:p>
    <w:p w:rsidR="00D078B7" w:rsidRDefault="00993159" w:rsidP="00A90569">
      <w:pPr>
        <w:tabs>
          <w:tab w:val="num" w:pos="360"/>
        </w:tabs>
        <w:ind w:firstLine="0"/>
        <w:rPr>
          <w:b/>
          <w:szCs w:val="20"/>
        </w:rPr>
      </w:pPr>
      <w:r>
        <w:rPr>
          <w:b/>
          <w:szCs w:val="20"/>
        </w:rPr>
        <w:tab/>
      </w:r>
      <w:r w:rsidR="00D078B7">
        <w:rPr>
          <w:b/>
          <w:szCs w:val="20"/>
        </w:rPr>
        <w:t>4.</w:t>
      </w:r>
      <w:r w:rsidR="00C3399F">
        <w:rPr>
          <w:b/>
          <w:szCs w:val="20"/>
        </w:rPr>
        <w:t xml:space="preserve"> </w:t>
      </w:r>
      <w:r w:rsidR="00D078B7" w:rsidRPr="00D078B7">
        <w:rPr>
          <w:b/>
          <w:szCs w:val="20"/>
        </w:rPr>
        <w:t>SERTİFİKALAR</w:t>
      </w:r>
    </w:p>
    <w:p w:rsidR="00993159" w:rsidRDefault="00993159" w:rsidP="00993159">
      <w:pPr>
        <w:tabs>
          <w:tab w:val="num" w:pos="360"/>
        </w:tabs>
        <w:ind w:left="567" w:hanging="567"/>
        <w:rPr>
          <w:b/>
          <w:szCs w:val="20"/>
        </w:rPr>
      </w:pPr>
    </w:p>
    <w:p w:rsidR="00D078B7" w:rsidRPr="00D078B7" w:rsidRDefault="00D078B7" w:rsidP="0087737D">
      <w:pPr>
        <w:tabs>
          <w:tab w:val="num" w:pos="360"/>
        </w:tabs>
        <w:rPr>
          <w:szCs w:val="20"/>
        </w:rPr>
      </w:pPr>
      <w:r>
        <w:rPr>
          <w:b/>
          <w:szCs w:val="20"/>
        </w:rPr>
        <w:t xml:space="preserve"> </w:t>
      </w:r>
      <w:r w:rsidRPr="00626110">
        <w:rPr>
          <w:szCs w:val="20"/>
        </w:rPr>
        <w:t>1.</w:t>
      </w:r>
      <w:r w:rsidR="0076252F">
        <w:rPr>
          <w:b/>
          <w:szCs w:val="20"/>
        </w:rPr>
        <w:t xml:space="preserve"> </w:t>
      </w:r>
      <w:r w:rsidR="00C34948">
        <w:rPr>
          <w:b/>
          <w:szCs w:val="20"/>
        </w:rPr>
        <w:t xml:space="preserve"> </w:t>
      </w:r>
      <w:r w:rsidRPr="00D078B7">
        <w:rPr>
          <w:szCs w:val="20"/>
        </w:rPr>
        <w:t>Kozmetik Ü</w:t>
      </w:r>
      <w:r>
        <w:rPr>
          <w:szCs w:val="20"/>
        </w:rPr>
        <w:t>rü</w:t>
      </w:r>
      <w:r w:rsidRPr="00D078B7">
        <w:rPr>
          <w:szCs w:val="20"/>
        </w:rPr>
        <w:t xml:space="preserve">n Yönetimi, </w:t>
      </w:r>
      <w:r w:rsidR="00571FCE">
        <w:rPr>
          <w:szCs w:val="20"/>
        </w:rPr>
        <w:t>Kimyagerler Derneği, 02/04-03/</w:t>
      </w:r>
      <w:r w:rsidRPr="00D078B7">
        <w:rPr>
          <w:szCs w:val="20"/>
        </w:rPr>
        <w:t>04.2011</w:t>
      </w:r>
      <w:r w:rsidR="00571FCE">
        <w:rPr>
          <w:szCs w:val="20"/>
        </w:rPr>
        <w:t>.</w:t>
      </w:r>
    </w:p>
    <w:p w:rsidR="00D078B7" w:rsidRDefault="00D078B7" w:rsidP="00626110">
      <w:pPr>
        <w:tabs>
          <w:tab w:val="num" w:pos="360"/>
        </w:tabs>
        <w:ind w:left="924" w:hanging="357"/>
        <w:rPr>
          <w:szCs w:val="20"/>
        </w:rPr>
      </w:pPr>
      <w:r>
        <w:rPr>
          <w:b/>
          <w:szCs w:val="20"/>
        </w:rPr>
        <w:t xml:space="preserve"> </w:t>
      </w:r>
      <w:r w:rsidRPr="00626110">
        <w:rPr>
          <w:szCs w:val="20"/>
        </w:rPr>
        <w:t>2.</w:t>
      </w:r>
      <w:r>
        <w:rPr>
          <w:b/>
          <w:szCs w:val="20"/>
        </w:rPr>
        <w:t xml:space="preserve"> </w:t>
      </w:r>
      <w:r w:rsidRPr="0076252F">
        <w:rPr>
          <w:szCs w:val="20"/>
        </w:rPr>
        <w:t>Temel Bilgisayar Eğitimi,</w:t>
      </w:r>
      <w:r w:rsidR="00C04AAA">
        <w:rPr>
          <w:szCs w:val="20"/>
        </w:rPr>
        <w:t xml:space="preserve"> Ege Üniversitesi Sürekli Eğitim Merkezi (EGESEM),</w:t>
      </w:r>
      <w:r>
        <w:rPr>
          <w:b/>
          <w:szCs w:val="20"/>
        </w:rPr>
        <w:t xml:space="preserve"> </w:t>
      </w:r>
      <w:r w:rsidR="00571FCE">
        <w:rPr>
          <w:szCs w:val="20"/>
        </w:rPr>
        <w:t>14/01/2012-04/03/2012 (60 saat).</w:t>
      </w:r>
    </w:p>
    <w:p w:rsidR="00C04AAA" w:rsidRDefault="00C04AAA" w:rsidP="00626110">
      <w:pPr>
        <w:tabs>
          <w:tab w:val="num" w:pos="360"/>
        </w:tabs>
        <w:ind w:left="924" w:hanging="357"/>
        <w:rPr>
          <w:szCs w:val="20"/>
        </w:rPr>
      </w:pPr>
      <w:r>
        <w:rPr>
          <w:b/>
          <w:szCs w:val="20"/>
        </w:rPr>
        <w:t xml:space="preserve"> </w:t>
      </w:r>
      <w:r w:rsidRPr="00626110">
        <w:rPr>
          <w:szCs w:val="20"/>
        </w:rPr>
        <w:t>3.</w:t>
      </w:r>
      <w:r>
        <w:rPr>
          <w:szCs w:val="20"/>
        </w:rPr>
        <w:t xml:space="preserve"> Pedagojik Fromasyon Sertifikası, Pamukkale Üniversitesi Eğitim Fakültesi, Mezuniyet Tarihi: 23.01.2012</w:t>
      </w:r>
      <w:r w:rsidR="00C34948">
        <w:rPr>
          <w:szCs w:val="20"/>
        </w:rPr>
        <w:t>.</w:t>
      </w:r>
    </w:p>
    <w:p w:rsidR="00D078B7" w:rsidRDefault="00D078B7" w:rsidP="00626110">
      <w:pPr>
        <w:tabs>
          <w:tab w:val="num" w:pos="360"/>
        </w:tabs>
        <w:ind w:left="924" w:hanging="357"/>
        <w:rPr>
          <w:szCs w:val="20"/>
        </w:rPr>
      </w:pPr>
      <w:r>
        <w:rPr>
          <w:b/>
          <w:szCs w:val="20"/>
        </w:rPr>
        <w:t xml:space="preserve"> </w:t>
      </w:r>
      <w:r w:rsidR="00C34948" w:rsidRPr="00626110">
        <w:rPr>
          <w:szCs w:val="20"/>
        </w:rPr>
        <w:t>4</w:t>
      </w:r>
      <w:r w:rsidRPr="00626110">
        <w:rPr>
          <w:szCs w:val="20"/>
        </w:rPr>
        <w:t>.</w:t>
      </w:r>
      <w:r>
        <w:rPr>
          <w:b/>
          <w:szCs w:val="20"/>
        </w:rPr>
        <w:t xml:space="preserve"> </w:t>
      </w:r>
      <w:r w:rsidRPr="00D078B7">
        <w:rPr>
          <w:szCs w:val="20"/>
        </w:rPr>
        <w:t xml:space="preserve">Son Gelişmeler Işığında Teorik ve Uygulamalı HPLC Eğitimi Katılım Belgesi, </w:t>
      </w:r>
      <w:r w:rsidR="00571FCE">
        <w:rPr>
          <w:szCs w:val="20"/>
        </w:rPr>
        <w:t>27/04-29/</w:t>
      </w:r>
      <w:r w:rsidRPr="00D078B7">
        <w:rPr>
          <w:szCs w:val="20"/>
        </w:rPr>
        <w:t>04.2013</w:t>
      </w:r>
      <w:r w:rsidR="00C34948">
        <w:rPr>
          <w:szCs w:val="20"/>
        </w:rPr>
        <w:t>.</w:t>
      </w:r>
    </w:p>
    <w:p w:rsidR="0076252F" w:rsidRDefault="0076252F" w:rsidP="00626110">
      <w:pPr>
        <w:tabs>
          <w:tab w:val="num" w:pos="360"/>
        </w:tabs>
        <w:ind w:left="924" w:hanging="357"/>
        <w:rPr>
          <w:szCs w:val="20"/>
        </w:rPr>
      </w:pPr>
      <w:r>
        <w:rPr>
          <w:szCs w:val="20"/>
        </w:rPr>
        <w:t xml:space="preserve"> </w:t>
      </w:r>
      <w:r w:rsidR="00C34948" w:rsidRPr="00626110">
        <w:rPr>
          <w:szCs w:val="20"/>
        </w:rPr>
        <w:t>5</w:t>
      </w:r>
      <w:r w:rsidRPr="00626110">
        <w:rPr>
          <w:szCs w:val="20"/>
        </w:rPr>
        <w:t>.</w:t>
      </w:r>
      <w:r w:rsidRPr="0076252F">
        <w:rPr>
          <w:szCs w:val="20"/>
        </w:rPr>
        <w:t xml:space="preserve"> 44th </w:t>
      </w:r>
      <w:r w:rsidR="00571FCE">
        <w:rPr>
          <w:szCs w:val="20"/>
        </w:rPr>
        <w:t xml:space="preserve">World </w:t>
      </w:r>
      <w:r w:rsidRPr="0076252F">
        <w:rPr>
          <w:szCs w:val="20"/>
        </w:rPr>
        <w:t>Chemistry Congress</w:t>
      </w:r>
      <w:r w:rsidR="00F725BF">
        <w:rPr>
          <w:szCs w:val="20"/>
        </w:rPr>
        <w:t xml:space="preserve">, </w:t>
      </w:r>
      <w:r w:rsidR="00571FCE" w:rsidRPr="0076252F">
        <w:rPr>
          <w:szCs w:val="20"/>
        </w:rPr>
        <w:t>IUPAC</w:t>
      </w:r>
      <w:r w:rsidR="00571FCE">
        <w:rPr>
          <w:szCs w:val="20"/>
        </w:rPr>
        <w:t>, 11/08-16/</w:t>
      </w:r>
      <w:r w:rsidR="00F725BF">
        <w:rPr>
          <w:szCs w:val="20"/>
        </w:rPr>
        <w:t>08.2013</w:t>
      </w:r>
      <w:r w:rsidR="00571FCE">
        <w:rPr>
          <w:szCs w:val="20"/>
        </w:rPr>
        <w:t>.</w:t>
      </w:r>
    </w:p>
    <w:p w:rsidR="00C04AAA" w:rsidRDefault="00C04AAA" w:rsidP="00626110">
      <w:pPr>
        <w:tabs>
          <w:tab w:val="num" w:pos="360"/>
        </w:tabs>
        <w:ind w:left="924" w:hanging="357"/>
        <w:rPr>
          <w:szCs w:val="20"/>
        </w:rPr>
      </w:pPr>
      <w:r>
        <w:rPr>
          <w:b/>
          <w:szCs w:val="20"/>
        </w:rPr>
        <w:t xml:space="preserve"> </w:t>
      </w:r>
      <w:r w:rsidR="00C34948" w:rsidRPr="00626110">
        <w:rPr>
          <w:szCs w:val="20"/>
        </w:rPr>
        <w:t>6</w:t>
      </w:r>
      <w:r w:rsidRPr="00626110">
        <w:rPr>
          <w:szCs w:val="20"/>
        </w:rPr>
        <w:t>.</w:t>
      </w:r>
      <w:r>
        <w:rPr>
          <w:szCs w:val="20"/>
        </w:rPr>
        <w:t xml:space="preserve"> THERMO SCİENTİFİC ICAP Q ICP-MS Sistemi Kullanım Sertifikası, Redoks Lab, 11/03/2014-12/03/2014</w:t>
      </w:r>
      <w:r w:rsidR="00C34948">
        <w:rPr>
          <w:szCs w:val="20"/>
        </w:rPr>
        <w:t>.</w:t>
      </w:r>
    </w:p>
    <w:p w:rsidR="0076252F" w:rsidRDefault="0076252F" w:rsidP="00626110">
      <w:pPr>
        <w:tabs>
          <w:tab w:val="num" w:pos="360"/>
        </w:tabs>
        <w:ind w:left="924" w:hanging="357"/>
        <w:rPr>
          <w:szCs w:val="20"/>
        </w:rPr>
      </w:pPr>
      <w:r w:rsidRPr="00626110">
        <w:rPr>
          <w:szCs w:val="20"/>
        </w:rPr>
        <w:t xml:space="preserve"> </w:t>
      </w:r>
      <w:r w:rsidR="00C34948" w:rsidRPr="00626110">
        <w:rPr>
          <w:szCs w:val="20"/>
        </w:rPr>
        <w:t>7</w:t>
      </w:r>
      <w:r w:rsidRPr="00626110">
        <w:rPr>
          <w:szCs w:val="20"/>
        </w:rPr>
        <w:t>.</w:t>
      </w:r>
      <w:r w:rsidR="00BB5552">
        <w:rPr>
          <w:b/>
          <w:szCs w:val="20"/>
        </w:rPr>
        <w:t xml:space="preserve"> </w:t>
      </w:r>
      <w:r w:rsidR="00C04AAA">
        <w:rPr>
          <w:szCs w:val="20"/>
        </w:rPr>
        <w:t xml:space="preserve">THERMO SCİENTİFİC ICE 3300 </w:t>
      </w:r>
      <w:r>
        <w:rPr>
          <w:szCs w:val="20"/>
        </w:rPr>
        <w:t xml:space="preserve">AAS </w:t>
      </w:r>
      <w:r w:rsidR="00C34948">
        <w:rPr>
          <w:szCs w:val="20"/>
        </w:rPr>
        <w:t xml:space="preserve">Sistemi </w:t>
      </w:r>
      <w:r>
        <w:rPr>
          <w:szCs w:val="20"/>
        </w:rPr>
        <w:t xml:space="preserve">Kullanım Sertifikası, </w:t>
      </w:r>
      <w:r w:rsidR="00C04AAA">
        <w:rPr>
          <w:szCs w:val="20"/>
        </w:rPr>
        <w:t>Redoks Lab, 07/04/</w:t>
      </w:r>
      <w:r>
        <w:rPr>
          <w:szCs w:val="20"/>
        </w:rPr>
        <w:t>2014</w:t>
      </w:r>
      <w:r w:rsidR="00C04AAA">
        <w:rPr>
          <w:szCs w:val="20"/>
        </w:rPr>
        <w:t>-08/04/2014</w:t>
      </w:r>
      <w:r w:rsidR="00C34948">
        <w:rPr>
          <w:szCs w:val="20"/>
        </w:rPr>
        <w:t>.</w:t>
      </w:r>
    </w:p>
    <w:p w:rsidR="0076252F" w:rsidRDefault="0076252F" w:rsidP="00626110">
      <w:pPr>
        <w:tabs>
          <w:tab w:val="num" w:pos="360"/>
        </w:tabs>
        <w:ind w:left="924" w:hanging="357"/>
        <w:rPr>
          <w:szCs w:val="20"/>
        </w:rPr>
      </w:pPr>
      <w:r>
        <w:rPr>
          <w:b/>
          <w:szCs w:val="20"/>
        </w:rPr>
        <w:t xml:space="preserve"> </w:t>
      </w:r>
      <w:r w:rsidR="00C34948" w:rsidRPr="00626110">
        <w:rPr>
          <w:szCs w:val="20"/>
        </w:rPr>
        <w:t>8</w:t>
      </w:r>
      <w:r w:rsidRPr="00626110">
        <w:rPr>
          <w:szCs w:val="20"/>
        </w:rPr>
        <w:t>.</w:t>
      </w:r>
      <w:r>
        <w:rPr>
          <w:szCs w:val="20"/>
        </w:rPr>
        <w:t xml:space="preserve"> </w:t>
      </w:r>
      <w:r w:rsidR="00C04AAA">
        <w:rPr>
          <w:szCs w:val="20"/>
        </w:rPr>
        <w:t xml:space="preserve">THERMO SCİENTİFİC </w:t>
      </w:r>
      <w:r w:rsidR="00C34948">
        <w:rPr>
          <w:szCs w:val="20"/>
        </w:rPr>
        <w:t xml:space="preserve">ISQ </w:t>
      </w:r>
      <w:r>
        <w:rPr>
          <w:szCs w:val="20"/>
        </w:rPr>
        <w:t xml:space="preserve">GC-MS </w:t>
      </w:r>
      <w:r w:rsidR="00C34948">
        <w:rPr>
          <w:szCs w:val="20"/>
        </w:rPr>
        <w:t xml:space="preserve">Sistemi </w:t>
      </w:r>
      <w:r>
        <w:rPr>
          <w:szCs w:val="20"/>
        </w:rPr>
        <w:t xml:space="preserve">Kullanım Sertifikası, </w:t>
      </w:r>
      <w:r w:rsidR="00C04AAA">
        <w:rPr>
          <w:szCs w:val="20"/>
        </w:rPr>
        <w:t>Redoks Lab, 03/06/</w:t>
      </w:r>
      <w:r>
        <w:rPr>
          <w:szCs w:val="20"/>
        </w:rPr>
        <w:t>2014</w:t>
      </w:r>
      <w:r w:rsidR="00C04AAA">
        <w:rPr>
          <w:szCs w:val="20"/>
        </w:rPr>
        <w:t>-04/06/2014</w:t>
      </w:r>
      <w:r w:rsidR="00C34948">
        <w:rPr>
          <w:szCs w:val="20"/>
        </w:rPr>
        <w:t>.</w:t>
      </w:r>
    </w:p>
    <w:p w:rsidR="00571FCE" w:rsidRDefault="00C34948" w:rsidP="00626110">
      <w:pPr>
        <w:tabs>
          <w:tab w:val="num" w:pos="360"/>
        </w:tabs>
        <w:ind w:left="924" w:hanging="357"/>
        <w:rPr>
          <w:szCs w:val="20"/>
        </w:rPr>
      </w:pPr>
      <w:r>
        <w:rPr>
          <w:b/>
          <w:szCs w:val="20"/>
        </w:rPr>
        <w:t xml:space="preserve"> </w:t>
      </w:r>
      <w:r w:rsidRPr="00626110">
        <w:rPr>
          <w:szCs w:val="20"/>
        </w:rPr>
        <w:t>9.</w:t>
      </w:r>
      <w:r w:rsidR="00626110">
        <w:rPr>
          <w:szCs w:val="20"/>
        </w:rPr>
        <w:tab/>
      </w:r>
      <w:r>
        <w:rPr>
          <w:szCs w:val="20"/>
        </w:rPr>
        <w:t>THERMO SCİENTİFİC ULTİMATE 3000 HPLC Sistemi Kullanım Sertifikası,Redoks Lab, 05/06/2014-05/06/2014.</w:t>
      </w:r>
    </w:p>
    <w:p w:rsidR="00200C33" w:rsidRDefault="00200C33" w:rsidP="00626110">
      <w:pPr>
        <w:tabs>
          <w:tab w:val="num" w:pos="360"/>
        </w:tabs>
        <w:ind w:left="924" w:hanging="357"/>
        <w:rPr>
          <w:szCs w:val="20"/>
        </w:rPr>
      </w:pPr>
      <w:r w:rsidRPr="00626110">
        <w:rPr>
          <w:szCs w:val="20"/>
        </w:rPr>
        <w:t>10.</w:t>
      </w:r>
      <w:r>
        <w:rPr>
          <w:szCs w:val="20"/>
        </w:rPr>
        <w:t xml:space="preserve"> Mediterranean Veterinary Congress 7th REEV-Med General Assembly, Kırıkkale Üniversitesi Veteriner Fakültesi, 13/12-14/12/2018.</w:t>
      </w:r>
    </w:p>
    <w:p w:rsidR="0076252F" w:rsidRDefault="0076252F" w:rsidP="00D078B7">
      <w:pPr>
        <w:tabs>
          <w:tab w:val="num" w:pos="360"/>
        </w:tabs>
        <w:spacing w:before="120" w:after="120"/>
        <w:ind w:left="360" w:hanging="360"/>
        <w:rPr>
          <w:b/>
          <w:szCs w:val="20"/>
        </w:rPr>
      </w:pPr>
    </w:p>
    <w:p w:rsidR="00626110" w:rsidRDefault="00626110" w:rsidP="00D078B7">
      <w:pPr>
        <w:tabs>
          <w:tab w:val="num" w:pos="360"/>
        </w:tabs>
        <w:spacing w:before="120" w:after="120"/>
        <w:ind w:left="360" w:hanging="360"/>
        <w:rPr>
          <w:b/>
          <w:szCs w:val="20"/>
        </w:rPr>
      </w:pPr>
    </w:p>
    <w:p w:rsidR="00C04AAA" w:rsidRDefault="0076252F" w:rsidP="00993159">
      <w:pPr>
        <w:tabs>
          <w:tab w:val="num" w:pos="360"/>
        </w:tabs>
        <w:spacing w:before="120" w:after="120"/>
        <w:ind w:left="567" w:hanging="567"/>
        <w:rPr>
          <w:b/>
          <w:szCs w:val="20"/>
        </w:rPr>
      </w:pPr>
      <w:r>
        <w:rPr>
          <w:b/>
          <w:szCs w:val="20"/>
        </w:rPr>
        <w:lastRenderedPageBreak/>
        <w:t>5.</w:t>
      </w:r>
      <w:r w:rsidR="00BB5552">
        <w:rPr>
          <w:b/>
          <w:szCs w:val="20"/>
        </w:rPr>
        <w:t xml:space="preserve"> </w:t>
      </w:r>
      <w:r>
        <w:rPr>
          <w:b/>
          <w:szCs w:val="20"/>
        </w:rPr>
        <w:t>EĞİTİMLER</w:t>
      </w:r>
    </w:p>
    <w:p w:rsidR="00993159" w:rsidRPr="00C34948" w:rsidRDefault="00993159" w:rsidP="00993159">
      <w:pPr>
        <w:tabs>
          <w:tab w:val="num" w:pos="360"/>
        </w:tabs>
        <w:ind w:left="567" w:hanging="567"/>
        <w:rPr>
          <w:b/>
          <w:szCs w:val="20"/>
        </w:rPr>
      </w:pPr>
    </w:p>
    <w:p w:rsidR="0076252F" w:rsidRDefault="00C34948" w:rsidP="0076252F">
      <w:pPr>
        <w:widowControl w:val="0"/>
        <w:autoSpaceDE w:val="0"/>
        <w:autoSpaceDN w:val="0"/>
        <w:adjustRightInd w:val="0"/>
        <w:ind w:right="-20" w:firstLine="0"/>
        <w:rPr>
          <w:rFonts w:eastAsia="Times New Roman" w:cs="Times New Roman"/>
          <w:bCs/>
          <w:spacing w:val="6"/>
          <w:szCs w:val="24"/>
        </w:rPr>
      </w:pPr>
      <w:r w:rsidRPr="00626110">
        <w:rPr>
          <w:rFonts w:eastAsia="Times New Roman" w:cs="Times New Roman"/>
          <w:bCs/>
          <w:spacing w:val="6"/>
          <w:szCs w:val="24"/>
        </w:rPr>
        <w:t>1.</w:t>
      </w:r>
      <w:r>
        <w:rPr>
          <w:rFonts w:eastAsia="Times New Roman" w:cs="Times New Roman"/>
          <w:b/>
          <w:bCs/>
          <w:spacing w:val="6"/>
          <w:szCs w:val="24"/>
        </w:rPr>
        <w:t xml:space="preserve"> </w:t>
      </w:r>
      <w:r w:rsidR="0076252F" w:rsidRPr="0076252F">
        <w:rPr>
          <w:rFonts w:eastAsia="Times New Roman" w:cs="Times New Roman"/>
          <w:bCs/>
          <w:spacing w:val="6"/>
          <w:szCs w:val="24"/>
        </w:rPr>
        <w:t>Son Gelişmeler Işığında Teorik ve Uygulamalı HPLC Eğitimi</w:t>
      </w:r>
      <w:r>
        <w:rPr>
          <w:rFonts w:eastAsia="Times New Roman" w:cs="Times New Roman"/>
          <w:bCs/>
          <w:spacing w:val="6"/>
          <w:szCs w:val="24"/>
        </w:rPr>
        <w:t xml:space="preserve"> Bahar Okulu</w:t>
      </w:r>
      <w:r w:rsidR="0076252F">
        <w:rPr>
          <w:rFonts w:eastAsia="Times New Roman" w:cs="Times New Roman"/>
          <w:bCs/>
          <w:spacing w:val="6"/>
          <w:szCs w:val="24"/>
        </w:rPr>
        <w:t xml:space="preserve">, </w:t>
      </w:r>
      <w:r>
        <w:rPr>
          <w:rFonts w:eastAsia="Times New Roman" w:cs="Times New Roman"/>
          <w:bCs/>
          <w:spacing w:val="6"/>
          <w:szCs w:val="24"/>
        </w:rPr>
        <w:t>TÜBİTAK, 27/04-29/</w:t>
      </w:r>
      <w:r w:rsidR="0076252F">
        <w:rPr>
          <w:rFonts w:eastAsia="Times New Roman" w:cs="Times New Roman"/>
          <w:bCs/>
          <w:spacing w:val="6"/>
          <w:szCs w:val="24"/>
        </w:rPr>
        <w:t>04.2013.</w:t>
      </w:r>
    </w:p>
    <w:p w:rsidR="0076252F" w:rsidRDefault="0076252F" w:rsidP="0076252F">
      <w:pPr>
        <w:widowControl w:val="0"/>
        <w:autoSpaceDE w:val="0"/>
        <w:autoSpaceDN w:val="0"/>
        <w:adjustRightInd w:val="0"/>
        <w:ind w:right="-20" w:firstLine="0"/>
        <w:rPr>
          <w:rFonts w:eastAsia="Times New Roman" w:cs="Times New Roman"/>
          <w:bCs/>
          <w:spacing w:val="6"/>
          <w:szCs w:val="24"/>
        </w:rPr>
      </w:pPr>
      <w:r w:rsidRPr="00626110">
        <w:rPr>
          <w:rFonts w:eastAsia="Times New Roman" w:cs="Times New Roman"/>
          <w:bCs/>
          <w:spacing w:val="6"/>
          <w:szCs w:val="24"/>
        </w:rPr>
        <w:t>2.</w:t>
      </w:r>
      <w:r w:rsidR="00C3399F">
        <w:rPr>
          <w:rFonts w:eastAsia="Times New Roman" w:cs="Times New Roman"/>
          <w:bCs/>
          <w:spacing w:val="6"/>
          <w:szCs w:val="24"/>
        </w:rPr>
        <w:t xml:space="preserve"> </w:t>
      </w:r>
      <w:r w:rsidRPr="0076252F">
        <w:rPr>
          <w:rFonts w:eastAsia="Times New Roman" w:cs="Times New Roman"/>
          <w:bCs/>
          <w:spacing w:val="6"/>
          <w:szCs w:val="24"/>
        </w:rPr>
        <w:t>Akdeniz’den Toroslar’a Bilim ve Doğa Eğitimi</w:t>
      </w:r>
      <w:r>
        <w:rPr>
          <w:rFonts w:eastAsia="Times New Roman" w:cs="Times New Roman"/>
          <w:bCs/>
          <w:spacing w:val="6"/>
          <w:szCs w:val="24"/>
        </w:rPr>
        <w:t xml:space="preserve">, </w:t>
      </w:r>
      <w:r w:rsidR="00571FCE">
        <w:rPr>
          <w:rFonts w:eastAsia="Times New Roman" w:cs="Times New Roman"/>
          <w:bCs/>
          <w:spacing w:val="6"/>
          <w:szCs w:val="24"/>
        </w:rPr>
        <w:t xml:space="preserve">TÜBİTAK 4004 Projesi, </w:t>
      </w:r>
      <w:r>
        <w:rPr>
          <w:rFonts w:eastAsia="Times New Roman" w:cs="Times New Roman"/>
          <w:bCs/>
          <w:spacing w:val="6"/>
          <w:szCs w:val="24"/>
        </w:rPr>
        <w:t>07.07-15.07.2013.</w:t>
      </w:r>
    </w:p>
    <w:p w:rsidR="00C34948" w:rsidRPr="0076252F" w:rsidRDefault="00C34948" w:rsidP="0076252F">
      <w:pPr>
        <w:widowControl w:val="0"/>
        <w:autoSpaceDE w:val="0"/>
        <w:autoSpaceDN w:val="0"/>
        <w:adjustRightInd w:val="0"/>
        <w:ind w:right="-20" w:firstLine="0"/>
        <w:rPr>
          <w:rFonts w:eastAsia="Times New Roman" w:cs="Times New Roman"/>
          <w:bCs/>
          <w:spacing w:val="6"/>
          <w:szCs w:val="24"/>
        </w:rPr>
      </w:pPr>
      <w:r w:rsidRPr="00626110">
        <w:rPr>
          <w:rFonts w:eastAsia="Times New Roman" w:cs="Times New Roman"/>
          <w:bCs/>
          <w:spacing w:val="6"/>
          <w:szCs w:val="24"/>
        </w:rPr>
        <w:t>3.</w:t>
      </w:r>
      <w:r>
        <w:rPr>
          <w:rFonts w:eastAsia="Times New Roman" w:cs="Times New Roman"/>
          <w:bCs/>
          <w:spacing w:val="6"/>
          <w:szCs w:val="24"/>
        </w:rPr>
        <w:t xml:space="preserve"> ARLAB 12.</w:t>
      </w:r>
      <w:r w:rsidR="00571FCE">
        <w:rPr>
          <w:rFonts w:eastAsia="Times New Roman" w:cs="Times New Roman"/>
          <w:bCs/>
          <w:spacing w:val="6"/>
          <w:szCs w:val="24"/>
        </w:rPr>
        <w:t xml:space="preserve"> </w:t>
      </w:r>
      <w:r>
        <w:rPr>
          <w:rFonts w:eastAsia="Times New Roman" w:cs="Times New Roman"/>
          <w:bCs/>
          <w:spacing w:val="6"/>
          <w:szCs w:val="24"/>
        </w:rPr>
        <w:t>Hücresel, Moleküler ve Analitik T</w:t>
      </w:r>
      <w:r w:rsidR="00571FCE">
        <w:rPr>
          <w:rFonts w:eastAsia="Times New Roman" w:cs="Times New Roman"/>
          <w:bCs/>
          <w:spacing w:val="6"/>
          <w:szCs w:val="24"/>
        </w:rPr>
        <w:t>eknikler K</w:t>
      </w:r>
      <w:r>
        <w:rPr>
          <w:rFonts w:eastAsia="Times New Roman" w:cs="Times New Roman"/>
          <w:bCs/>
          <w:spacing w:val="6"/>
          <w:szCs w:val="24"/>
        </w:rPr>
        <w:t>ursu, Dokuz Eylül Üniversitesi Tıp Fakültesi Dekanlığı Mezıniyet Sonrası Eğitim Kurulu, 01/03-02/03/2016.</w:t>
      </w:r>
    </w:p>
    <w:p w:rsidR="0076252F" w:rsidRDefault="00C3399F" w:rsidP="0076252F">
      <w:pPr>
        <w:widowControl w:val="0"/>
        <w:autoSpaceDE w:val="0"/>
        <w:autoSpaceDN w:val="0"/>
        <w:adjustRightInd w:val="0"/>
        <w:ind w:right="-20" w:firstLine="0"/>
        <w:rPr>
          <w:rFonts w:eastAsia="Times New Roman" w:cs="Times New Roman"/>
          <w:bCs/>
          <w:spacing w:val="6"/>
          <w:szCs w:val="24"/>
        </w:rPr>
      </w:pPr>
      <w:r w:rsidRPr="00626110">
        <w:rPr>
          <w:rFonts w:eastAsia="Times New Roman" w:cs="Times New Roman"/>
          <w:bCs/>
          <w:spacing w:val="6"/>
          <w:szCs w:val="24"/>
        </w:rPr>
        <w:t>4</w:t>
      </w:r>
      <w:r w:rsidR="0076252F" w:rsidRPr="00626110">
        <w:rPr>
          <w:rFonts w:eastAsia="Times New Roman" w:cs="Times New Roman"/>
          <w:bCs/>
          <w:spacing w:val="6"/>
          <w:szCs w:val="24"/>
        </w:rPr>
        <w:t>.</w:t>
      </w:r>
      <w:r w:rsidR="0076252F">
        <w:rPr>
          <w:rFonts w:eastAsia="Times New Roman" w:cs="Times New Roman"/>
          <w:b/>
          <w:bCs/>
          <w:spacing w:val="6"/>
          <w:szCs w:val="24"/>
        </w:rPr>
        <w:t xml:space="preserve"> </w:t>
      </w:r>
      <w:r w:rsidR="0076252F" w:rsidRPr="0076252F">
        <w:rPr>
          <w:rFonts w:eastAsia="Times New Roman" w:cs="Times New Roman"/>
          <w:bCs/>
          <w:spacing w:val="6"/>
          <w:szCs w:val="24"/>
        </w:rPr>
        <w:t>Temel Hücre Kültürü ve Hücre Ölümü Analiz Yöntemleri Uygulamalı Kursu-IV</w:t>
      </w:r>
      <w:r w:rsidR="00C34948">
        <w:rPr>
          <w:rFonts w:eastAsia="Times New Roman" w:cs="Times New Roman"/>
          <w:bCs/>
          <w:spacing w:val="6"/>
          <w:szCs w:val="24"/>
        </w:rPr>
        <w:t>, Hücre Ölümü Araştırma Derneği, 14/06-16/06/</w:t>
      </w:r>
      <w:r w:rsidR="0076252F">
        <w:rPr>
          <w:rFonts w:eastAsia="Times New Roman" w:cs="Times New Roman"/>
          <w:bCs/>
          <w:spacing w:val="6"/>
          <w:szCs w:val="24"/>
        </w:rPr>
        <w:t>2017.</w:t>
      </w:r>
    </w:p>
    <w:p w:rsidR="0076252F" w:rsidRDefault="00C3399F" w:rsidP="0076252F">
      <w:pPr>
        <w:widowControl w:val="0"/>
        <w:autoSpaceDE w:val="0"/>
        <w:autoSpaceDN w:val="0"/>
        <w:adjustRightInd w:val="0"/>
        <w:ind w:right="-20" w:firstLine="0"/>
        <w:rPr>
          <w:rFonts w:eastAsia="Times New Roman" w:cs="Times New Roman"/>
          <w:bCs/>
          <w:spacing w:val="6"/>
          <w:szCs w:val="24"/>
        </w:rPr>
      </w:pPr>
      <w:r w:rsidRPr="00626110">
        <w:rPr>
          <w:rFonts w:eastAsia="Times New Roman" w:cs="Times New Roman"/>
          <w:bCs/>
          <w:spacing w:val="6"/>
          <w:szCs w:val="24"/>
        </w:rPr>
        <w:t>5</w:t>
      </w:r>
      <w:r w:rsidR="0076252F" w:rsidRPr="00626110">
        <w:rPr>
          <w:rFonts w:eastAsia="Times New Roman" w:cs="Times New Roman"/>
          <w:bCs/>
          <w:spacing w:val="6"/>
          <w:szCs w:val="24"/>
        </w:rPr>
        <w:t>.</w:t>
      </w:r>
      <w:r w:rsidR="0076252F">
        <w:rPr>
          <w:rFonts w:eastAsia="Times New Roman" w:cs="Times New Roman"/>
          <w:bCs/>
          <w:spacing w:val="6"/>
          <w:szCs w:val="24"/>
        </w:rPr>
        <w:t xml:space="preserve"> </w:t>
      </w:r>
      <w:r w:rsidR="0076252F" w:rsidRPr="0076252F">
        <w:rPr>
          <w:rFonts w:eastAsia="Times New Roman" w:cs="Times New Roman"/>
          <w:bCs/>
          <w:spacing w:val="6"/>
          <w:szCs w:val="24"/>
        </w:rPr>
        <w:t>Laboratuvar Uygulamalarında Moleküler Tekniklerin Yeri ve Kullanım Kursu</w:t>
      </w:r>
      <w:r w:rsidR="00C34948">
        <w:rPr>
          <w:rFonts w:eastAsia="Times New Roman" w:cs="Times New Roman"/>
          <w:bCs/>
          <w:spacing w:val="6"/>
          <w:szCs w:val="24"/>
        </w:rPr>
        <w:t xml:space="preserve">, </w:t>
      </w:r>
      <w:r w:rsidR="00571FCE">
        <w:rPr>
          <w:rFonts w:eastAsia="Times New Roman" w:cs="Times New Roman"/>
          <w:bCs/>
          <w:spacing w:val="6"/>
          <w:szCs w:val="24"/>
        </w:rPr>
        <w:t xml:space="preserve">Çukurova Üniversitesi, </w:t>
      </w:r>
      <w:r w:rsidR="00C34948">
        <w:rPr>
          <w:rFonts w:eastAsia="Times New Roman" w:cs="Times New Roman"/>
          <w:bCs/>
          <w:spacing w:val="6"/>
          <w:szCs w:val="24"/>
        </w:rPr>
        <w:t>29/01-02/</w:t>
      </w:r>
      <w:r w:rsidR="0076252F">
        <w:rPr>
          <w:rFonts w:eastAsia="Times New Roman" w:cs="Times New Roman"/>
          <w:bCs/>
          <w:spacing w:val="6"/>
          <w:szCs w:val="24"/>
        </w:rPr>
        <w:t>02</w:t>
      </w:r>
      <w:r w:rsidR="00C34948">
        <w:rPr>
          <w:rFonts w:eastAsia="Times New Roman" w:cs="Times New Roman"/>
          <w:bCs/>
          <w:spacing w:val="6"/>
          <w:szCs w:val="24"/>
        </w:rPr>
        <w:t>/</w:t>
      </w:r>
      <w:r w:rsidR="0076252F">
        <w:rPr>
          <w:rFonts w:eastAsia="Times New Roman" w:cs="Times New Roman"/>
          <w:bCs/>
          <w:spacing w:val="6"/>
          <w:szCs w:val="24"/>
        </w:rPr>
        <w:t>2018.</w:t>
      </w:r>
    </w:p>
    <w:p w:rsidR="0076252F" w:rsidRPr="0076252F" w:rsidRDefault="0076252F" w:rsidP="0076252F">
      <w:pPr>
        <w:widowControl w:val="0"/>
        <w:autoSpaceDE w:val="0"/>
        <w:autoSpaceDN w:val="0"/>
        <w:adjustRightInd w:val="0"/>
        <w:ind w:right="-20" w:firstLine="0"/>
        <w:rPr>
          <w:rFonts w:eastAsia="Times New Roman" w:cs="Times New Roman"/>
          <w:bCs/>
          <w:spacing w:val="6"/>
          <w:szCs w:val="24"/>
        </w:rPr>
      </w:pPr>
    </w:p>
    <w:p w:rsidR="0076252F" w:rsidRPr="0076252F" w:rsidRDefault="0076252F" w:rsidP="0076252F">
      <w:pPr>
        <w:widowControl w:val="0"/>
        <w:autoSpaceDE w:val="0"/>
        <w:autoSpaceDN w:val="0"/>
        <w:adjustRightInd w:val="0"/>
        <w:ind w:right="-20" w:firstLine="0"/>
        <w:rPr>
          <w:rFonts w:eastAsia="Times New Roman" w:cs="Times New Roman"/>
          <w:bCs/>
          <w:spacing w:val="6"/>
          <w:szCs w:val="24"/>
        </w:rPr>
      </w:pPr>
      <w:r>
        <w:rPr>
          <w:rFonts w:eastAsia="Times New Roman" w:cs="Times New Roman"/>
          <w:bCs/>
          <w:spacing w:val="6"/>
          <w:szCs w:val="24"/>
        </w:rPr>
        <w:t xml:space="preserve"> </w:t>
      </w:r>
    </w:p>
    <w:p w:rsidR="0076252F" w:rsidRDefault="0076252F" w:rsidP="00993159">
      <w:pPr>
        <w:widowControl w:val="0"/>
        <w:autoSpaceDE w:val="0"/>
        <w:autoSpaceDN w:val="0"/>
        <w:adjustRightInd w:val="0"/>
        <w:spacing w:line="240" w:lineRule="auto"/>
        <w:ind w:right="-20" w:firstLine="0"/>
        <w:rPr>
          <w:rFonts w:eastAsia="Times New Roman" w:cs="Times New Roman"/>
          <w:szCs w:val="24"/>
        </w:rPr>
      </w:pPr>
    </w:p>
    <w:p w:rsidR="0076252F" w:rsidRPr="00D078B7" w:rsidRDefault="0076252F" w:rsidP="00D078B7">
      <w:pPr>
        <w:tabs>
          <w:tab w:val="num" w:pos="360"/>
        </w:tabs>
        <w:spacing w:before="120" w:after="120"/>
        <w:ind w:left="360" w:hanging="360"/>
        <w:rPr>
          <w:szCs w:val="20"/>
        </w:rPr>
      </w:pPr>
    </w:p>
    <w:p w:rsidR="00D078B7" w:rsidRPr="00D078B7" w:rsidRDefault="00D078B7" w:rsidP="00D078B7">
      <w:pPr>
        <w:autoSpaceDE w:val="0"/>
        <w:autoSpaceDN w:val="0"/>
        <w:adjustRightInd w:val="0"/>
        <w:ind w:firstLine="0"/>
        <w:rPr>
          <w:szCs w:val="20"/>
        </w:rPr>
      </w:pPr>
    </w:p>
    <w:p w:rsidR="00D078B7" w:rsidRPr="00D078B7" w:rsidRDefault="00D078B7" w:rsidP="00D078B7">
      <w:pPr>
        <w:autoSpaceDE w:val="0"/>
        <w:autoSpaceDN w:val="0"/>
        <w:adjustRightInd w:val="0"/>
        <w:ind w:firstLine="0"/>
        <w:rPr>
          <w:szCs w:val="20"/>
        </w:rPr>
      </w:pPr>
    </w:p>
    <w:p w:rsidR="00D078B7" w:rsidRPr="00D078B7" w:rsidRDefault="00D078B7" w:rsidP="00D078B7">
      <w:pPr>
        <w:autoSpaceDE w:val="0"/>
        <w:autoSpaceDN w:val="0"/>
        <w:adjustRightInd w:val="0"/>
        <w:ind w:firstLine="0"/>
        <w:rPr>
          <w:szCs w:val="20"/>
        </w:rPr>
      </w:pPr>
    </w:p>
    <w:sectPr w:rsidR="00D078B7" w:rsidRPr="00D078B7"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EE7" w:rsidRDefault="00444EE7" w:rsidP="00AC5D07">
      <w:pPr>
        <w:spacing w:line="240" w:lineRule="auto"/>
      </w:pPr>
      <w:r>
        <w:separator/>
      </w:r>
    </w:p>
  </w:endnote>
  <w:endnote w:type="continuationSeparator" w:id="0">
    <w:p w:rsidR="00444EE7" w:rsidRDefault="00444EE7"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77D" w:rsidRDefault="0037177D">
    <w:pPr>
      <w:pStyle w:val="Altbilgi"/>
      <w:jc w:val="right"/>
    </w:pPr>
  </w:p>
  <w:p w:rsidR="0037177D" w:rsidRDefault="0037177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958724"/>
      <w:docPartObj>
        <w:docPartGallery w:val="Page Numbers (Bottom of Page)"/>
        <w:docPartUnique/>
      </w:docPartObj>
    </w:sdtPr>
    <w:sdtContent>
      <w:p w:rsidR="0037177D" w:rsidRDefault="0037177D">
        <w:pPr>
          <w:pStyle w:val="Altbilgi"/>
          <w:jc w:val="right"/>
        </w:pPr>
        <w:r>
          <w:fldChar w:fldCharType="begin"/>
        </w:r>
        <w:r>
          <w:instrText>PAGE   \* MERGEFORMAT</w:instrText>
        </w:r>
        <w:r>
          <w:fldChar w:fldCharType="separate"/>
        </w:r>
        <w:r w:rsidR="00D3254B">
          <w:rPr>
            <w:noProof/>
          </w:rPr>
          <w:t>188</w:t>
        </w:r>
        <w:r>
          <w:rPr>
            <w:noProof/>
          </w:rPr>
          <w:fldChar w:fldCharType="end"/>
        </w:r>
      </w:p>
    </w:sdtContent>
  </w:sdt>
  <w:p w:rsidR="0037177D" w:rsidRDefault="0037177D"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EE7" w:rsidRDefault="00444EE7" w:rsidP="00AC5D07">
      <w:pPr>
        <w:spacing w:line="240" w:lineRule="auto"/>
      </w:pPr>
      <w:r>
        <w:separator/>
      </w:r>
    </w:p>
  </w:footnote>
  <w:footnote w:type="continuationSeparator" w:id="0">
    <w:p w:rsidR="00444EE7" w:rsidRDefault="00444EE7"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77D" w:rsidRDefault="0037177D"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B107B64"/>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7A90FE0"/>
    <w:multiLevelType w:val="hybridMultilevel"/>
    <w:tmpl w:val="6D0617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EA4CB5"/>
    <w:multiLevelType w:val="hybridMultilevel"/>
    <w:tmpl w:val="0F1C0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A60D27"/>
    <w:multiLevelType w:val="hybridMultilevel"/>
    <w:tmpl w:val="7812A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CFD7F79"/>
    <w:multiLevelType w:val="hybridMultilevel"/>
    <w:tmpl w:val="EAD240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175151C"/>
    <w:multiLevelType w:val="hybridMultilevel"/>
    <w:tmpl w:val="1916D6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4">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5"/>
  </w:num>
  <w:num w:numId="3">
    <w:abstractNumId w:val="11"/>
  </w:num>
  <w:num w:numId="4">
    <w:abstractNumId w:val="5"/>
  </w:num>
  <w:num w:numId="5">
    <w:abstractNumId w:val="8"/>
  </w:num>
  <w:num w:numId="6">
    <w:abstractNumId w:val="13"/>
  </w:num>
  <w:num w:numId="7">
    <w:abstractNumId w:val="17"/>
  </w:num>
  <w:num w:numId="8">
    <w:abstractNumId w:val="6"/>
  </w:num>
  <w:num w:numId="9">
    <w:abstractNumId w:val="4"/>
  </w:num>
  <w:num w:numId="10">
    <w:abstractNumId w:val="16"/>
  </w:num>
  <w:num w:numId="11">
    <w:abstractNumId w:val="17"/>
    <w:lvlOverride w:ilvl="0">
      <w:startOverride w:val="1"/>
    </w:lvlOverride>
    <w:lvlOverride w:ilvl="1"/>
    <w:lvlOverride w:ilvl="2"/>
    <w:lvlOverride w:ilvl="3"/>
    <w:lvlOverride w:ilvl="4"/>
    <w:lvlOverride w:ilvl="5"/>
    <w:lvlOverride w:ilvl="6"/>
    <w:lvlOverride w:ilvl="7"/>
    <w:lvlOverride w:ilvl="8"/>
  </w:num>
  <w:num w:numId="12">
    <w:abstractNumId w:val="2"/>
  </w:num>
  <w:num w:numId="13">
    <w:abstractNumId w:val="7"/>
  </w:num>
  <w:num w:numId="14">
    <w:abstractNumId w:val="3"/>
  </w:num>
  <w:num w:numId="15">
    <w:abstractNumId w:val="1"/>
  </w:num>
  <w:num w:numId="16">
    <w:abstractNumId w:val="12"/>
  </w:num>
  <w:num w:numId="17">
    <w:abstractNumId w:val="10"/>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CBF"/>
    <w:rsid w:val="00002DCD"/>
    <w:rsid w:val="0000311D"/>
    <w:rsid w:val="000036B9"/>
    <w:rsid w:val="00003A81"/>
    <w:rsid w:val="00005D7E"/>
    <w:rsid w:val="0000600C"/>
    <w:rsid w:val="00006154"/>
    <w:rsid w:val="000069F4"/>
    <w:rsid w:val="00007AD1"/>
    <w:rsid w:val="0001104A"/>
    <w:rsid w:val="00011090"/>
    <w:rsid w:val="000110F3"/>
    <w:rsid w:val="0001146A"/>
    <w:rsid w:val="00011CA1"/>
    <w:rsid w:val="0001451E"/>
    <w:rsid w:val="0001529B"/>
    <w:rsid w:val="00015E5F"/>
    <w:rsid w:val="00015E9B"/>
    <w:rsid w:val="00016141"/>
    <w:rsid w:val="00016439"/>
    <w:rsid w:val="00016F5E"/>
    <w:rsid w:val="000174D9"/>
    <w:rsid w:val="000175EF"/>
    <w:rsid w:val="0002021F"/>
    <w:rsid w:val="00020870"/>
    <w:rsid w:val="00020E38"/>
    <w:rsid w:val="00021402"/>
    <w:rsid w:val="00022016"/>
    <w:rsid w:val="00023D02"/>
    <w:rsid w:val="000240DA"/>
    <w:rsid w:val="00024959"/>
    <w:rsid w:val="00025A78"/>
    <w:rsid w:val="00025B71"/>
    <w:rsid w:val="0002746D"/>
    <w:rsid w:val="000275A9"/>
    <w:rsid w:val="000276CD"/>
    <w:rsid w:val="00027981"/>
    <w:rsid w:val="000305F3"/>
    <w:rsid w:val="000309FF"/>
    <w:rsid w:val="0003179A"/>
    <w:rsid w:val="00032212"/>
    <w:rsid w:val="00032692"/>
    <w:rsid w:val="000331F7"/>
    <w:rsid w:val="0003400C"/>
    <w:rsid w:val="0003411F"/>
    <w:rsid w:val="00034DA6"/>
    <w:rsid w:val="0003620D"/>
    <w:rsid w:val="000374A3"/>
    <w:rsid w:val="0004030F"/>
    <w:rsid w:val="00040BA4"/>
    <w:rsid w:val="00040C4B"/>
    <w:rsid w:val="000416F1"/>
    <w:rsid w:val="000421CA"/>
    <w:rsid w:val="000427C0"/>
    <w:rsid w:val="000435D5"/>
    <w:rsid w:val="00045BDC"/>
    <w:rsid w:val="00046755"/>
    <w:rsid w:val="000469D0"/>
    <w:rsid w:val="00047796"/>
    <w:rsid w:val="00050B48"/>
    <w:rsid w:val="00051579"/>
    <w:rsid w:val="00052814"/>
    <w:rsid w:val="00052E10"/>
    <w:rsid w:val="000532AC"/>
    <w:rsid w:val="0005423E"/>
    <w:rsid w:val="000544E6"/>
    <w:rsid w:val="00054A83"/>
    <w:rsid w:val="00054DAF"/>
    <w:rsid w:val="00055A39"/>
    <w:rsid w:val="00056AFF"/>
    <w:rsid w:val="00057386"/>
    <w:rsid w:val="00057CE2"/>
    <w:rsid w:val="000600FA"/>
    <w:rsid w:val="000606AB"/>
    <w:rsid w:val="000614F4"/>
    <w:rsid w:val="00061FB6"/>
    <w:rsid w:val="00062056"/>
    <w:rsid w:val="000624AF"/>
    <w:rsid w:val="000629AA"/>
    <w:rsid w:val="00063E96"/>
    <w:rsid w:val="0006528D"/>
    <w:rsid w:val="000721E1"/>
    <w:rsid w:val="00072336"/>
    <w:rsid w:val="00072367"/>
    <w:rsid w:val="00072B4C"/>
    <w:rsid w:val="00073F28"/>
    <w:rsid w:val="00075554"/>
    <w:rsid w:val="00075BB7"/>
    <w:rsid w:val="00076D7A"/>
    <w:rsid w:val="00076F62"/>
    <w:rsid w:val="00077B84"/>
    <w:rsid w:val="000802E5"/>
    <w:rsid w:val="00080A0D"/>
    <w:rsid w:val="0008100C"/>
    <w:rsid w:val="00081C96"/>
    <w:rsid w:val="00082000"/>
    <w:rsid w:val="0008284B"/>
    <w:rsid w:val="0008298A"/>
    <w:rsid w:val="00083100"/>
    <w:rsid w:val="0008334E"/>
    <w:rsid w:val="00083AA0"/>
    <w:rsid w:val="00083C93"/>
    <w:rsid w:val="0008476F"/>
    <w:rsid w:val="00084BEC"/>
    <w:rsid w:val="00084C56"/>
    <w:rsid w:val="00084DC7"/>
    <w:rsid w:val="00085ACF"/>
    <w:rsid w:val="00086495"/>
    <w:rsid w:val="00086B69"/>
    <w:rsid w:val="00086E94"/>
    <w:rsid w:val="00087797"/>
    <w:rsid w:val="00087A63"/>
    <w:rsid w:val="00091A1E"/>
    <w:rsid w:val="000920DA"/>
    <w:rsid w:val="00092803"/>
    <w:rsid w:val="00093A79"/>
    <w:rsid w:val="000943E9"/>
    <w:rsid w:val="00095114"/>
    <w:rsid w:val="000957AC"/>
    <w:rsid w:val="000976ED"/>
    <w:rsid w:val="000A18F3"/>
    <w:rsid w:val="000A1B98"/>
    <w:rsid w:val="000A2C54"/>
    <w:rsid w:val="000A31CC"/>
    <w:rsid w:val="000A35F0"/>
    <w:rsid w:val="000A3BA1"/>
    <w:rsid w:val="000A425E"/>
    <w:rsid w:val="000B0ECE"/>
    <w:rsid w:val="000B16BD"/>
    <w:rsid w:val="000B17E4"/>
    <w:rsid w:val="000B206C"/>
    <w:rsid w:val="000B20B6"/>
    <w:rsid w:val="000B228B"/>
    <w:rsid w:val="000B3457"/>
    <w:rsid w:val="000B3D21"/>
    <w:rsid w:val="000B402F"/>
    <w:rsid w:val="000B4A8A"/>
    <w:rsid w:val="000B5FC0"/>
    <w:rsid w:val="000B6400"/>
    <w:rsid w:val="000B6623"/>
    <w:rsid w:val="000B6CF5"/>
    <w:rsid w:val="000C080A"/>
    <w:rsid w:val="000C08D4"/>
    <w:rsid w:val="000C1933"/>
    <w:rsid w:val="000C1AD2"/>
    <w:rsid w:val="000C256A"/>
    <w:rsid w:val="000C2698"/>
    <w:rsid w:val="000C3362"/>
    <w:rsid w:val="000C363F"/>
    <w:rsid w:val="000C4186"/>
    <w:rsid w:val="000C5351"/>
    <w:rsid w:val="000C69BF"/>
    <w:rsid w:val="000C70F2"/>
    <w:rsid w:val="000C771D"/>
    <w:rsid w:val="000C7AC1"/>
    <w:rsid w:val="000C7CD6"/>
    <w:rsid w:val="000D0128"/>
    <w:rsid w:val="000D0D31"/>
    <w:rsid w:val="000D1AC9"/>
    <w:rsid w:val="000D4379"/>
    <w:rsid w:val="000D6589"/>
    <w:rsid w:val="000D73B8"/>
    <w:rsid w:val="000D7A2E"/>
    <w:rsid w:val="000E0038"/>
    <w:rsid w:val="000E0144"/>
    <w:rsid w:val="000E0820"/>
    <w:rsid w:val="000E0FDE"/>
    <w:rsid w:val="000E1143"/>
    <w:rsid w:val="000E1A38"/>
    <w:rsid w:val="000E31A0"/>
    <w:rsid w:val="000E322D"/>
    <w:rsid w:val="000E3C85"/>
    <w:rsid w:val="000E3DD9"/>
    <w:rsid w:val="000E523A"/>
    <w:rsid w:val="000E62A2"/>
    <w:rsid w:val="000E6C1E"/>
    <w:rsid w:val="000E6C20"/>
    <w:rsid w:val="000F08D9"/>
    <w:rsid w:val="000F231B"/>
    <w:rsid w:val="000F292D"/>
    <w:rsid w:val="000F2C4A"/>
    <w:rsid w:val="000F47A5"/>
    <w:rsid w:val="000F559B"/>
    <w:rsid w:val="000F5871"/>
    <w:rsid w:val="001011D4"/>
    <w:rsid w:val="0010247F"/>
    <w:rsid w:val="00103764"/>
    <w:rsid w:val="00104181"/>
    <w:rsid w:val="001047D8"/>
    <w:rsid w:val="001074DD"/>
    <w:rsid w:val="00110649"/>
    <w:rsid w:val="00111275"/>
    <w:rsid w:val="00111609"/>
    <w:rsid w:val="00111AA0"/>
    <w:rsid w:val="001125C2"/>
    <w:rsid w:val="00112797"/>
    <w:rsid w:val="0011342E"/>
    <w:rsid w:val="00113601"/>
    <w:rsid w:val="00115086"/>
    <w:rsid w:val="00115C3D"/>
    <w:rsid w:val="00116032"/>
    <w:rsid w:val="00117FD5"/>
    <w:rsid w:val="0012193C"/>
    <w:rsid w:val="00122AA1"/>
    <w:rsid w:val="001230D4"/>
    <w:rsid w:val="00123850"/>
    <w:rsid w:val="00123C6E"/>
    <w:rsid w:val="001242E4"/>
    <w:rsid w:val="00124D5F"/>
    <w:rsid w:val="00125476"/>
    <w:rsid w:val="00125F91"/>
    <w:rsid w:val="00125FCF"/>
    <w:rsid w:val="001266C4"/>
    <w:rsid w:val="0012773E"/>
    <w:rsid w:val="00127C40"/>
    <w:rsid w:val="00132E44"/>
    <w:rsid w:val="001343D2"/>
    <w:rsid w:val="0013449C"/>
    <w:rsid w:val="0013515F"/>
    <w:rsid w:val="00135398"/>
    <w:rsid w:val="00135751"/>
    <w:rsid w:val="001367A3"/>
    <w:rsid w:val="00137F62"/>
    <w:rsid w:val="001404FC"/>
    <w:rsid w:val="00140739"/>
    <w:rsid w:val="00140AE9"/>
    <w:rsid w:val="00141237"/>
    <w:rsid w:val="00142648"/>
    <w:rsid w:val="001429F5"/>
    <w:rsid w:val="00144281"/>
    <w:rsid w:val="001445D6"/>
    <w:rsid w:val="001477AB"/>
    <w:rsid w:val="00147AF1"/>
    <w:rsid w:val="00150A10"/>
    <w:rsid w:val="00150C22"/>
    <w:rsid w:val="00150FF4"/>
    <w:rsid w:val="00151614"/>
    <w:rsid w:val="001518FD"/>
    <w:rsid w:val="00151FCA"/>
    <w:rsid w:val="00152EB8"/>
    <w:rsid w:val="00153A55"/>
    <w:rsid w:val="00153CFB"/>
    <w:rsid w:val="00153F28"/>
    <w:rsid w:val="00156FF9"/>
    <w:rsid w:val="00157D33"/>
    <w:rsid w:val="00157E0C"/>
    <w:rsid w:val="00157EA4"/>
    <w:rsid w:val="00160658"/>
    <w:rsid w:val="00160B3E"/>
    <w:rsid w:val="0016189A"/>
    <w:rsid w:val="00162FE3"/>
    <w:rsid w:val="00163484"/>
    <w:rsid w:val="00163AE0"/>
    <w:rsid w:val="00163F38"/>
    <w:rsid w:val="001659F0"/>
    <w:rsid w:val="00167823"/>
    <w:rsid w:val="00167880"/>
    <w:rsid w:val="00170791"/>
    <w:rsid w:val="00170B7E"/>
    <w:rsid w:val="00171557"/>
    <w:rsid w:val="001727AE"/>
    <w:rsid w:val="00172D08"/>
    <w:rsid w:val="00173B29"/>
    <w:rsid w:val="00173CCF"/>
    <w:rsid w:val="00174001"/>
    <w:rsid w:val="0017647F"/>
    <w:rsid w:val="00177945"/>
    <w:rsid w:val="001802C3"/>
    <w:rsid w:val="00180FD2"/>
    <w:rsid w:val="001828D2"/>
    <w:rsid w:val="00182CD8"/>
    <w:rsid w:val="00182EE9"/>
    <w:rsid w:val="00184CFA"/>
    <w:rsid w:val="00185432"/>
    <w:rsid w:val="001855C6"/>
    <w:rsid w:val="001863EE"/>
    <w:rsid w:val="00186BE7"/>
    <w:rsid w:val="00190224"/>
    <w:rsid w:val="001905A6"/>
    <w:rsid w:val="00190A55"/>
    <w:rsid w:val="00191344"/>
    <w:rsid w:val="001914D8"/>
    <w:rsid w:val="00193A10"/>
    <w:rsid w:val="00193C2A"/>
    <w:rsid w:val="00193FAF"/>
    <w:rsid w:val="00194CD9"/>
    <w:rsid w:val="00195217"/>
    <w:rsid w:val="00196FCE"/>
    <w:rsid w:val="001A0F6D"/>
    <w:rsid w:val="001A16D2"/>
    <w:rsid w:val="001A1E2C"/>
    <w:rsid w:val="001A28F3"/>
    <w:rsid w:val="001A2B2D"/>
    <w:rsid w:val="001A2C5A"/>
    <w:rsid w:val="001A326B"/>
    <w:rsid w:val="001A4E07"/>
    <w:rsid w:val="001A542F"/>
    <w:rsid w:val="001A5A88"/>
    <w:rsid w:val="001A5B04"/>
    <w:rsid w:val="001A5DF6"/>
    <w:rsid w:val="001A6C42"/>
    <w:rsid w:val="001A6EE1"/>
    <w:rsid w:val="001A72C3"/>
    <w:rsid w:val="001A74AB"/>
    <w:rsid w:val="001A79B7"/>
    <w:rsid w:val="001B0A3C"/>
    <w:rsid w:val="001B15D4"/>
    <w:rsid w:val="001B4005"/>
    <w:rsid w:val="001B4F1E"/>
    <w:rsid w:val="001B5AA1"/>
    <w:rsid w:val="001B6220"/>
    <w:rsid w:val="001B62D3"/>
    <w:rsid w:val="001B6B95"/>
    <w:rsid w:val="001B72D9"/>
    <w:rsid w:val="001B74C0"/>
    <w:rsid w:val="001C0443"/>
    <w:rsid w:val="001C0F2D"/>
    <w:rsid w:val="001C11AC"/>
    <w:rsid w:val="001C1F19"/>
    <w:rsid w:val="001C2FB8"/>
    <w:rsid w:val="001C3CBC"/>
    <w:rsid w:val="001C464F"/>
    <w:rsid w:val="001C58DF"/>
    <w:rsid w:val="001C63D1"/>
    <w:rsid w:val="001C70F4"/>
    <w:rsid w:val="001C7F99"/>
    <w:rsid w:val="001D17D4"/>
    <w:rsid w:val="001D2358"/>
    <w:rsid w:val="001D29BE"/>
    <w:rsid w:val="001D3EC8"/>
    <w:rsid w:val="001D4C26"/>
    <w:rsid w:val="001D5254"/>
    <w:rsid w:val="001D6335"/>
    <w:rsid w:val="001D67C4"/>
    <w:rsid w:val="001D745B"/>
    <w:rsid w:val="001D76BE"/>
    <w:rsid w:val="001E13FC"/>
    <w:rsid w:val="001E1B7B"/>
    <w:rsid w:val="001E1F0D"/>
    <w:rsid w:val="001E306D"/>
    <w:rsid w:val="001E30A6"/>
    <w:rsid w:val="001E35CA"/>
    <w:rsid w:val="001E47F1"/>
    <w:rsid w:val="001E6300"/>
    <w:rsid w:val="001E6507"/>
    <w:rsid w:val="001E6939"/>
    <w:rsid w:val="001E6E78"/>
    <w:rsid w:val="001F03D8"/>
    <w:rsid w:val="001F132E"/>
    <w:rsid w:val="001F2D7E"/>
    <w:rsid w:val="001F35CF"/>
    <w:rsid w:val="001F3D26"/>
    <w:rsid w:val="001F46D4"/>
    <w:rsid w:val="001F50D7"/>
    <w:rsid w:val="001F5670"/>
    <w:rsid w:val="001F6EB2"/>
    <w:rsid w:val="001F73C9"/>
    <w:rsid w:val="00200809"/>
    <w:rsid w:val="00200C33"/>
    <w:rsid w:val="00200F76"/>
    <w:rsid w:val="00201BF4"/>
    <w:rsid w:val="00201CB8"/>
    <w:rsid w:val="00202821"/>
    <w:rsid w:val="002040AB"/>
    <w:rsid w:val="002046DA"/>
    <w:rsid w:val="00205920"/>
    <w:rsid w:val="00206381"/>
    <w:rsid w:val="00206C5C"/>
    <w:rsid w:val="00210384"/>
    <w:rsid w:val="00210DB1"/>
    <w:rsid w:val="002111C7"/>
    <w:rsid w:val="00211315"/>
    <w:rsid w:val="00211431"/>
    <w:rsid w:val="00212818"/>
    <w:rsid w:val="00213503"/>
    <w:rsid w:val="00213758"/>
    <w:rsid w:val="00213E43"/>
    <w:rsid w:val="002146B6"/>
    <w:rsid w:val="002152F1"/>
    <w:rsid w:val="002163FF"/>
    <w:rsid w:val="002165B2"/>
    <w:rsid w:val="002167EA"/>
    <w:rsid w:val="00217539"/>
    <w:rsid w:val="00220133"/>
    <w:rsid w:val="00220563"/>
    <w:rsid w:val="0022072D"/>
    <w:rsid w:val="002212E1"/>
    <w:rsid w:val="00221600"/>
    <w:rsid w:val="002217BD"/>
    <w:rsid w:val="00221974"/>
    <w:rsid w:val="00221AFE"/>
    <w:rsid w:val="00222676"/>
    <w:rsid w:val="00222FAA"/>
    <w:rsid w:val="002245A0"/>
    <w:rsid w:val="0022599C"/>
    <w:rsid w:val="0022684B"/>
    <w:rsid w:val="00227D40"/>
    <w:rsid w:val="0023230E"/>
    <w:rsid w:val="0023240D"/>
    <w:rsid w:val="002325B4"/>
    <w:rsid w:val="00232AFA"/>
    <w:rsid w:val="002330AE"/>
    <w:rsid w:val="00233462"/>
    <w:rsid w:val="00233891"/>
    <w:rsid w:val="00235F74"/>
    <w:rsid w:val="00236D38"/>
    <w:rsid w:val="00236DFB"/>
    <w:rsid w:val="0023716F"/>
    <w:rsid w:val="00237610"/>
    <w:rsid w:val="00237FE9"/>
    <w:rsid w:val="002411BC"/>
    <w:rsid w:val="0024172E"/>
    <w:rsid w:val="002418AE"/>
    <w:rsid w:val="00242C2C"/>
    <w:rsid w:val="00242CCC"/>
    <w:rsid w:val="00243860"/>
    <w:rsid w:val="00243E9B"/>
    <w:rsid w:val="002446A3"/>
    <w:rsid w:val="0024582F"/>
    <w:rsid w:val="0024659A"/>
    <w:rsid w:val="00246673"/>
    <w:rsid w:val="00247DAE"/>
    <w:rsid w:val="00250038"/>
    <w:rsid w:val="0025008D"/>
    <w:rsid w:val="00250127"/>
    <w:rsid w:val="00250363"/>
    <w:rsid w:val="00250CC1"/>
    <w:rsid w:val="00251616"/>
    <w:rsid w:val="002517D7"/>
    <w:rsid w:val="00252011"/>
    <w:rsid w:val="0025291D"/>
    <w:rsid w:val="002541D3"/>
    <w:rsid w:val="00254A76"/>
    <w:rsid w:val="00254DC4"/>
    <w:rsid w:val="00255BE4"/>
    <w:rsid w:val="0025704C"/>
    <w:rsid w:val="002572A3"/>
    <w:rsid w:val="0026046C"/>
    <w:rsid w:val="00260B19"/>
    <w:rsid w:val="002611B8"/>
    <w:rsid w:val="002611C7"/>
    <w:rsid w:val="00261428"/>
    <w:rsid w:val="0026158A"/>
    <w:rsid w:val="0026167E"/>
    <w:rsid w:val="00261D41"/>
    <w:rsid w:val="002624DC"/>
    <w:rsid w:val="00263454"/>
    <w:rsid w:val="00263644"/>
    <w:rsid w:val="002650CF"/>
    <w:rsid w:val="00266B08"/>
    <w:rsid w:val="0026769D"/>
    <w:rsid w:val="002676D1"/>
    <w:rsid w:val="002679EE"/>
    <w:rsid w:val="00270FF7"/>
    <w:rsid w:val="002711CD"/>
    <w:rsid w:val="00271C3A"/>
    <w:rsid w:val="00271D8A"/>
    <w:rsid w:val="00271F61"/>
    <w:rsid w:val="00272451"/>
    <w:rsid w:val="002727AB"/>
    <w:rsid w:val="0027487D"/>
    <w:rsid w:val="00274A53"/>
    <w:rsid w:val="00274BB7"/>
    <w:rsid w:val="0027555D"/>
    <w:rsid w:val="0027682F"/>
    <w:rsid w:val="00276E20"/>
    <w:rsid w:val="00277A65"/>
    <w:rsid w:val="00277BDC"/>
    <w:rsid w:val="00280D3D"/>
    <w:rsid w:val="00281363"/>
    <w:rsid w:val="002827AB"/>
    <w:rsid w:val="0028360C"/>
    <w:rsid w:val="002836B8"/>
    <w:rsid w:val="002839B9"/>
    <w:rsid w:val="00283D81"/>
    <w:rsid w:val="002863ED"/>
    <w:rsid w:val="00287BFE"/>
    <w:rsid w:val="0029022A"/>
    <w:rsid w:val="00290744"/>
    <w:rsid w:val="002909CD"/>
    <w:rsid w:val="00291BE2"/>
    <w:rsid w:val="00291C7E"/>
    <w:rsid w:val="002921B8"/>
    <w:rsid w:val="00292717"/>
    <w:rsid w:val="00293170"/>
    <w:rsid w:val="002945E4"/>
    <w:rsid w:val="00294CAF"/>
    <w:rsid w:val="00296360"/>
    <w:rsid w:val="00296AD6"/>
    <w:rsid w:val="002A1268"/>
    <w:rsid w:val="002A1A34"/>
    <w:rsid w:val="002A22D9"/>
    <w:rsid w:val="002A2606"/>
    <w:rsid w:val="002A3716"/>
    <w:rsid w:val="002A3F14"/>
    <w:rsid w:val="002A42ED"/>
    <w:rsid w:val="002A52AB"/>
    <w:rsid w:val="002A64C9"/>
    <w:rsid w:val="002A78ED"/>
    <w:rsid w:val="002B12CD"/>
    <w:rsid w:val="002B145C"/>
    <w:rsid w:val="002B169B"/>
    <w:rsid w:val="002B288B"/>
    <w:rsid w:val="002B291A"/>
    <w:rsid w:val="002B3114"/>
    <w:rsid w:val="002B3673"/>
    <w:rsid w:val="002B3831"/>
    <w:rsid w:val="002B422C"/>
    <w:rsid w:val="002B48A4"/>
    <w:rsid w:val="002B5031"/>
    <w:rsid w:val="002B50FC"/>
    <w:rsid w:val="002B5223"/>
    <w:rsid w:val="002B5BD9"/>
    <w:rsid w:val="002B5D9B"/>
    <w:rsid w:val="002B67CC"/>
    <w:rsid w:val="002B77FC"/>
    <w:rsid w:val="002C0E46"/>
    <w:rsid w:val="002C1282"/>
    <w:rsid w:val="002C1CF6"/>
    <w:rsid w:val="002C201A"/>
    <w:rsid w:val="002C248C"/>
    <w:rsid w:val="002C36EA"/>
    <w:rsid w:val="002C4267"/>
    <w:rsid w:val="002C4D74"/>
    <w:rsid w:val="002C6DDA"/>
    <w:rsid w:val="002C73A7"/>
    <w:rsid w:val="002C752E"/>
    <w:rsid w:val="002D0230"/>
    <w:rsid w:val="002D0752"/>
    <w:rsid w:val="002D0C09"/>
    <w:rsid w:val="002D0F86"/>
    <w:rsid w:val="002D1747"/>
    <w:rsid w:val="002D2258"/>
    <w:rsid w:val="002D2A77"/>
    <w:rsid w:val="002D2C84"/>
    <w:rsid w:val="002D2D6A"/>
    <w:rsid w:val="002D2D9D"/>
    <w:rsid w:val="002D30F6"/>
    <w:rsid w:val="002D32BF"/>
    <w:rsid w:val="002D3ADD"/>
    <w:rsid w:val="002D46B2"/>
    <w:rsid w:val="002D57C4"/>
    <w:rsid w:val="002D6393"/>
    <w:rsid w:val="002D68CA"/>
    <w:rsid w:val="002D6C07"/>
    <w:rsid w:val="002D7525"/>
    <w:rsid w:val="002D7814"/>
    <w:rsid w:val="002E100D"/>
    <w:rsid w:val="002E1038"/>
    <w:rsid w:val="002E1252"/>
    <w:rsid w:val="002E1791"/>
    <w:rsid w:val="002E188F"/>
    <w:rsid w:val="002E19EF"/>
    <w:rsid w:val="002E25FF"/>
    <w:rsid w:val="002E3D7A"/>
    <w:rsid w:val="002E3E48"/>
    <w:rsid w:val="002E3FA5"/>
    <w:rsid w:val="002E5166"/>
    <w:rsid w:val="002E55CF"/>
    <w:rsid w:val="002E5843"/>
    <w:rsid w:val="002E590D"/>
    <w:rsid w:val="002F077A"/>
    <w:rsid w:val="002F09B9"/>
    <w:rsid w:val="002F0B9E"/>
    <w:rsid w:val="002F167F"/>
    <w:rsid w:val="002F3144"/>
    <w:rsid w:val="002F41C8"/>
    <w:rsid w:val="002F60BA"/>
    <w:rsid w:val="002F69ED"/>
    <w:rsid w:val="002F7251"/>
    <w:rsid w:val="002F7DDA"/>
    <w:rsid w:val="0030012F"/>
    <w:rsid w:val="003003E2"/>
    <w:rsid w:val="003015A7"/>
    <w:rsid w:val="003016DB"/>
    <w:rsid w:val="0030176F"/>
    <w:rsid w:val="0030279F"/>
    <w:rsid w:val="00303DC3"/>
    <w:rsid w:val="00304074"/>
    <w:rsid w:val="003041AF"/>
    <w:rsid w:val="00305805"/>
    <w:rsid w:val="00306C69"/>
    <w:rsid w:val="00307280"/>
    <w:rsid w:val="0031022C"/>
    <w:rsid w:val="00311E34"/>
    <w:rsid w:val="003129FC"/>
    <w:rsid w:val="003136D5"/>
    <w:rsid w:val="00313FB7"/>
    <w:rsid w:val="00315CC8"/>
    <w:rsid w:val="00316175"/>
    <w:rsid w:val="00316219"/>
    <w:rsid w:val="003164FB"/>
    <w:rsid w:val="003165ED"/>
    <w:rsid w:val="003169F6"/>
    <w:rsid w:val="0031788B"/>
    <w:rsid w:val="00317B03"/>
    <w:rsid w:val="00317E01"/>
    <w:rsid w:val="00320171"/>
    <w:rsid w:val="0032144F"/>
    <w:rsid w:val="00323013"/>
    <w:rsid w:val="003239FD"/>
    <w:rsid w:val="00324B03"/>
    <w:rsid w:val="00324B3D"/>
    <w:rsid w:val="00325719"/>
    <w:rsid w:val="003263A0"/>
    <w:rsid w:val="00326DA3"/>
    <w:rsid w:val="003270ED"/>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40B24"/>
    <w:rsid w:val="00341D15"/>
    <w:rsid w:val="0034228B"/>
    <w:rsid w:val="00342505"/>
    <w:rsid w:val="0034381A"/>
    <w:rsid w:val="003444A3"/>
    <w:rsid w:val="00344E0F"/>
    <w:rsid w:val="003453B7"/>
    <w:rsid w:val="00345C7C"/>
    <w:rsid w:val="00345CDC"/>
    <w:rsid w:val="00346887"/>
    <w:rsid w:val="00346AE5"/>
    <w:rsid w:val="00346C9F"/>
    <w:rsid w:val="00346E49"/>
    <w:rsid w:val="0034788A"/>
    <w:rsid w:val="00347D87"/>
    <w:rsid w:val="0035098B"/>
    <w:rsid w:val="00351119"/>
    <w:rsid w:val="0035197B"/>
    <w:rsid w:val="0035265A"/>
    <w:rsid w:val="0035296A"/>
    <w:rsid w:val="00354D44"/>
    <w:rsid w:val="003566B1"/>
    <w:rsid w:val="00356BBE"/>
    <w:rsid w:val="00356E3F"/>
    <w:rsid w:val="00360466"/>
    <w:rsid w:val="0036096D"/>
    <w:rsid w:val="00361AF4"/>
    <w:rsid w:val="00363CCE"/>
    <w:rsid w:val="00363E32"/>
    <w:rsid w:val="00363F6C"/>
    <w:rsid w:val="00365264"/>
    <w:rsid w:val="00365723"/>
    <w:rsid w:val="00365C8F"/>
    <w:rsid w:val="00366237"/>
    <w:rsid w:val="003664E5"/>
    <w:rsid w:val="003665C0"/>
    <w:rsid w:val="00367376"/>
    <w:rsid w:val="0037177D"/>
    <w:rsid w:val="00372B13"/>
    <w:rsid w:val="00372B1C"/>
    <w:rsid w:val="003753EA"/>
    <w:rsid w:val="003765AC"/>
    <w:rsid w:val="00376C01"/>
    <w:rsid w:val="003807DF"/>
    <w:rsid w:val="00381162"/>
    <w:rsid w:val="00381FD3"/>
    <w:rsid w:val="0038270B"/>
    <w:rsid w:val="00383453"/>
    <w:rsid w:val="003838D0"/>
    <w:rsid w:val="00383ABB"/>
    <w:rsid w:val="00384E2B"/>
    <w:rsid w:val="00387A3A"/>
    <w:rsid w:val="003903B6"/>
    <w:rsid w:val="0039079F"/>
    <w:rsid w:val="003910AA"/>
    <w:rsid w:val="003910F9"/>
    <w:rsid w:val="00393255"/>
    <w:rsid w:val="00394546"/>
    <w:rsid w:val="00394A0A"/>
    <w:rsid w:val="00395A02"/>
    <w:rsid w:val="003966B0"/>
    <w:rsid w:val="00396E3C"/>
    <w:rsid w:val="00397FD3"/>
    <w:rsid w:val="003A14E5"/>
    <w:rsid w:val="003A2E63"/>
    <w:rsid w:val="003A2F7A"/>
    <w:rsid w:val="003A3ACA"/>
    <w:rsid w:val="003A4D9B"/>
    <w:rsid w:val="003A4E09"/>
    <w:rsid w:val="003A7E65"/>
    <w:rsid w:val="003B02CD"/>
    <w:rsid w:val="003B0440"/>
    <w:rsid w:val="003B1328"/>
    <w:rsid w:val="003B191B"/>
    <w:rsid w:val="003B2C8D"/>
    <w:rsid w:val="003B2D9E"/>
    <w:rsid w:val="003B432B"/>
    <w:rsid w:val="003B46BD"/>
    <w:rsid w:val="003B48DD"/>
    <w:rsid w:val="003B4F1A"/>
    <w:rsid w:val="003B5463"/>
    <w:rsid w:val="003B5A1A"/>
    <w:rsid w:val="003B5F1D"/>
    <w:rsid w:val="003C01B5"/>
    <w:rsid w:val="003C0CA2"/>
    <w:rsid w:val="003C1156"/>
    <w:rsid w:val="003C2496"/>
    <w:rsid w:val="003C2DC5"/>
    <w:rsid w:val="003C54C4"/>
    <w:rsid w:val="003C6B47"/>
    <w:rsid w:val="003D1489"/>
    <w:rsid w:val="003D1F37"/>
    <w:rsid w:val="003D2295"/>
    <w:rsid w:val="003D2CFB"/>
    <w:rsid w:val="003D2D90"/>
    <w:rsid w:val="003D39B7"/>
    <w:rsid w:val="003D44F3"/>
    <w:rsid w:val="003D5191"/>
    <w:rsid w:val="003D659F"/>
    <w:rsid w:val="003D66D0"/>
    <w:rsid w:val="003D6EF1"/>
    <w:rsid w:val="003D7606"/>
    <w:rsid w:val="003E0C11"/>
    <w:rsid w:val="003E2D2B"/>
    <w:rsid w:val="003E38E0"/>
    <w:rsid w:val="003E6BBD"/>
    <w:rsid w:val="003E6F03"/>
    <w:rsid w:val="003E7076"/>
    <w:rsid w:val="003E7C26"/>
    <w:rsid w:val="003F096A"/>
    <w:rsid w:val="003F1644"/>
    <w:rsid w:val="003F4A68"/>
    <w:rsid w:val="003F4A78"/>
    <w:rsid w:val="003F714A"/>
    <w:rsid w:val="003F72C1"/>
    <w:rsid w:val="003F789F"/>
    <w:rsid w:val="00400ED6"/>
    <w:rsid w:val="004023AF"/>
    <w:rsid w:val="00403B06"/>
    <w:rsid w:val="004040E6"/>
    <w:rsid w:val="00404337"/>
    <w:rsid w:val="00404C7B"/>
    <w:rsid w:val="004053CF"/>
    <w:rsid w:val="004057EA"/>
    <w:rsid w:val="00405CF0"/>
    <w:rsid w:val="00406D39"/>
    <w:rsid w:val="00407E35"/>
    <w:rsid w:val="00411223"/>
    <w:rsid w:val="00411945"/>
    <w:rsid w:val="004153CA"/>
    <w:rsid w:val="004158C7"/>
    <w:rsid w:val="004164E3"/>
    <w:rsid w:val="00416696"/>
    <w:rsid w:val="004171C0"/>
    <w:rsid w:val="0041788F"/>
    <w:rsid w:val="00417C04"/>
    <w:rsid w:val="00417D55"/>
    <w:rsid w:val="00421211"/>
    <w:rsid w:val="00421BF9"/>
    <w:rsid w:val="00422D0B"/>
    <w:rsid w:val="00424C05"/>
    <w:rsid w:val="004250C8"/>
    <w:rsid w:val="00426658"/>
    <w:rsid w:val="00430C32"/>
    <w:rsid w:val="00430F41"/>
    <w:rsid w:val="004319CD"/>
    <w:rsid w:val="00431AA3"/>
    <w:rsid w:val="004320C3"/>
    <w:rsid w:val="0043262D"/>
    <w:rsid w:val="004335A6"/>
    <w:rsid w:val="004340FA"/>
    <w:rsid w:val="004372E5"/>
    <w:rsid w:val="0043798A"/>
    <w:rsid w:val="004407F1"/>
    <w:rsid w:val="00441B9A"/>
    <w:rsid w:val="004434E3"/>
    <w:rsid w:val="00443DD4"/>
    <w:rsid w:val="00444A78"/>
    <w:rsid w:val="00444EE7"/>
    <w:rsid w:val="004450F5"/>
    <w:rsid w:val="004462D8"/>
    <w:rsid w:val="00446892"/>
    <w:rsid w:val="004469D8"/>
    <w:rsid w:val="0044745A"/>
    <w:rsid w:val="00447648"/>
    <w:rsid w:val="00450AA9"/>
    <w:rsid w:val="00450F2D"/>
    <w:rsid w:val="00451A09"/>
    <w:rsid w:val="00451DE6"/>
    <w:rsid w:val="004523FE"/>
    <w:rsid w:val="00453358"/>
    <w:rsid w:val="00453A89"/>
    <w:rsid w:val="0045476B"/>
    <w:rsid w:val="004556EE"/>
    <w:rsid w:val="004557D9"/>
    <w:rsid w:val="00455CDF"/>
    <w:rsid w:val="00455F91"/>
    <w:rsid w:val="004577C8"/>
    <w:rsid w:val="0045783B"/>
    <w:rsid w:val="004612DE"/>
    <w:rsid w:val="00461795"/>
    <w:rsid w:val="00462BD6"/>
    <w:rsid w:val="004640C5"/>
    <w:rsid w:val="004642A4"/>
    <w:rsid w:val="00464E02"/>
    <w:rsid w:val="004657C4"/>
    <w:rsid w:val="00465B90"/>
    <w:rsid w:val="0046711E"/>
    <w:rsid w:val="00470091"/>
    <w:rsid w:val="004704D9"/>
    <w:rsid w:val="00470D9D"/>
    <w:rsid w:val="004714EF"/>
    <w:rsid w:val="0047181B"/>
    <w:rsid w:val="0047435E"/>
    <w:rsid w:val="00475E98"/>
    <w:rsid w:val="004774AD"/>
    <w:rsid w:val="0048013E"/>
    <w:rsid w:val="00480220"/>
    <w:rsid w:val="00480524"/>
    <w:rsid w:val="00481F3F"/>
    <w:rsid w:val="0048201E"/>
    <w:rsid w:val="00482986"/>
    <w:rsid w:val="00482E1D"/>
    <w:rsid w:val="00484653"/>
    <w:rsid w:val="0048485D"/>
    <w:rsid w:val="004849F8"/>
    <w:rsid w:val="004855EA"/>
    <w:rsid w:val="00485FBB"/>
    <w:rsid w:val="004872FC"/>
    <w:rsid w:val="00487552"/>
    <w:rsid w:val="00487C18"/>
    <w:rsid w:val="004911EA"/>
    <w:rsid w:val="0049261F"/>
    <w:rsid w:val="00493291"/>
    <w:rsid w:val="0049666D"/>
    <w:rsid w:val="00496BE9"/>
    <w:rsid w:val="004A0183"/>
    <w:rsid w:val="004A1413"/>
    <w:rsid w:val="004A1B05"/>
    <w:rsid w:val="004A2529"/>
    <w:rsid w:val="004A30B6"/>
    <w:rsid w:val="004A328B"/>
    <w:rsid w:val="004A4177"/>
    <w:rsid w:val="004A46D8"/>
    <w:rsid w:val="004A47FD"/>
    <w:rsid w:val="004A4D5B"/>
    <w:rsid w:val="004A5A92"/>
    <w:rsid w:val="004A5FAC"/>
    <w:rsid w:val="004A646D"/>
    <w:rsid w:val="004A70B9"/>
    <w:rsid w:val="004B0205"/>
    <w:rsid w:val="004B0B07"/>
    <w:rsid w:val="004B0E35"/>
    <w:rsid w:val="004B1226"/>
    <w:rsid w:val="004B2096"/>
    <w:rsid w:val="004B2FAC"/>
    <w:rsid w:val="004B35F6"/>
    <w:rsid w:val="004B3D75"/>
    <w:rsid w:val="004B4420"/>
    <w:rsid w:val="004B4695"/>
    <w:rsid w:val="004B4F65"/>
    <w:rsid w:val="004B4FC9"/>
    <w:rsid w:val="004B5084"/>
    <w:rsid w:val="004B5784"/>
    <w:rsid w:val="004B6564"/>
    <w:rsid w:val="004C041C"/>
    <w:rsid w:val="004C059C"/>
    <w:rsid w:val="004C1241"/>
    <w:rsid w:val="004C1852"/>
    <w:rsid w:val="004C1D44"/>
    <w:rsid w:val="004C2777"/>
    <w:rsid w:val="004C295C"/>
    <w:rsid w:val="004C2E17"/>
    <w:rsid w:val="004C367F"/>
    <w:rsid w:val="004C3C05"/>
    <w:rsid w:val="004C3E69"/>
    <w:rsid w:val="004C5892"/>
    <w:rsid w:val="004C5F37"/>
    <w:rsid w:val="004C6CA7"/>
    <w:rsid w:val="004C7388"/>
    <w:rsid w:val="004C742E"/>
    <w:rsid w:val="004C7FC8"/>
    <w:rsid w:val="004D0AB8"/>
    <w:rsid w:val="004D0ADC"/>
    <w:rsid w:val="004D22C2"/>
    <w:rsid w:val="004D23FB"/>
    <w:rsid w:val="004D3048"/>
    <w:rsid w:val="004D306D"/>
    <w:rsid w:val="004D47F1"/>
    <w:rsid w:val="004D5A01"/>
    <w:rsid w:val="004E1387"/>
    <w:rsid w:val="004E1516"/>
    <w:rsid w:val="004E182D"/>
    <w:rsid w:val="004E1CED"/>
    <w:rsid w:val="004E21EF"/>
    <w:rsid w:val="004E2848"/>
    <w:rsid w:val="004E3868"/>
    <w:rsid w:val="004E4F12"/>
    <w:rsid w:val="004E4F81"/>
    <w:rsid w:val="004E6EAB"/>
    <w:rsid w:val="004E7CEB"/>
    <w:rsid w:val="004F07F5"/>
    <w:rsid w:val="004F08FD"/>
    <w:rsid w:val="004F0E51"/>
    <w:rsid w:val="004F3032"/>
    <w:rsid w:val="004F31D2"/>
    <w:rsid w:val="004F334A"/>
    <w:rsid w:val="004F4B79"/>
    <w:rsid w:val="004F5CD9"/>
    <w:rsid w:val="004F63D9"/>
    <w:rsid w:val="005005A3"/>
    <w:rsid w:val="00501EBB"/>
    <w:rsid w:val="005034F2"/>
    <w:rsid w:val="00503EA4"/>
    <w:rsid w:val="00504525"/>
    <w:rsid w:val="0050495E"/>
    <w:rsid w:val="00504FEB"/>
    <w:rsid w:val="005055CF"/>
    <w:rsid w:val="005067A8"/>
    <w:rsid w:val="00506892"/>
    <w:rsid w:val="0051053D"/>
    <w:rsid w:val="005115CC"/>
    <w:rsid w:val="00514C27"/>
    <w:rsid w:val="00514E19"/>
    <w:rsid w:val="00514F54"/>
    <w:rsid w:val="00515C15"/>
    <w:rsid w:val="00515D72"/>
    <w:rsid w:val="005167E9"/>
    <w:rsid w:val="00516910"/>
    <w:rsid w:val="00521B8F"/>
    <w:rsid w:val="00523FAB"/>
    <w:rsid w:val="00524903"/>
    <w:rsid w:val="00524B41"/>
    <w:rsid w:val="00524B93"/>
    <w:rsid w:val="00525870"/>
    <w:rsid w:val="00526249"/>
    <w:rsid w:val="005270ED"/>
    <w:rsid w:val="00531B86"/>
    <w:rsid w:val="00532DCB"/>
    <w:rsid w:val="0053302E"/>
    <w:rsid w:val="005343FE"/>
    <w:rsid w:val="005358C7"/>
    <w:rsid w:val="00535A5C"/>
    <w:rsid w:val="00536166"/>
    <w:rsid w:val="00536BD4"/>
    <w:rsid w:val="005402F1"/>
    <w:rsid w:val="005405FF"/>
    <w:rsid w:val="00540E08"/>
    <w:rsid w:val="00541EDC"/>
    <w:rsid w:val="00542955"/>
    <w:rsid w:val="00543C4D"/>
    <w:rsid w:val="00544F79"/>
    <w:rsid w:val="00544F83"/>
    <w:rsid w:val="00545671"/>
    <w:rsid w:val="00546091"/>
    <w:rsid w:val="00547435"/>
    <w:rsid w:val="005513C6"/>
    <w:rsid w:val="005537C1"/>
    <w:rsid w:val="00554816"/>
    <w:rsid w:val="00555B59"/>
    <w:rsid w:val="00556859"/>
    <w:rsid w:val="00556B05"/>
    <w:rsid w:val="00557E83"/>
    <w:rsid w:val="00560F2F"/>
    <w:rsid w:val="0056427F"/>
    <w:rsid w:val="00565C90"/>
    <w:rsid w:val="0056638A"/>
    <w:rsid w:val="00566D59"/>
    <w:rsid w:val="00570A68"/>
    <w:rsid w:val="0057156E"/>
    <w:rsid w:val="00571FCE"/>
    <w:rsid w:val="00572C3D"/>
    <w:rsid w:val="0057422A"/>
    <w:rsid w:val="00574D71"/>
    <w:rsid w:val="00576C82"/>
    <w:rsid w:val="00580651"/>
    <w:rsid w:val="00580B8F"/>
    <w:rsid w:val="00581437"/>
    <w:rsid w:val="005814AA"/>
    <w:rsid w:val="00581A75"/>
    <w:rsid w:val="00582D7B"/>
    <w:rsid w:val="00586A68"/>
    <w:rsid w:val="00586A74"/>
    <w:rsid w:val="00587EF9"/>
    <w:rsid w:val="005904F5"/>
    <w:rsid w:val="0059050F"/>
    <w:rsid w:val="00590D0A"/>
    <w:rsid w:val="005916EB"/>
    <w:rsid w:val="00592C95"/>
    <w:rsid w:val="00593BA2"/>
    <w:rsid w:val="005943EA"/>
    <w:rsid w:val="0059486F"/>
    <w:rsid w:val="00594946"/>
    <w:rsid w:val="005953A4"/>
    <w:rsid w:val="00595B11"/>
    <w:rsid w:val="00596081"/>
    <w:rsid w:val="00596A65"/>
    <w:rsid w:val="00596E0F"/>
    <w:rsid w:val="00597408"/>
    <w:rsid w:val="005A107C"/>
    <w:rsid w:val="005A14DA"/>
    <w:rsid w:val="005A2593"/>
    <w:rsid w:val="005A477F"/>
    <w:rsid w:val="005A48D4"/>
    <w:rsid w:val="005A7A7B"/>
    <w:rsid w:val="005B4C95"/>
    <w:rsid w:val="005B52D2"/>
    <w:rsid w:val="005B53FC"/>
    <w:rsid w:val="005B5A6C"/>
    <w:rsid w:val="005B5B4B"/>
    <w:rsid w:val="005B6DFC"/>
    <w:rsid w:val="005B7501"/>
    <w:rsid w:val="005C07D2"/>
    <w:rsid w:val="005C0836"/>
    <w:rsid w:val="005C087C"/>
    <w:rsid w:val="005C1746"/>
    <w:rsid w:val="005C29BF"/>
    <w:rsid w:val="005C2F2F"/>
    <w:rsid w:val="005C39D5"/>
    <w:rsid w:val="005C43CA"/>
    <w:rsid w:val="005C44CF"/>
    <w:rsid w:val="005C4B59"/>
    <w:rsid w:val="005C5189"/>
    <w:rsid w:val="005C55E6"/>
    <w:rsid w:val="005C5CA1"/>
    <w:rsid w:val="005C6CD9"/>
    <w:rsid w:val="005C78E4"/>
    <w:rsid w:val="005D04E0"/>
    <w:rsid w:val="005D0C54"/>
    <w:rsid w:val="005D1AF2"/>
    <w:rsid w:val="005D296C"/>
    <w:rsid w:val="005D4779"/>
    <w:rsid w:val="005D5078"/>
    <w:rsid w:val="005D55E8"/>
    <w:rsid w:val="005D6A1C"/>
    <w:rsid w:val="005D6B69"/>
    <w:rsid w:val="005D6D27"/>
    <w:rsid w:val="005D7676"/>
    <w:rsid w:val="005D7CE9"/>
    <w:rsid w:val="005E0C4C"/>
    <w:rsid w:val="005E2454"/>
    <w:rsid w:val="005E265E"/>
    <w:rsid w:val="005E2A0E"/>
    <w:rsid w:val="005E2A37"/>
    <w:rsid w:val="005E2B84"/>
    <w:rsid w:val="005E3F46"/>
    <w:rsid w:val="005E4754"/>
    <w:rsid w:val="005E4AF5"/>
    <w:rsid w:val="005E5B61"/>
    <w:rsid w:val="005E5D1A"/>
    <w:rsid w:val="005E65C1"/>
    <w:rsid w:val="005E6B1B"/>
    <w:rsid w:val="005E6CB4"/>
    <w:rsid w:val="005E6CF3"/>
    <w:rsid w:val="005F06C3"/>
    <w:rsid w:val="005F0864"/>
    <w:rsid w:val="005F0E61"/>
    <w:rsid w:val="005F16A1"/>
    <w:rsid w:val="005F1B8B"/>
    <w:rsid w:val="005F34A9"/>
    <w:rsid w:val="005F394E"/>
    <w:rsid w:val="005F3B3A"/>
    <w:rsid w:val="005F4468"/>
    <w:rsid w:val="005F5432"/>
    <w:rsid w:val="005F554D"/>
    <w:rsid w:val="005F5BAD"/>
    <w:rsid w:val="005F6B56"/>
    <w:rsid w:val="00600169"/>
    <w:rsid w:val="00600B58"/>
    <w:rsid w:val="00601B95"/>
    <w:rsid w:val="00602060"/>
    <w:rsid w:val="00602E98"/>
    <w:rsid w:val="006038A2"/>
    <w:rsid w:val="00603EE0"/>
    <w:rsid w:val="00605396"/>
    <w:rsid w:val="00605A91"/>
    <w:rsid w:val="00605C0C"/>
    <w:rsid w:val="0060679F"/>
    <w:rsid w:val="0060685E"/>
    <w:rsid w:val="0060700F"/>
    <w:rsid w:val="006109E7"/>
    <w:rsid w:val="0061281A"/>
    <w:rsid w:val="00612B6B"/>
    <w:rsid w:val="00614529"/>
    <w:rsid w:val="00614ECA"/>
    <w:rsid w:val="00615FF7"/>
    <w:rsid w:val="006160AD"/>
    <w:rsid w:val="006162F7"/>
    <w:rsid w:val="00616AF4"/>
    <w:rsid w:val="00616BFE"/>
    <w:rsid w:val="00616FEB"/>
    <w:rsid w:val="00620A96"/>
    <w:rsid w:val="0062166A"/>
    <w:rsid w:val="0062186F"/>
    <w:rsid w:val="006222E6"/>
    <w:rsid w:val="00622B2F"/>
    <w:rsid w:val="00622F32"/>
    <w:rsid w:val="0062322C"/>
    <w:rsid w:val="006252C2"/>
    <w:rsid w:val="00625F5E"/>
    <w:rsid w:val="00626110"/>
    <w:rsid w:val="00626600"/>
    <w:rsid w:val="00626E2E"/>
    <w:rsid w:val="00626E7A"/>
    <w:rsid w:val="006270CE"/>
    <w:rsid w:val="00627167"/>
    <w:rsid w:val="00627480"/>
    <w:rsid w:val="006302B3"/>
    <w:rsid w:val="00630D23"/>
    <w:rsid w:val="00630E8B"/>
    <w:rsid w:val="00631B57"/>
    <w:rsid w:val="00632371"/>
    <w:rsid w:val="00633770"/>
    <w:rsid w:val="0063383F"/>
    <w:rsid w:val="00635346"/>
    <w:rsid w:val="006353EE"/>
    <w:rsid w:val="0063643F"/>
    <w:rsid w:val="00637B3D"/>
    <w:rsid w:val="00637DEE"/>
    <w:rsid w:val="00637ED1"/>
    <w:rsid w:val="00640406"/>
    <w:rsid w:val="00640C6D"/>
    <w:rsid w:val="00641733"/>
    <w:rsid w:val="006418A8"/>
    <w:rsid w:val="00641C0D"/>
    <w:rsid w:val="00642610"/>
    <w:rsid w:val="00643A04"/>
    <w:rsid w:val="00643CF4"/>
    <w:rsid w:val="006442EE"/>
    <w:rsid w:val="00645DCD"/>
    <w:rsid w:val="00646E50"/>
    <w:rsid w:val="00646EA5"/>
    <w:rsid w:val="006476FA"/>
    <w:rsid w:val="00647A47"/>
    <w:rsid w:val="00647B63"/>
    <w:rsid w:val="00647BF1"/>
    <w:rsid w:val="00652541"/>
    <w:rsid w:val="006565E0"/>
    <w:rsid w:val="00657470"/>
    <w:rsid w:val="00657A98"/>
    <w:rsid w:val="00660A5C"/>
    <w:rsid w:val="00660AF9"/>
    <w:rsid w:val="00661AA5"/>
    <w:rsid w:val="006620CC"/>
    <w:rsid w:val="006624A8"/>
    <w:rsid w:val="00662DF0"/>
    <w:rsid w:val="00663678"/>
    <w:rsid w:val="00663D70"/>
    <w:rsid w:val="006658D1"/>
    <w:rsid w:val="00665A98"/>
    <w:rsid w:val="00665B69"/>
    <w:rsid w:val="00666E4D"/>
    <w:rsid w:val="00667786"/>
    <w:rsid w:val="00670307"/>
    <w:rsid w:val="0067270E"/>
    <w:rsid w:val="00672F97"/>
    <w:rsid w:val="00673405"/>
    <w:rsid w:val="0067437C"/>
    <w:rsid w:val="00675274"/>
    <w:rsid w:val="00675F46"/>
    <w:rsid w:val="00676F72"/>
    <w:rsid w:val="00677316"/>
    <w:rsid w:val="0067777D"/>
    <w:rsid w:val="006800B6"/>
    <w:rsid w:val="00680798"/>
    <w:rsid w:val="00680983"/>
    <w:rsid w:val="006822C3"/>
    <w:rsid w:val="00682CBC"/>
    <w:rsid w:val="00682FA4"/>
    <w:rsid w:val="00683064"/>
    <w:rsid w:val="00683C43"/>
    <w:rsid w:val="006845AB"/>
    <w:rsid w:val="00684963"/>
    <w:rsid w:val="00686254"/>
    <w:rsid w:val="00686DCD"/>
    <w:rsid w:val="00690004"/>
    <w:rsid w:val="00691190"/>
    <w:rsid w:val="0069170C"/>
    <w:rsid w:val="006928EF"/>
    <w:rsid w:val="00693D33"/>
    <w:rsid w:val="006947A6"/>
    <w:rsid w:val="00695303"/>
    <w:rsid w:val="006A010E"/>
    <w:rsid w:val="006A0DC3"/>
    <w:rsid w:val="006A10E0"/>
    <w:rsid w:val="006A1F7F"/>
    <w:rsid w:val="006A29A7"/>
    <w:rsid w:val="006A2EFD"/>
    <w:rsid w:val="006A4185"/>
    <w:rsid w:val="006A434D"/>
    <w:rsid w:val="006A44A6"/>
    <w:rsid w:val="006A5066"/>
    <w:rsid w:val="006A6772"/>
    <w:rsid w:val="006A722B"/>
    <w:rsid w:val="006A7524"/>
    <w:rsid w:val="006A7C9B"/>
    <w:rsid w:val="006B24A7"/>
    <w:rsid w:val="006B38D2"/>
    <w:rsid w:val="006B4455"/>
    <w:rsid w:val="006B5F70"/>
    <w:rsid w:val="006B6F43"/>
    <w:rsid w:val="006B7302"/>
    <w:rsid w:val="006B75F0"/>
    <w:rsid w:val="006C0A01"/>
    <w:rsid w:val="006C188B"/>
    <w:rsid w:val="006C2126"/>
    <w:rsid w:val="006C23C6"/>
    <w:rsid w:val="006C3ADA"/>
    <w:rsid w:val="006C5622"/>
    <w:rsid w:val="006C6649"/>
    <w:rsid w:val="006C6CA7"/>
    <w:rsid w:val="006D1134"/>
    <w:rsid w:val="006D385F"/>
    <w:rsid w:val="006D4738"/>
    <w:rsid w:val="006D4836"/>
    <w:rsid w:val="006D5C96"/>
    <w:rsid w:val="006D61F6"/>
    <w:rsid w:val="006D6471"/>
    <w:rsid w:val="006D6D01"/>
    <w:rsid w:val="006D6ED8"/>
    <w:rsid w:val="006E01DC"/>
    <w:rsid w:val="006E0C9A"/>
    <w:rsid w:val="006E1F47"/>
    <w:rsid w:val="006E285C"/>
    <w:rsid w:val="006E31A4"/>
    <w:rsid w:val="006E508C"/>
    <w:rsid w:val="006E5E6F"/>
    <w:rsid w:val="006E5EEC"/>
    <w:rsid w:val="006E60C9"/>
    <w:rsid w:val="006E66EE"/>
    <w:rsid w:val="006E7E51"/>
    <w:rsid w:val="006F1468"/>
    <w:rsid w:val="006F17F2"/>
    <w:rsid w:val="006F2145"/>
    <w:rsid w:val="006F361E"/>
    <w:rsid w:val="006F38DD"/>
    <w:rsid w:val="006F4696"/>
    <w:rsid w:val="006F48C2"/>
    <w:rsid w:val="006F5240"/>
    <w:rsid w:val="006F53C9"/>
    <w:rsid w:val="006F5C0F"/>
    <w:rsid w:val="006F6349"/>
    <w:rsid w:val="006F6D32"/>
    <w:rsid w:val="006F772B"/>
    <w:rsid w:val="00700D44"/>
    <w:rsid w:val="00700F05"/>
    <w:rsid w:val="007011A8"/>
    <w:rsid w:val="00701AAF"/>
    <w:rsid w:val="00702778"/>
    <w:rsid w:val="00703E3A"/>
    <w:rsid w:val="0070429D"/>
    <w:rsid w:val="00704340"/>
    <w:rsid w:val="0070492E"/>
    <w:rsid w:val="00705C74"/>
    <w:rsid w:val="0071057B"/>
    <w:rsid w:val="007108FE"/>
    <w:rsid w:val="00710FD4"/>
    <w:rsid w:val="00711874"/>
    <w:rsid w:val="00711FD6"/>
    <w:rsid w:val="00713626"/>
    <w:rsid w:val="00714F44"/>
    <w:rsid w:val="00715684"/>
    <w:rsid w:val="007157CA"/>
    <w:rsid w:val="00715C70"/>
    <w:rsid w:val="007162C3"/>
    <w:rsid w:val="00716CFF"/>
    <w:rsid w:val="00716E92"/>
    <w:rsid w:val="0071787F"/>
    <w:rsid w:val="00717ABB"/>
    <w:rsid w:val="00717CEE"/>
    <w:rsid w:val="00721D57"/>
    <w:rsid w:val="007227EE"/>
    <w:rsid w:val="00722F98"/>
    <w:rsid w:val="0072360C"/>
    <w:rsid w:val="007246AE"/>
    <w:rsid w:val="0072478C"/>
    <w:rsid w:val="00724B42"/>
    <w:rsid w:val="00724DFC"/>
    <w:rsid w:val="00725471"/>
    <w:rsid w:val="00725488"/>
    <w:rsid w:val="007255A8"/>
    <w:rsid w:val="007266DD"/>
    <w:rsid w:val="00727A71"/>
    <w:rsid w:val="00727C20"/>
    <w:rsid w:val="007301A6"/>
    <w:rsid w:val="007302B7"/>
    <w:rsid w:val="0073068F"/>
    <w:rsid w:val="00731958"/>
    <w:rsid w:val="007321BE"/>
    <w:rsid w:val="00732375"/>
    <w:rsid w:val="00732498"/>
    <w:rsid w:val="00733D70"/>
    <w:rsid w:val="00734729"/>
    <w:rsid w:val="00735F1F"/>
    <w:rsid w:val="007362FD"/>
    <w:rsid w:val="00736536"/>
    <w:rsid w:val="00737DFB"/>
    <w:rsid w:val="00742912"/>
    <w:rsid w:val="007441D4"/>
    <w:rsid w:val="00744EB8"/>
    <w:rsid w:val="007450DE"/>
    <w:rsid w:val="00745D6E"/>
    <w:rsid w:val="007461C4"/>
    <w:rsid w:val="00746231"/>
    <w:rsid w:val="00746AC2"/>
    <w:rsid w:val="00746F57"/>
    <w:rsid w:val="007508F2"/>
    <w:rsid w:val="0075209C"/>
    <w:rsid w:val="00753270"/>
    <w:rsid w:val="00753328"/>
    <w:rsid w:val="00754C4A"/>
    <w:rsid w:val="00755C5C"/>
    <w:rsid w:val="0075651D"/>
    <w:rsid w:val="00756830"/>
    <w:rsid w:val="007569A3"/>
    <w:rsid w:val="00756FFA"/>
    <w:rsid w:val="0075706C"/>
    <w:rsid w:val="0075722B"/>
    <w:rsid w:val="0076252F"/>
    <w:rsid w:val="00764F3B"/>
    <w:rsid w:val="007653F2"/>
    <w:rsid w:val="00765DD3"/>
    <w:rsid w:val="00766686"/>
    <w:rsid w:val="00767356"/>
    <w:rsid w:val="00770767"/>
    <w:rsid w:val="00771AE5"/>
    <w:rsid w:val="007724EA"/>
    <w:rsid w:val="00772C77"/>
    <w:rsid w:val="0077344A"/>
    <w:rsid w:val="007742A0"/>
    <w:rsid w:val="007752F1"/>
    <w:rsid w:val="00775E2F"/>
    <w:rsid w:val="00776F69"/>
    <w:rsid w:val="00777033"/>
    <w:rsid w:val="007778A5"/>
    <w:rsid w:val="00777AF0"/>
    <w:rsid w:val="00780127"/>
    <w:rsid w:val="00782F7A"/>
    <w:rsid w:val="00783685"/>
    <w:rsid w:val="0078423C"/>
    <w:rsid w:val="00784EDC"/>
    <w:rsid w:val="007857EC"/>
    <w:rsid w:val="0078606B"/>
    <w:rsid w:val="00787195"/>
    <w:rsid w:val="00790E30"/>
    <w:rsid w:val="00791043"/>
    <w:rsid w:val="007914D8"/>
    <w:rsid w:val="0079160F"/>
    <w:rsid w:val="00791883"/>
    <w:rsid w:val="00791A9B"/>
    <w:rsid w:val="00793DD2"/>
    <w:rsid w:val="00793FF5"/>
    <w:rsid w:val="00796480"/>
    <w:rsid w:val="00796987"/>
    <w:rsid w:val="00797083"/>
    <w:rsid w:val="007970DD"/>
    <w:rsid w:val="007A0D37"/>
    <w:rsid w:val="007A2C4C"/>
    <w:rsid w:val="007A49AF"/>
    <w:rsid w:val="007A6EBF"/>
    <w:rsid w:val="007B0340"/>
    <w:rsid w:val="007B0AD0"/>
    <w:rsid w:val="007B1F02"/>
    <w:rsid w:val="007B374B"/>
    <w:rsid w:val="007B4FBE"/>
    <w:rsid w:val="007B52D5"/>
    <w:rsid w:val="007B53C5"/>
    <w:rsid w:val="007B54AA"/>
    <w:rsid w:val="007B5FC0"/>
    <w:rsid w:val="007B6509"/>
    <w:rsid w:val="007B6D2F"/>
    <w:rsid w:val="007C001F"/>
    <w:rsid w:val="007C0AC4"/>
    <w:rsid w:val="007C0AEF"/>
    <w:rsid w:val="007C138A"/>
    <w:rsid w:val="007C2B73"/>
    <w:rsid w:val="007C43E5"/>
    <w:rsid w:val="007C4A4C"/>
    <w:rsid w:val="007C54C2"/>
    <w:rsid w:val="007C632E"/>
    <w:rsid w:val="007C6968"/>
    <w:rsid w:val="007D01C9"/>
    <w:rsid w:val="007D0E32"/>
    <w:rsid w:val="007D4E09"/>
    <w:rsid w:val="007D547D"/>
    <w:rsid w:val="007D5489"/>
    <w:rsid w:val="007D7777"/>
    <w:rsid w:val="007E0786"/>
    <w:rsid w:val="007E3A55"/>
    <w:rsid w:val="007E3A6C"/>
    <w:rsid w:val="007E4AAF"/>
    <w:rsid w:val="007E53FE"/>
    <w:rsid w:val="007E5706"/>
    <w:rsid w:val="007E57A8"/>
    <w:rsid w:val="007E68AE"/>
    <w:rsid w:val="007E695D"/>
    <w:rsid w:val="007F0556"/>
    <w:rsid w:val="007F134D"/>
    <w:rsid w:val="007F1FDC"/>
    <w:rsid w:val="007F31FD"/>
    <w:rsid w:val="007F469E"/>
    <w:rsid w:val="007F56E0"/>
    <w:rsid w:val="007F5AAE"/>
    <w:rsid w:val="007F644A"/>
    <w:rsid w:val="007F6D80"/>
    <w:rsid w:val="00800808"/>
    <w:rsid w:val="00800A45"/>
    <w:rsid w:val="0080147D"/>
    <w:rsid w:val="00801AD7"/>
    <w:rsid w:val="008022CE"/>
    <w:rsid w:val="00802FA6"/>
    <w:rsid w:val="0080305E"/>
    <w:rsid w:val="008036C4"/>
    <w:rsid w:val="00803D31"/>
    <w:rsid w:val="008069F2"/>
    <w:rsid w:val="00807328"/>
    <w:rsid w:val="0081054F"/>
    <w:rsid w:val="00810D89"/>
    <w:rsid w:val="00811179"/>
    <w:rsid w:val="00811E71"/>
    <w:rsid w:val="00813EDF"/>
    <w:rsid w:val="008145FC"/>
    <w:rsid w:val="00814F39"/>
    <w:rsid w:val="008154AA"/>
    <w:rsid w:val="00815B16"/>
    <w:rsid w:val="00817DD9"/>
    <w:rsid w:val="0082010F"/>
    <w:rsid w:val="0082071E"/>
    <w:rsid w:val="00821193"/>
    <w:rsid w:val="00821D4F"/>
    <w:rsid w:val="00821EB5"/>
    <w:rsid w:val="00822FF9"/>
    <w:rsid w:val="00823022"/>
    <w:rsid w:val="00824FD6"/>
    <w:rsid w:val="00825863"/>
    <w:rsid w:val="008271EC"/>
    <w:rsid w:val="008276A8"/>
    <w:rsid w:val="008276CB"/>
    <w:rsid w:val="00827FA8"/>
    <w:rsid w:val="00830C29"/>
    <w:rsid w:val="00834316"/>
    <w:rsid w:val="008347FC"/>
    <w:rsid w:val="00835DB9"/>
    <w:rsid w:val="008369A2"/>
    <w:rsid w:val="008372A1"/>
    <w:rsid w:val="0083777B"/>
    <w:rsid w:val="00840183"/>
    <w:rsid w:val="00840188"/>
    <w:rsid w:val="008409C6"/>
    <w:rsid w:val="00840D38"/>
    <w:rsid w:val="0084105D"/>
    <w:rsid w:val="00841C46"/>
    <w:rsid w:val="00842900"/>
    <w:rsid w:val="00842923"/>
    <w:rsid w:val="00842961"/>
    <w:rsid w:val="008436E6"/>
    <w:rsid w:val="00845863"/>
    <w:rsid w:val="00845D8E"/>
    <w:rsid w:val="008460ED"/>
    <w:rsid w:val="0084691D"/>
    <w:rsid w:val="00846F89"/>
    <w:rsid w:val="0084776A"/>
    <w:rsid w:val="008528B5"/>
    <w:rsid w:val="00854F8D"/>
    <w:rsid w:val="00855D1D"/>
    <w:rsid w:val="00856A8B"/>
    <w:rsid w:val="00860FA8"/>
    <w:rsid w:val="00861AA3"/>
    <w:rsid w:val="00862156"/>
    <w:rsid w:val="0086358C"/>
    <w:rsid w:val="0086364E"/>
    <w:rsid w:val="00863AF4"/>
    <w:rsid w:val="0086420E"/>
    <w:rsid w:val="00864CA7"/>
    <w:rsid w:val="008656C3"/>
    <w:rsid w:val="00865777"/>
    <w:rsid w:val="008657A5"/>
    <w:rsid w:val="00866F6D"/>
    <w:rsid w:val="00866FF2"/>
    <w:rsid w:val="008702EB"/>
    <w:rsid w:val="00870AAE"/>
    <w:rsid w:val="00872C14"/>
    <w:rsid w:val="008730F2"/>
    <w:rsid w:val="00874185"/>
    <w:rsid w:val="008753BD"/>
    <w:rsid w:val="00875E7F"/>
    <w:rsid w:val="00876422"/>
    <w:rsid w:val="0087683D"/>
    <w:rsid w:val="008768A1"/>
    <w:rsid w:val="0087737D"/>
    <w:rsid w:val="00877D9A"/>
    <w:rsid w:val="0088024E"/>
    <w:rsid w:val="00880B57"/>
    <w:rsid w:val="00881A4B"/>
    <w:rsid w:val="00881E75"/>
    <w:rsid w:val="00882365"/>
    <w:rsid w:val="0088250B"/>
    <w:rsid w:val="00882EA5"/>
    <w:rsid w:val="0088378A"/>
    <w:rsid w:val="00883C6B"/>
    <w:rsid w:val="00884EA6"/>
    <w:rsid w:val="0088658C"/>
    <w:rsid w:val="00886DEC"/>
    <w:rsid w:val="0089198B"/>
    <w:rsid w:val="0089227B"/>
    <w:rsid w:val="008923D0"/>
    <w:rsid w:val="008949F3"/>
    <w:rsid w:val="00894AFC"/>
    <w:rsid w:val="00895908"/>
    <w:rsid w:val="00895AEE"/>
    <w:rsid w:val="00897312"/>
    <w:rsid w:val="008A0776"/>
    <w:rsid w:val="008A0DAF"/>
    <w:rsid w:val="008A0F84"/>
    <w:rsid w:val="008A3186"/>
    <w:rsid w:val="008A34F5"/>
    <w:rsid w:val="008A3DF6"/>
    <w:rsid w:val="008A3FC8"/>
    <w:rsid w:val="008A527A"/>
    <w:rsid w:val="008A574C"/>
    <w:rsid w:val="008A5E0E"/>
    <w:rsid w:val="008A5E3A"/>
    <w:rsid w:val="008A6A80"/>
    <w:rsid w:val="008A6CAF"/>
    <w:rsid w:val="008A77D9"/>
    <w:rsid w:val="008B0210"/>
    <w:rsid w:val="008B1595"/>
    <w:rsid w:val="008B1D2E"/>
    <w:rsid w:val="008B1E12"/>
    <w:rsid w:val="008B21CE"/>
    <w:rsid w:val="008B2CE8"/>
    <w:rsid w:val="008B499B"/>
    <w:rsid w:val="008B6043"/>
    <w:rsid w:val="008B6365"/>
    <w:rsid w:val="008C0026"/>
    <w:rsid w:val="008C00ED"/>
    <w:rsid w:val="008C0D5C"/>
    <w:rsid w:val="008C1525"/>
    <w:rsid w:val="008C1598"/>
    <w:rsid w:val="008C2D26"/>
    <w:rsid w:val="008C3A58"/>
    <w:rsid w:val="008C3FD5"/>
    <w:rsid w:val="008C43BD"/>
    <w:rsid w:val="008C54ED"/>
    <w:rsid w:val="008C650C"/>
    <w:rsid w:val="008C771D"/>
    <w:rsid w:val="008D01D5"/>
    <w:rsid w:val="008D0428"/>
    <w:rsid w:val="008D0A22"/>
    <w:rsid w:val="008D151A"/>
    <w:rsid w:val="008D1C58"/>
    <w:rsid w:val="008D2375"/>
    <w:rsid w:val="008D2B90"/>
    <w:rsid w:val="008D2C0D"/>
    <w:rsid w:val="008D30E7"/>
    <w:rsid w:val="008D30F9"/>
    <w:rsid w:val="008D3577"/>
    <w:rsid w:val="008D3D91"/>
    <w:rsid w:val="008D4516"/>
    <w:rsid w:val="008D5ACE"/>
    <w:rsid w:val="008D7DFF"/>
    <w:rsid w:val="008E0F15"/>
    <w:rsid w:val="008E1E6E"/>
    <w:rsid w:val="008E2231"/>
    <w:rsid w:val="008E250B"/>
    <w:rsid w:val="008E25A3"/>
    <w:rsid w:val="008E2A3E"/>
    <w:rsid w:val="008E2ED6"/>
    <w:rsid w:val="008E3CC2"/>
    <w:rsid w:val="008E50F9"/>
    <w:rsid w:val="008E62D9"/>
    <w:rsid w:val="008E7FCA"/>
    <w:rsid w:val="008F00E9"/>
    <w:rsid w:val="008F0E87"/>
    <w:rsid w:val="008F136B"/>
    <w:rsid w:val="008F32B5"/>
    <w:rsid w:val="008F3BFF"/>
    <w:rsid w:val="008F4C19"/>
    <w:rsid w:val="008F6866"/>
    <w:rsid w:val="008F6AED"/>
    <w:rsid w:val="008F6BED"/>
    <w:rsid w:val="008F7BC0"/>
    <w:rsid w:val="008F7F36"/>
    <w:rsid w:val="0090086E"/>
    <w:rsid w:val="00901349"/>
    <w:rsid w:val="00901B81"/>
    <w:rsid w:val="009020B4"/>
    <w:rsid w:val="0090229E"/>
    <w:rsid w:val="00902DA5"/>
    <w:rsid w:val="00903285"/>
    <w:rsid w:val="00904AFB"/>
    <w:rsid w:val="00905484"/>
    <w:rsid w:val="00905A86"/>
    <w:rsid w:val="00905AE1"/>
    <w:rsid w:val="00906178"/>
    <w:rsid w:val="00910106"/>
    <w:rsid w:val="0091194F"/>
    <w:rsid w:val="00911AFD"/>
    <w:rsid w:val="00911D38"/>
    <w:rsid w:val="009135AE"/>
    <w:rsid w:val="00913777"/>
    <w:rsid w:val="009141DF"/>
    <w:rsid w:val="00914548"/>
    <w:rsid w:val="00914FD1"/>
    <w:rsid w:val="00916176"/>
    <w:rsid w:val="0091723E"/>
    <w:rsid w:val="00917B08"/>
    <w:rsid w:val="00920065"/>
    <w:rsid w:val="009206CA"/>
    <w:rsid w:val="009207EE"/>
    <w:rsid w:val="0092128D"/>
    <w:rsid w:val="0092213E"/>
    <w:rsid w:val="00923CD7"/>
    <w:rsid w:val="00925F1E"/>
    <w:rsid w:val="0093057E"/>
    <w:rsid w:val="00930D0C"/>
    <w:rsid w:val="00932C9E"/>
    <w:rsid w:val="00932D18"/>
    <w:rsid w:val="00932E09"/>
    <w:rsid w:val="009331CC"/>
    <w:rsid w:val="0093338A"/>
    <w:rsid w:val="00933B56"/>
    <w:rsid w:val="00935512"/>
    <w:rsid w:val="00935A12"/>
    <w:rsid w:val="00936344"/>
    <w:rsid w:val="00937B49"/>
    <w:rsid w:val="00940262"/>
    <w:rsid w:val="009402E0"/>
    <w:rsid w:val="0094084A"/>
    <w:rsid w:val="00941294"/>
    <w:rsid w:val="009412A3"/>
    <w:rsid w:val="009413DC"/>
    <w:rsid w:val="0094218A"/>
    <w:rsid w:val="00943AA1"/>
    <w:rsid w:val="0094427F"/>
    <w:rsid w:val="00944798"/>
    <w:rsid w:val="00944CE0"/>
    <w:rsid w:val="009458CE"/>
    <w:rsid w:val="00950E68"/>
    <w:rsid w:val="009510AC"/>
    <w:rsid w:val="00951FDD"/>
    <w:rsid w:val="009526E7"/>
    <w:rsid w:val="00952D64"/>
    <w:rsid w:val="00952F70"/>
    <w:rsid w:val="009530D6"/>
    <w:rsid w:val="0095498B"/>
    <w:rsid w:val="00954E43"/>
    <w:rsid w:val="00956569"/>
    <w:rsid w:val="00956B99"/>
    <w:rsid w:val="00960B1E"/>
    <w:rsid w:val="00966BAC"/>
    <w:rsid w:val="00967259"/>
    <w:rsid w:val="00967BAF"/>
    <w:rsid w:val="00970A21"/>
    <w:rsid w:val="00970A7E"/>
    <w:rsid w:val="00970C5F"/>
    <w:rsid w:val="009715E6"/>
    <w:rsid w:val="00972410"/>
    <w:rsid w:val="00972ABE"/>
    <w:rsid w:val="009739D6"/>
    <w:rsid w:val="00974333"/>
    <w:rsid w:val="009745EF"/>
    <w:rsid w:val="009755F8"/>
    <w:rsid w:val="009770DE"/>
    <w:rsid w:val="009770F1"/>
    <w:rsid w:val="00977E06"/>
    <w:rsid w:val="0098069F"/>
    <w:rsid w:val="00981496"/>
    <w:rsid w:val="0098291F"/>
    <w:rsid w:val="00985FD4"/>
    <w:rsid w:val="009864A5"/>
    <w:rsid w:val="009866D4"/>
    <w:rsid w:val="00986A74"/>
    <w:rsid w:val="00986D30"/>
    <w:rsid w:val="00986FA4"/>
    <w:rsid w:val="00987003"/>
    <w:rsid w:val="00987F6D"/>
    <w:rsid w:val="009906F8"/>
    <w:rsid w:val="00990B2E"/>
    <w:rsid w:val="009915F4"/>
    <w:rsid w:val="00993159"/>
    <w:rsid w:val="00993A2E"/>
    <w:rsid w:val="009943B4"/>
    <w:rsid w:val="00994ED2"/>
    <w:rsid w:val="009959D8"/>
    <w:rsid w:val="00995BC8"/>
    <w:rsid w:val="00996027"/>
    <w:rsid w:val="00997080"/>
    <w:rsid w:val="00997590"/>
    <w:rsid w:val="009978B4"/>
    <w:rsid w:val="009A0611"/>
    <w:rsid w:val="009A0968"/>
    <w:rsid w:val="009A0B84"/>
    <w:rsid w:val="009A0EB5"/>
    <w:rsid w:val="009A291C"/>
    <w:rsid w:val="009A2C7E"/>
    <w:rsid w:val="009A447E"/>
    <w:rsid w:val="009A47BD"/>
    <w:rsid w:val="009A4CAA"/>
    <w:rsid w:val="009A4E17"/>
    <w:rsid w:val="009A4FCE"/>
    <w:rsid w:val="009A51AB"/>
    <w:rsid w:val="009A632C"/>
    <w:rsid w:val="009B0096"/>
    <w:rsid w:val="009B0194"/>
    <w:rsid w:val="009B055A"/>
    <w:rsid w:val="009B1EBF"/>
    <w:rsid w:val="009B214E"/>
    <w:rsid w:val="009B2EC1"/>
    <w:rsid w:val="009B2F0F"/>
    <w:rsid w:val="009B47BC"/>
    <w:rsid w:val="009B5C3A"/>
    <w:rsid w:val="009B64A2"/>
    <w:rsid w:val="009B698A"/>
    <w:rsid w:val="009B6A43"/>
    <w:rsid w:val="009B706B"/>
    <w:rsid w:val="009C0069"/>
    <w:rsid w:val="009C08DE"/>
    <w:rsid w:val="009C0EC0"/>
    <w:rsid w:val="009C0F57"/>
    <w:rsid w:val="009C172C"/>
    <w:rsid w:val="009C2AB0"/>
    <w:rsid w:val="009C2DA1"/>
    <w:rsid w:val="009C4A3D"/>
    <w:rsid w:val="009C4D95"/>
    <w:rsid w:val="009C54DA"/>
    <w:rsid w:val="009C61A9"/>
    <w:rsid w:val="009C7F4C"/>
    <w:rsid w:val="009D08A0"/>
    <w:rsid w:val="009D0A6C"/>
    <w:rsid w:val="009D1E3D"/>
    <w:rsid w:val="009D41C7"/>
    <w:rsid w:val="009D5AAB"/>
    <w:rsid w:val="009D5E5C"/>
    <w:rsid w:val="009D6D77"/>
    <w:rsid w:val="009D7747"/>
    <w:rsid w:val="009E06D6"/>
    <w:rsid w:val="009E127E"/>
    <w:rsid w:val="009E1902"/>
    <w:rsid w:val="009E1E2B"/>
    <w:rsid w:val="009E298B"/>
    <w:rsid w:val="009E3BDC"/>
    <w:rsid w:val="009E49AB"/>
    <w:rsid w:val="009E5493"/>
    <w:rsid w:val="009E549B"/>
    <w:rsid w:val="009E54D6"/>
    <w:rsid w:val="009E564D"/>
    <w:rsid w:val="009E6235"/>
    <w:rsid w:val="009E6F45"/>
    <w:rsid w:val="009E75AE"/>
    <w:rsid w:val="009E75F1"/>
    <w:rsid w:val="009E7ACA"/>
    <w:rsid w:val="009E7CBC"/>
    <w:rsid w:val="009F05A3"/>
    <w:rsid w:val="009F0AE0"/>
    <w:rsid w:val="009F104C"/>
    <w:rsid w:val="009F30A7"/>
    <w:rsid w:val="009F46C3"/>
    <w:rsid w:val="009F515F"/>
    <w:rsid w:val="009F53E4"/>
    <w:rsid w:val="009F5844"/>
    <w:rsid w:val="009F5C54"/>
    <w:rsid w:val="009F6267"/>
    <w:rsid w:val="009F62CC"/>
    <w:rsid w:val="009F7FC0"/>
    <w:rsid w:val="00A0026E"/>
    <w:rsid w:val="00A004B9"/>
    <w:rsid w:val="00A00596"/>
    <w:rsid w:val="00A008E7"/>
    <w:rsid w:val="00A019C2"/>
    <w:rsid w:val="00A01B64"/>
    <w:rsid w:val="00A02294"/>
    <w:rsid w:val="00A0475A"/>
    <w:rsid w:val="00A0754E"/>
    <w:rsid w:val="00A07C41"/>
    <w:rsid w:val="00A07DA9"/>
    <w:rsid w:val="00A106F8"/>
    <w:rsid w:val="00A11041"/>
    <w:rsid w:val="00A11C16"/>
    <w:rsid w:val="00A11D55"/>
    <w:rsid w:val="00A11DD1"/>
    <w:rsid w:val="00A1363D"/>
    <w:rsid w:val="00A13976"/>
    <w:rsid w:val="00A15AC0"/>
    <w:rsid w:val="00A163C0"/>
    <w:rsid w:val="00A17242"/>
    <w:rsid w:val="00A1728A"/>
    <w:rsid w:val="00A17580"/>
    <w:rsid w:val="00A20E0B"/>
    <w:rsid w:val="00A21D65"/>
    <w:rsid w:val="00A2278E"/>
    <w:rsid w:val="00A22ABC"/>
    <w:rsid w:val="00A23AB0"/>
    <w:rsid w:val="00A23ADA"/>
    <w:rsid w:val="00A23D8D"/>
    <w:rsid w:val="00A2512F"/>
    <w:rsid w:val="00A253E7"/>
    <w:rsid w:val="00A317D7"/>
    <w:rsid w:val="00A31D63"/>
    <w:rsid w:val="00A32647"/>
    <w:rsid w:val="00A32E25"/>
    <w:rsid w:val="00A33814"/>
    <w:rsid w:val="00A33FBE"/>
    <w:rsid w:val="00A34968"/>
    <w:rsid w:val="00A35CC9"/>
    <w:rsid w:val="00A37916"/>
    <w:rsid w:val="00A37B14"/>
    <w:rsid w:val="00A40077"/>
    <w:rsid w:val="00A402C2"/>
    <w:rsid w:val="00A42C82"/>
    <w:rsid w:val="00A46B85"/>
    <w:rsid w:val="00A50694"/>
    <w:rsid w:val="00A50723"/>
    <w:rsid w:val="00A515F5"/>
    <w:rsid w:val="00A52A66"/>
    <w:rsid w:val="00A52D87"/>
    <w:rsid w:val="00A52E0B"/>
    <w:rsid w:val="00A53AA7"/>
    <w:rsid w:val="00A558C4"/>
    <w:rsid w:val="00A57C39"/>
    <w:rsid w:val="00A57EE1"/>
    <w:rsid w:val="00A60257"/>
    <w:rsid w:val="00A636A9"/>
    <w:rsid w:val="00A641AB"/>
    <w:rsid w:val="00A6491E"/>
    <w:rsid w:val="00A651D5"/>
    <w:rsid w:val="00A65607"/>
    <w:rsid w:val="00A70520"/>
    <w:rsid w:val="00A70837"/>
    <w:rsid w:val="00A717BC"/>
    <w:rsid w:val="00A71DCE"/>
    <w:rsid w:val="00A71F34"/>
    <w:rsid w:val="00A73821"/>
    <w:rsid w:val="00A73DD3"/>
    <w:rsid w:val="00A7420E"/>
    <w:rsid w:val="00A75402"/>
    <w:rsid w:val="00A75BB1"/>
    <w:rsid w:val="00A76F92"/>
    <w:rsid w:val="00A770F0"/>
    <w:rsid w:val="00A774BE"/>
    <w:rsid w:val="00A8038B"/>
    <w:rsid w:val="00A80616"/>
    <w:rsid w:val="00A812A3"/>
    <w:rsid w:val="00A816CF"/>
    <w:rsid w:val="00A81952"/>
    <w:rsid w:val="00A82B3C"/>
    <w:rsid w:val="00A837B1"/>
    <w:rsid w:val="00A8501B"/>
    <w:rsid w:val="00A8655F"/>
    <w:rsid w:val="00A867A6"/>
    <w:rsid w:val="00A869FC"/>
    <w:rsid w:val="00A87F9B"/>
    <w:rsid w:val="00A90569"/>
    <w:rsid w:val="00A9248C"/>
    <w:rsid w:val="00A93050"/>
    <w:rsid w:val="00A93808"/>
    <w:rsid w:val="00A94C5A"/>
    <w:rsid w:val="00A95021"/>
    <w:rsid w:val="00A95420"/>
    <w:rsid w:val="00A95453"/>
    <w:rsid w:val="00A95F4E"/>
    <w:rsid w:val="00A97370"/>
    <w:rsid w:val="00A976DA"/>
    <w:rsid w:val="00AA0994"/>
    <w:rsid w:val="00AA0C03"/>
    <w:rsid w:val="00AA1D33"/>
    <w:rsid w:val="00AA4551"/>
    <w:rsid w:val="00AA5841"/>
    <w:rsid w:val="00AA65D4"/>
    <w:rsid w:val="00AA6E9F"/>
    <w:rsid w:val="00AA724E"/>
    <w:rsid w:val="00AB07DC"/>
    <w:rsid w:val="00AB1605"/>
    <w:rsid w:val="00AB1F1F"/>
    <w:rsid w:val="00AB1F7C"/>
    <w:rsid w:val="00AB44BE"/>
    <w:rsid w:val="00AB4964"/>
    <w:rsid w:val="00AB54FC"/>
    <w:rsid w:val="00AB6AD0"/>
    <w:rsid w:val="00AB6D91"/>
    <w:rsid w:val="00AB6DCD"/>
    <w:rsid w:val="00AB74AD"/>
    <w:rsid w:val="00AB781B"/>
    <w:rsid w:val="00AC0A59"/>
    <w:rsid w:val="00AC1802"/>
    <w:rsid w:val="00AC1B20"/>
    <w:rsid w:val="00AC2D92"/>
    <w:rsid w:val="00AC38E0"/>
    <w:rsid w:val="00AC5D07"/>
    <w:rsid w:val="00AD0083"/>
    <w:rsid w:val="00AD0E8B"/>
    <w:rsid w:val="00AD1270"/>
    <w:rsid w:val="00AD1389"/>
    <w:rsid w:val="00AD16F6"/>
    <w:rsid w:val="00AD1993"/>
    <w:rsid w:val="00AD1E18"/>
    <w:rsid w:val="00AD2C1C"/>
    <w:rsid w:val="00AD5007"/>
    <w:rsid w:val="00AE02F9"/>
    <w:rsid w:val="00AE14EA"/>
    <w:rsid w:val="00AE2349"/>
    <w:rsid w:val="00AE2614"/>
    <w:rsid w:val="00AE3035"/>
    <w:rsid w:val="00AE3401"/>
    <w:rsid w:val="00AE3D90"/>
    <w:rsid w:val="00AE486A"/>
    <w:rsid w:val="00AE56CD"/>
    <w:rsid w:val="00AE657D"/>
    <w:rsid w:val="00AF004A"/>
    <w:rsid w:val="00AF0E7E"/>
    <w:rsid w:val="00AF1629"/>
    <w:rsid w:val="00AF1D3C"/>
    <w:rsid w:val="00AF2B4F"/>
    <w:rsid w:val="00AF2CE1"/>
    <w:rsid w:val="00AF3BE7"/>
    <w:rsid w:val="00AF437D"/>
    <w:rsid w:val="00AF4FB3"/>
    <w:rsid w:val="00AF5E4A"/>
    <w:rsid w:val="00AF65B9"/>
    <w:rsid w:val="00AF69A9"/>
    <w:rsid w:val="00AF6F14"/>
    <w:rsid w:val="00AF7FF3"/>
    <w:rsid w:val="00B01CC0"/>
    <w:rsid w:val="00B01E8A"/>
    <w:rsid w:val="00B02745"/>
    <w:rsid w:val="00B02C28"/>
    <w:rsid w:val="00B03F51"/>
    <w:rsid w:val="00B044BE"/>
    <w:rsid w:val="00B04926"/>
    <w:rsid w:val="00B0532C"/>
    <w:rsid w:val="00B05BE8"/>
    <w:rsid w:val="00B063B9"/>
    <w:rsid w:val="00B0665A"/>
    <w:rsid w:val="00B069B7"/>
    <w:rsid w:val="00B077C3"/>
    <w:rsid w:val="00B07E9F"/>
    <w:rsid w:val="00B11ACC"/>
    <w:rsid w:val="00B11BDA"/>
    <w:rsid w:val="00B11E8A"/>
    <w:rsid w:val="00B11F14"/>
    <w:rsid w:val="00B126C4"/>
    <w:rsid w:val="00B12B4D"/>
    <w:rsid w:val="00B12D67"/>
    <w:rsid w:val="00B1408F"/>
    <w:rsid w:val="00B16D5B"/>
    <w:rsid w:val="00B1752F"/>
    <w:rsid w:val="00B1756C"/>
    <w:rsid w:val="00B17927"/>
    <w:rsid w:val="00B21EC6"/>
    <w:rsid w:val="00B2234B"/>
    <w:rsid w:val="00B22864"/>
    <w:rsid w:val="00B22B6B"/>
    <w:rsid w:val="00B22F03"/>
    <w:rsid w:val="00B23673"/>
    <w:rsid w:val="00B23993"/>
    <w:rsid w:val="00B24058"/>
    <w:rsid w:val="00B24081"/>
    <w:rsid w:val="00B24711"/>
    <w:rsid w:val="00B24BD0"/>
    <w:rsid w:val="00B24DA3"/>
    <w:rsid w:val="00B2566B"/>
    <w:rsid w:val="00B259E5"/>
    <w:rsid w:val="00B3024C"/>
    <w:rsid w:val="00B30625"/>
    <w:rsid w:val="00B30981"/>
    <w:rsid w:val="00B30A89"/>
    <w:rsid w:val="00B31958"/>
    <w:rsid w:val="00B341DB"/>
    <w:rsid w:val="00B3466D"/>
    <w:rsid w:val="00B35044"/>
    <w:rsid w:val="00B36D91"/>
    <w:rsid w:val="00B37DFC"/>
    <w:rsid w:val="00B41E34"/>
    <w:rsid w:val="00B422C0"/>
    <w:rsid w:val="00B432D5"/>
    <w:rsid w:val="00B4425D"/>
    <w:rsid w:val="00B469ED"/>
    <w:rsid w:val="00B4769A"/>
    <w:rsid w:val="00B50C8B"/>
    <w:rsid w:val="00B52E68"/>
    <w:rsid w:val="00B545C9"/>
    <w:rsid w:val="00B54E1D"/>
    <w:rsid w:val="00B557B6"/>
    <w:rsid w:val="00B56A6C"/>
    <w:rsid w:val="00B5793F"/>
    <w:rsid w:val="00B605D3"/>
    <w:rsid w:val="00B61468"/>
    <w:rsid w:val="00B62C75"/>
    <w:rsid w:val="00B638D7"/>
    <w:rsid w:val="00B6403E"/>
    <w:rsid w:val="00B64C5A"/>
    <w:rsid w:val="00B64F17"/>
    <w:rsid w:val="00B653F0"/>
    <w:rsid w:val="00B660D7"/>
    <w:rsid w:val="00B668BE"/>
    <w:rsid w:val="00B66A0B"/>
    <w:rsid w:val="00B67029"/>
    <w:rsid w:val="00B677F4"/>
    <w:rsid w:val="00B702DD"/>
    <w:rsid w:val="00B708ED"/>
    <w:rsid w:val="00B70CBB"/>
    <w:rsid w:val="00B71515"/>
    <w:rsid w:val="00B72067"/>
    <w:rsid w:val="00B73445"/>
    <w:rsid w:val="00B73C85"/>
    <w:rsid w:val="00B7592D"/>
    <w:rsid w:val="00B765C4"/>
    <w:rsid w:val="00B802C2"/>
    <w:rsid w:val="00B803D0"/>
    <w:rsid w:val="00B80697"/>
    <w:rsid w:val="00B80794"/>
    <w:rsid w:val="00B814E8"/>
    <w:rsid w:val="00B8180C"/>
    <w:rsid w:val="00B84977"/>
    <w:rsid w:val="00B87160"/>
    <w:rsid w:val="00B90914"/>
    <w:rsid w:val="00B9575F"/>
    <w:rsid w:val="00B962B0"/>
    <w:rsid w:val="00B96BCE"/>
    <w:rsid w:val="00B96BF2"/>
    <w:rsid w:val="00B96C90"/>
    <w:rsid w:val="00BA0D60"/>
    <w:rsid w:val="00BA20C6"/>
    <w:rsid w:val="00BA264B"/>
    <w:rsid w:val="00BA26EB"/>
    <w:rsid w:val="00BA39DB"/>
    <w:rsid w:val="00BA3D1E"/>
    <w:rsid w:val="00BA4146"/>
    <w:rsid w:val="00BA4442"/>
    <w:rsid w:val="00BA4C57"/>
    <w:rsid w:val="00BB207F"/>
    <w:rsid w:val="00BB3BE3"/>
    <w:rsid w:val="00BB4B41"/>
    <w:rsid w:val="00BB4D23"/>
    <w:rsid w:val="00BB5323"/>
    <w:rsid w:val="00BB5552"/>
    <w:rsid w:val="00BB5CC4"/>
    <w:rsid w:val="00BB5F3A"/>
    <w:rsid w:val="00BB7313"/>
    <w:rsid w:val="00BB76F4"/>
    <w:rsid w:val="00BB7A29"/>
    <w:rsid w:val="00BC265F"/>
    <w:rsid w:val="00BC26CA"/>
    <w:rsid w:val="00BC35CD"/>
    <w:rsid w:val="00BC389E"/>
    <w:rsid w:val="00BC4081"/>
    <w:rsid w:val="00BC492A"/>
    <w:rsid w:val="00BC7D33"/>
    <w:rsid w:val="00BD01EF"/>
    <w:rsid w:val="00BD11C5"/>
    <w:rsid w:val="00BD18E8"/>
    <w:rsid w:val="00BD1B5A"/>
    <w:rsid w:val="00BD2508"/>
    <w:rsid w:val="00BD44E4"/>
    <w:rsid w:val="00BD45C9"/>
    <w:rsid w:val="00BD510D"/>
    <w:rsid w:val="00BD6D8D"/>
    <w:rsid w:val="00BD747C"/>
    <w:rsid w:val="00BE1056"/>
    <w:rsid w:val="00BE1420"/>
    <w:rsid w:val="00BE4722"/>
    <w:rsid w:val="00BE4E8A"/>
    <w:rsid w:val="00BE5499"/>
    <w:rsid w:val="00BE55C7"/>
    <w:rsid w:val="00BE7F77"/>
    <w:rsid w:val="00BF129C"/>
    <w:rsid w:val="00BF1AAD"/>
    <w:rsid w:val="00BF23A7"/>
    <w:rsid w:val="00BF3574"/>
    <w:rsid w:val="00BF511A"/>
    <w:rsid w:val="00BF5809"/>
    <w:rsid w:val="00BF5D35"/>
    <w:rsid w:val="00BF6E3D"/>
    <w:rsid w:val="00BF7FDB"/>
    <w:rsid w:val="00C01484"/>
    <w:rsid w:val="00C017EF"/>
    <w:rsid w:val="00C01BC2"/>
    <w:rsid w:val="00C030FB"/>
    <w:rsid w:val="00C037BC"/>
    <w:rsid w:val="00C03C73"/>
    <w:rsid w:val="00C03FF2"/>
    <w:rsid w:val="00C04AAA"/>
    <w:rsid w:val="00C04FEB"/>
    <w:rsid w:val="00C0506E"/>
    <w:rsid w:val="00C05595"/>
    <w:rsid w:val="00C062C4"/>
    <w:rsid w:val="00C0634F"/>
    <w:rsid w:val="00C07AAE"/>
    <w:rsid w:val="00C10FA7"/>
    <w:rsid w:val="00C11158"/>
    <w:rsid w:val="00C11E53"/>
    <w:rsid w:val="00C12A62"/>
    <w:rsid w:val="00C12BE0"/>
    <w:rsid w:val="00C14383"/>
    <w:rsid w:val="00C15299"/>
    <w:rsid w:val="00C153FE"/>
    <w:rsid w:val="00C16014"/>
    <w:rsid w:val="00C173FA"/>
    <w:rsid w:val="00C17618"/>
    <w:rsid w:val="00C20089"/>
    <w:rsid w:val="00C20741"/>
    <w:rsid w:val="00C222B1"/>
    <w:rsid w:val="00C22A76"/>
    <w:rsid w:val="00C22D64"/>
    <w:rsid w:val="00C24755"/>
    <w:rsid w:val="00C25BD5"/>
    <w:rsid w:val="00C26D68"/>
    <w:rsid w:val="00C27CA1"/>
    <w:rsid w:val="00C27D71"/>
    <w:rsid w:val="00C309D1"/>
    <w:rsid w:val="00C31F6F"/>
    <w:rsid w:val="00C321B0"/>
    <w:rsid w:val="00C328D4"/>
    <w:rsid w:val="00C3392C"/>
    <w:rsid w:val="00C33985"/>
    <w:rsid w:val="00C3399F"/>
    <w:rsid w:val="00C34264"/>
    <w:rsid w:val="00C346AA"/>
    <w:rsid w:val="00C34948"/>
    <w:rsid w:val="00C34D58"/>
    <w:rsid w:val="00C3550D"/>
    <w:rsid w:val="00C355EA"/>
    <w:rsid w:val="00C3660F"/>
    <w:rsid w:val="00C36858"/>
    <w:rsid w:val="00C37673"/>
    <w:rsid w:val="00C37979"/>
    <w:rsid w:val="00C37CAE"/>
    <w:rsid w:val="00C40B77"/>
    <w:rsid w:val="00C42538"/>
    <w:rsid w:val="00C427A9"/>
    <w:rsid w:val="00C42E32"/>
    <w:rsid w:val="00C42F58"/>
    <w:rsid w:val="00C44138"/>
    <w:rsid w:val="00C44C5D"/>
    <w:rsid w:val="00C4523D"/>
    <w:rsid w:val="00C45ABE"/>
    <w:rsid w:val="00C45E65"/>
    <w:rsid w:val="00C47EFB"/>
    <w:rsid w:val="00C50130"/>
    <w:rsid w:val="00C50D13"/>
    <w:rsid w:val="00C51628"/>
    <w:rsid w:val="00C52D88"/>
    <w:rsid w:val="00C531F4"/>
    <w:rsid w:val="00C54022"/>
    <w:rsid w:val="00C549ED"/>
    <w:rsid w:val="00C55859"/>
    <w:rsid w:val="00C55DF3"/>
    <w:rsid w:val="00C55FB0"/>
    <w:rsid w:val="00C568C6"/>
    <w:rsid w:val="00C5761F"/>
    <w:rsid w:val="00C578D2"/>
    <w:rsid w:val="00C600FA"/>
    <w:rsid w:val="00C60EE5"/>
    <w:rsid w:val="00C632E1"/>
    <w:rsid w:val="00C637A9"/>
    <w:rsid w:val="00C63AC0"/>
    <w:rsid w:val="00C64188"/>
    <w:rsid w:val="00C65574"/>
    <w:rsid w:val="00C67BE6"/>
    <w:rsid w:val="00C70661"/>
    <w:rsid w:val="00C70BAD"/>
    <w:rsid w:val="00C70D4C"/>
    <w:rsid w:val="00C7155C"/>
    <w:rsid w:val="00C72052"/>
    <w:rsid w:val="00C72874"/>
    <w:rsid w:val="00C731AD"/>
    <w:rsid w:val="00C7739E"/>
    <w:rsid w:val="00C777E8"/>
    <w:rsid w:val="00C77F33"/>
    <w:rsid w:val="00C77FDD"/>
    <w:rsid w:val="00C8024F"/>
    <w:rsid w:val="00C81FB3"/>
    <w:rsid w:val="00C83C62"/>
    <w:rsid w:val="00C8410A"/>
    <w:rsid w:val="00C84941"/>
    <w:rsid w:val="00C85EB8"/>
    <w:rsid w:val="00C86577"/>
    <w:rsid w:val="00C8688B"/>
    <w:rsid w:val="00C86B2D"/>
    <w:rsid w:val="00C86BA2"/>
    <w:rsid w:val="00C9141B"/>
    <w:rsid w:val="00C93004"/>
    <w:rsid w:val="00C9365E"/>
    <w:rsid w:val="00C93916"/>
    <w:rsid w:val="00C93AA8"/>
    <w:rsid w:val="00C93E79"/>
    <w:rsid w:val="00C94853"/>
    <w:rsid w:val="00C94984"/>
    <w:rsid w:val="00C94CA7"/>
    <w:rsid w:val="00C96B4C"/>
    <w:rsid w:val="00C97268"/>
    <w:rsid w:val="00C97A09"/>
    <w:rsid w:val="00C97F4F"/>
    <w:rsid w:val="00CA10CF"/>
    <w:rsid w:val="00CA23B6"/>
    <w:rsid w:val="00CA28DF"/>
    <w:rsid w:val="00CA2CCA"/>
    <w:rsid w:val="00CA3415"/>
    <w:rsid w:val="00CA3F50"/>
    <w:rsid w:val="00CA45BD"/>
    <w:rsid w:val="00CA5639"/>
    <w:rsid w:val="00CA6021"/>
    <w:rsid w:val="00CA660C"/>
    <w:rsid w:val="00CA69A2"/>
    <w:rsid w:val="00CA6CDB"/>
    <w:rsid w:val="00CA6E93"/>
    <w:rsid w:val="00CA707B"/>
    <w:rsid w:val="00CA70A3"/>
    <w:rsid w:val="00CA79CA"/>
    <w:rsid w:val="00CA79E4"/>
    <w:rsid w:val="00CB05D2"/>
    <w:rsid w:val="00CB0B31"/>
    <w:rsid w:val="00CB1789"/>
    <w:rsid w:val="00CB2248"/>
    <w:rsid w:val="00CB23BA"/>
    <w:rsid w:val="00CB24B6"/>
    <w:rsid w:val="00CB2A95"/>
    <w:rsid w:val="00CB30EB"/>
    <w:rsid w:val="00CB4135"/>
    <w:rsid w:val="00CB44C9"/>
    <w:rsid w:val="00CB45E1"/>
    <w:rsid w:val="00CB4ACE"/>
    <w:rsid w:val="00CB5DD6"/>
    <w:rsid w:val="00CB63F0"/>
    <w:rsid w:val="00CC2ACD"/>
    <w:rsid w:val="00CC2C1B"/>
    <w:rsid w:val="00CC3822"/>
    <w:rsid w:val="00CC49DA"/>
    <w:rsid w:val="00CC4CE8"/>
    <w:rsid w:val="00CC5017"/>
    <w:rsid w:val="00CC62A7"/>
    <w:rsid w:val="00CC6D21"/>
    <w:rsid w:val="00CC70AF"/>
    <w:rsid w:val="00CC7712"/>
    <w:rsid w:val="00CD0396"/>
    <w:rsid w:val="00CD1025"/>
    <w:rsid w:val="00CD247F"/>
    <w:rsid w:val="00CD3B97"/>
    <w:rsid w:val="00CD42E7"/>
    <w:rsid w:val="00CD4AE6"/>
    <w:rsid w:val="00CD4EB7"/>
    <w:rsid w:val="00CD7E88"/>
    <w:rsid w:val="00CE0D74"/>
    <w:rsid w:val="00CE0E01"/>
    <w:rsid w:val="00CE101E"/>
    <w:rsid w:val="00CE1735"/>
    <w:rsid w:val="00CE1795"/>
    <w:rsid w:val="00CE2831"/>
    <w:rsid w:val="00CE46A6"/>
    <w:rsid w:val="00CE4806"/>
    <w:rsid w:val="00CE5520"/>
    <w:rsid w:val="00CE6D88"/>
    <w:rsid w:val="00CE74FB"/>
    <w:rsid w:val="00CF15E4"/>
    <w:rsid w:val="00CF1702"/>
    <w:rsid w:val="00CF243F"/>
    <w:rsid w:val="00CF33D0"/>
    <w:rsid w:val="00CF4B70"/>
    <w:rsid w:val="00CF5593"/>
    <w:rsid w:val="00CF559D"/>
    <w:rsid w:val="00CF568B"/>
    <w:rsid w:val="00CF5A18"/>
    <w:rsid w:val="00CF6824"/>
    <w:rsid w:val="00CF7087"/>
    <w:rsid w:val="00CF791C"/>
    <w:rsid w:val="00CF7970"/>
    <w:rsid w:val="00D00F51"/>
    <w:rsid w:val="00D0144E"/>
    <w:rsid w:val="00D01E70"/>
    <w:rsid w:val="00D02352"/>
    <w:rsid w:val="00D02585"/>
    <w:rsid w:val="00D0306E"/>
    <w:rsid w:val="00D03400"/>
    <w:rsid w:val="00D04311"/>
    <w:rsid w:val="00D04789"/>
    <w:rsid w:val="00D04DF0"/>
    <w:rsid w:val="00D05475"/>
    <w:rsid w:val="00D078B7"/>
    <w:rsid w:val="00D11046"/>
    <w:rsid w:val="00D11180"/>
    <w:rsid w:val="00D111F7"/>
    <w:rsid w:val="00D11F81"/>
    <w:rsid w:val="00D12989"/>
    <w:rsid w:val="00D12F49"/>
    <w:rsid w:val="00D13A9C"/>
    <w:rsid w:val="00D13BEB"/>
    <w:rsid w:val="00D14C56"/>
    <w:rsid w:val="00D15664"/>
    <w:rsid w:val="00D1767D"/>
    <w:rsid w:val="00D20F51"/>
    <w:rsid w:val="00D214BC"/>
    <w:rsid w:val="00D2153C"/>
    <w:rsid w:val="00D2375D"/>
    <w:rsid w:val="00D23789"/>
    <w:rsid w:val="00D23DA8"/>
    <w:rsid w:val="00D24E91"/>
    <w:rsid w:val="00D252C4"/>
    <w:rsid w:val="00D25B75"/>
    <w:rsid w:val="00D2650F"/>
    <w:rsid w:val="00D27D90"/>
    <w:rsid w:val="00D31791"/>
    <w:rsid w:val="00D31BF1"/>
    <w:rsid w:val="00D31C92"/>
    <w:rsid w:val="00D3254B"/>
    <w:rsid w:val="00D32800"/>
    <w:rsid w:val="00D343B1"/>
    <w:rsid w:val="00D34578"/>
    <w:rsid w:val="00D34CF0"/>
    <w:rsid w:val="00D350BF"/>
    <w:rsid w:val="00D36132"/>
    <w:rsid w:val="00D36328"/>
    <w:rsid w:val="00D36B77"/>
    <w:rsid w:val="00D36C7A"/>
    <w:rsid w:val="00D3767F"/>
    <w:rsid w:val="00D408E6"/>
    <w:rsid w:val="00D416CA"/>
    <w:rsid w:val="00D4345E"/>
    <w:rsid w:val="00D4397C"/>
    <w:rsid w:val="00D43F0C"/>
    <w:rsid w:val="00D44463"/>
    <w:rsid w:val="00D450D5"/>
    <w:rsid w:val="00D46B70"/>
    <w:rsid w:val="00D47049"/>
    <w:rsid w:val="00D47D1F"/>
    <w:rsid w:val="00D5113F"/>
    <w:rsid w:val="00D52503"/>
    <w:rsid w:val="00D53965"/>
    <w:rsid w:val="00D54B96"/>
    <w:rsid w:val="00D551A1"/>
    <w:rsid w:val="00D5589C"/>
    <w:rsid w:val="00D55ABB"/>
    <w:rsid w:val="00D5659B"/>
    <w:rsid w:val="00D567FA"/>
    <w:rsid w:val="00D57699"/>
    <w:rsid w:val="00D57FA3"/>
    <w:rsid w:val="00D60C0A"/>
    <w:rsid w:val="00D618BD"/>
    <w:rsid w:val="00D6272D"/>
    <w:rsid w:val="00D62DA1"/>
    <w:rsid w:val="00D63D26"/>
    <w:rsid w:val="00D63F16"/>
    <w:rsid w:val="00D6406A"/>
    <w:rsid w:val="00D652BA"/>
    <w:rsid w:val="00D6555E"/>
    <w:rsid w:val="00D70602"/>
    <w:rsid w:val="00D70E2C"/>
    <w:rsid w:val="00D70FD4"/>
    <w:rsid w:val="00D732C4"/>
    <w:rsid w:val="00D738BF"/>
    <w:rsid w:val="00D73DEE"/>
    <w:rsid w:val="00D73F11"/>
    <w:rsid w:val="00D74588"/>
    <w:rsid w:val="00D75601"/>
    <w:rsid w:val="00D75951"/>
    <w:rsid w:val="00D76B72"/>
    <w:rsid w:val="00D76D3B"/>
    <w:rsid w:val="00D77A61"/>
    <w:rsid w:val="00D77E5C"/>
    <w:rsid w:val="00D81058"/>
    <w:rsid w:val="00D8143F"/>
    <w:rsid w:val="00D822FC"/>
    <w:rsid w:val="00D83A78"/>
    <w:rsid w:val="00D83CCC"/>
    <w:rsid w:val="00D84080"/>
    <w:rsid w:val="00D844AA"/>
    <w:rsid w:val="00D84D31"/>
    <w:rsid w:val="00D852FC"/>
    <w:rsid w:val="00D858F3"/>
    <w:rsid w:val="00D86759"/>
    <w:rsid w:val="00D87796"/>
    <w:rsid w:val="00D92391"/>
    <w:rsid w:val="00D9244D"/>
    <w:rsid w:val="00D92652"/>
    <w:rsid w:val="00D936FD"/>
    <w:rsid w:val="00D938BE"/>
    <w:rsid w:val="00D95284"/>
    <w:rsid w:val="00D9632B"/>
    <w:rsid w:val="00D97A4A"/>
    <w:rsid w:val="00DA1C50"/>
    <w:rsid w:val="00DA202E"/>
    <w:rsid w:val="00DA2C95"/>
    <w:rsid w:val="00DA2F8F"/>
    <w:rsid w:val="00DA382D"/>
    <w:rsid w:val="00DA3A3C"/>
    <w:rsid w:val="00DA43F7"/>
    <w:rsid w:val="00DA46CB"/>
    <w:rsid w:val="00DA4D2D"/>
    <w:rsid w:val="00DA4F8D"/>
    <w:rsid w:val="00DA615F"/>
    <w:rsid w:val="00DA6655"/>
    <w:rsid w:val="00DA6667"/>
    <w:rsid w:val="00DA6831"/>
    <w:rsid w:val="00DA69D1"/>
    <w:rsid w:val="00DA7010"/>
    <w:rsid w:val="00DA7323"/>
    <w:rsid w:val="00DB0297"/>
    <w:rsid w:val="00DB0EDC"/>
    <w:rsid w:val="00DB0FF2"/>
    <w:rsid w:val="00DB23E0"/>
    <w:rsid w:val="00DB3C48"/>
    <w:rsid w:val="00DB40FF"/>
    <w:rsid w:val="00DB4B0B"/>
    <w:rsid w:val="00DB5854"/>
    <w:rsid w:val="00DB6C24"/>
    <w:rsid w:val="00DB78B5"/>
    <w:rsid w:val="00DB7A80"/>
    <w:rsid w:val="00DB7F09"/>
    <w:rsid w:val="00DC02CA"/>
    <w:rsid w:val="00DC26CD"/>
    <w:rsid w:val="00DC33DE"/>
    <w:rsid w:val="00DC4B11"/>
    <w:rsid w:val="00DC4FEE"/>
    <w:rsid w:val="00DC5429"/>
    <w:rsid w:val="00DC5D2F"/>
    <w:rsid w:val="00DC698C"/>
    <w:rsid w:val="00DC6C4E"/>
    <w:rsid w:val="00DD010F"/>
    <w:rsid w:val="00DD04FD"/>
    <w:rsid w:val="00DD0EF5"/>
    <w:rsid w:val="00DD1B80"/>
    <w:rsid w:val="00DD2115"/>
    <w:rsid w:val="00DD2347"/>
    <w:rsid w:val="00DD2F62"/>
    <w:rsid w:val="00DD3363"/>
    <w:rsid w:val="00DD3406"/>
    <w:rsid w:val="00DD3B29"/>
    <w:rsid w:val="00DD42D9"/>
    <w:rsid w:val="00DD4EEB"/>
    <w:rsid w:val="00DD5052"/>
    <w:rsid w:val="00DD536E"/>
    <w:rsid w:val="00DD602C"/>
    <w:rsid w:val="00DD618D"/>
    <w:rsid w:val="00DD6F8F"/>
    <w:rsid w:val="00DD749D"/>
    <w:rsid w:val="00DD7633"/>
    <w:rsid w:val="00DD7A8E"/>
    <w:rsid w:val="00DE09FF"/>
    <w:rsid w:val="00DE0C33"/>
    <w:rsid w:val="00DE16EA"/>
    <w:rsid w:val="00DE1F05"/>
    <w:rsid w:val="00DE2D91"/>
    <w:rsid w:val="00DE2FF7"/>
    <w:rsid w:val="00DE43AD"/>
    <w:rsid w:val="00DE4C21"/>
    <w:rsid w:val="00DE570C"/>
    <w:rsid w:val="00DE5847"/>
    <w:rsid w:val="00DF0760"/>
    <w:rsid w:val="00DF15BF"/>
    <w:rsid w:val="00DF22F0"/>
    <w:rsid w:val="00DF33B1"/>
    <w:rsid w:val="00DF4597"/>
    <w:rsid w:val="00DF4A48"/>
    <w:rsid w:val="00DF50B3"/>
    <w:rsid w:val="00DF6AFC"/>
    <w:rsid w:val="00DF7090"/>
    <w:rsid w:val="00DF781B"/>
    <w:rsid w:val="00E003C7"/>
    <w:rsid w:val="00E00435"/>
    <w:rsid w:val="00E005BA"/>
    <w:rsid w:val="00E0161F"/>
    <w:rsid w:val="00E01B33"/>
    <w:rsid w:val="00E02C1A"/>
    <w:rsid w:val="00E044D4"/>
    <w:rsid w:val="00E04B66"/>
    <w:rsid w:val="00E07009"/>
    <w:rsid w:val="00E07429"/>
    <w:rsid w:val="00E07827"/>
    <w:rsid w:val="00E10288"/>
    <w:rsid w:val="00E10521"/>
    <w:rsid w:val="00E11C0A"/>
    <w:rsid w:val="00E11CC8"/>
    <w:rsid w:val="00E12094"/>
    <w:rsid w:val="00E12E07"/>
    <w:rsid w:val="00E137A1"/>
    <w:rsid w:val="00E13A02"/>
    <w:rsid w:val="00E14881"/>
    <w:rsid w:val="00E1566C"/>
    <w:rsid w:val="00E2182B"/>
    <w:rsid w:val="00E225C9"/>
    <w:rsid w:val="00E22EBD"/>
    <w:rsid w:val="00E2354E"/>
    <w:rsid w:val="00E24CA5"/>
    <w:rsid w:val="00E25DC9"/>
    <w:rsid w:val="00E31648"/>
    <w:rsid w:val="00E316DC"/>
    <w:rsid w:val="00E31758"/>
    <w:rsid w:val="00E31ABD"/>
    <w:rsid w:val="00E3271A"/>
    <w:rsid w:val="00E32DE6"/>
    <w:rsid w:val="00E3349E"/>
    <w:rsid w:val="00E3367F"/>
    <w:rsid w:val="00E3487D"/>
    <w:rsid w:val="00E350B0"/>
    <w:rsid w:val="00E36A3A"/>
    <w:rsid w:val="00E36F38"/>
    <w:rsid w:val="00E414BD"/>
    <w:rsid w:val="00E41609"/>
    <w:rsid w:val="00E41BCF"/>
    <w:rsid w:val="00E42202"/>
    <w:rsid w:val="00E446C9"/>
    <w:rsid w:val="00E45B02"/>
    <w:rsid w:val="00E46EE7"/>
    <w:rsid w:val="00E46FF9"/>
    <w:rsid w:val="00E476DE"/>
    <w:rsid w:val="00E47CFB"/>
    <w:rsid w:val="00E51958"/>
    <w:rsid w:val="00E51E01"/>
    <w:rsid w:val="00E51E79"/>
    <w:rsid w:val="00E52E69"/>
    <w:rsid w:val="00E53876"/>
    <w:rsid w:val="00E53BC3"/>
    <w:rsid w:val="00E53DD3"/>
    <w:rsid w:val="00E53E2D"/>
    <w:rsid w:val="00E549F1"/>
    <w:rsid w:val="00E55E6E"/>
    <w:rsid w:val="00E57916"/>
    <w:rsid w:val="00E57CEA"/>
    <w:rsid w:val="00E605F9"/>
    <w:rsid w:val="00E60DB3"/>
    <w:rsid w:val="00E617A5"/>
    <w:rsid w:val="00E62C70"/>
    <w:rsid w:val="00E63682"/>
    <w:rsid w:val="00E66DAA"/>
    <w:rsid w:val="00E677B6"/>
    <w:rsid w:val="00E67B64"/>
    <w:rsid w:val="00E70672"/>
    <w:rsid w:val="00E71213"/>
    <w:rsid w:val="00E72750"/>
    <w:rsid w:val="00E73B6A"/>
    <w:rsid w:val="00E743FC"/>
    <w:rsid w:val="00E75BC4"/>
    <w:rsid w:val="00E773FB"/>
    <w:rsid w:val="00E8078A"/>
    <w:rsid w:val="00E80C15"/>
    <w:rsid w:val="00E80E2B"/>
    <w:rsid w:val="00E80F0D"/>
    <w:rsid w:val="00E81235"/>
    <w:rsid w:val="00E81743"/>
    <w:rsid w:val="00E82706"/>
    <w:rsid w:val="00E82DB1"/>
    <w:rsid w:val="00E82E21"/>
    <w:rsid w:val="00E8322B"/>
    <w:rsid w:val="00E83833"/>
    <w:rsid w:val="00E85BE2"/>
    <w:rsid w:val="00E86119"/>
    <w:rsid w:val="00E86930"/>
    <w:rsid w:val="00E870BE"/>
    <w:rsid w:val="00E879D6"/>
    <w:rsid w:val="00E91B1F"/>
    <w:rsid w:val="00E9263E"/>
    <w:rsid w:val="00E926F8"/>
    <w:rsid w:val="00E93432"/>
    <w:rsid w:val="00E939DB"/>
    <w:rsid w:val="00E93E35"/>
    <w:rsid w:val="00E93E53"/>
    <w:rsid w:val="00E94F52"/>
    <w:rsid w:val="00E94F8C"/>
    <w:rsid w:val="00E95407"/>
    <w:rsid w:val="00E95D95"/>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45F"/>
    <w:rsid w:val="00EA56C2"/>
    <w:rsid w:val="00EA5A73"/>
    <w:rsid w:val="00EA5AC7"/>
    <w:rsid w:val="00EA5BF2"/>
    <w:rsid w:val="00EB038B"/>
    <w:rsid w:val="00EB0566"/>
    <w:rsid w:val="00EB452A"/>
    <w:rsid w:val="00EB4833"/>
    <w:rsid w:val="00EB5F71"/>
    <w:rsid w:val="00EB6509"/>
    <w:rsid w:val="00EB70B5"/>
    <w:rsid w:val="00EC04F4"/>
    <w:rsid w:val="00EC1071"/>
    <w:rsid w:val="00EC199D"/>
    <w:rsid w:val="00EC2454"/>
    <w:rsid w:val="00EC2C5A"/>
    <w:rsid w:val="00EC58F1"/>
    <w:rsid w:val="00EC7961"/>
    <w:rsid w:val="00ED06BC"/>
    <w:rsid w:val="00ED0FEF"/>
    <w:rsid w:val="00ED2832"/>
    <w:rsid w:val="00ED2F2E"/>
    <w:rsid w:val="00ED4D35"/>
    <w:rsid w:val="00ED4E5F"/>
    <w:rsid w:val="00ED64F7"/>
    <w:rsid w:val="00ED6CD6"/>
    <w:rsid w:val="00ED7412"/>
    <w:rsid w:val="00EE0251"/>
    <w:rsid w:val="00EE11C7"/>
    <w:rsid w:val="00EE14B0"/>
    <w:rsid w:val="00EE1EDE"/>
    <w:rsid w:val="00EE22AB"/>
    <w:rsid w:val="00EE2831"/>
    <w:rsid w:val="00EE3B1A"/>
    <w:rsid w:val="00EE4C13"/>
    <w:rsid w:val="00EE5AAE"/>
    <w:rsid w:val="00EE5DA7"/>
    <w:rsid w:val="00EE6B07"/>
    <w:rsid w:val="00EE6CC5"/>
    <w:rsid w:val="00EF1051"/>
    <w:rsid w:val="00EF127B"/>
    <w:rsid w:val="00EF1952"/>
    <w:rsid w:val="00EF2E73"/>
    <w:rsid w:val="00EF2FBB"/>
    <w:rsid w:val="00EF3EE2"/>
    <w:rsid w:val="00EF421F"/>
    <w:rsid w:val="00EF5B70"/>
    <w:rsid w:val="00EF6643"/>
    <w:rsid w:val="00EF6E29"/>
    <w:rsid w:val="00EF7325"/>
    <w:rsid w:val="00F0072D"/>
    <w:rsid w:val="00F00B65"/>
    <w:rsid w:val="00F013D0"/>
    <w:rsid w:val="00F0179C"/>
    <w:rsid w:val="00F01AC7"/>
    <w:rsid w:val="00F0255C"/>
    <w:rsid w:val="00F03745"/>
    <w:rsid w:val="00F0481C"/>
    <w:rsid w:val="00F0545D"/>
    <w:rsid w:val="00F067A8"/>
    <w:rsid w:val="00F06FC4"/>
    <w:rsid w:val="00F0752C"/>
    <w:rsid w:val="00F07B60"/>
    <w:rsid w:val="00F07EDB"/>
    <w:rsid w:val="00F108C2"/>
    <w:rsid w:val="00F11849"/>
    <w:rsid w:val="00F11C2D"/>
    <w:rsid w:val="00F133F6"/>
    <w:rsid w:val="00F13D03"/>
    <w:rsid w:val="00F15520"/>
    <w:rsid w:val="00F15B13"/>
    <w:rsid w:val="00F15CB3"/>
    <w:rsid w:val="00F15F47"/>
    <w:rsid w:val="00F16A72"/>
    <w:rsid w:val="00F16C42"/>
    <w:rsid w:val="00F16C5A"/>
    <w:rsid w:val="00F16DDD"/>
    <w:rsid w:val="00F17305"/>
    <w:rsid w:val="00F20223"/>
    <w:rsid w:val="00F204DD"/>
    <w:rsid w:val="00F20756"/>
    <w:rsid w:val="00F225E5"/>
    <w:rsid w:val="00F22A36"/>
    <w:rsid w:val="00F236DF"/>
    <w:rsid w:val="00F2530D"/>
    <w:rsid w:val="00F25810"/>
    <w:rsid w:val="00F25F6B"/>
    <w:rsid w:val="00F26562"/>
    <w:rsid w:val="00F322F9"/>
    <w:rsid w:val="00F32836"/>
    <w:rsid w:val="00F3512F"/>
    <w:rsid w:val="00F41D52"/>
    <w:rsid w:val="00F443CA"/>
    <w:rsid w:val="00F45BC4"/>
    <w:rsid w:val="00F45C07"/>
    <w:rsid w:val="00F46265"/>
    <w:rsid w:val="00F47673"/>
    <w:rsid w:val="00F47EB6"/>
    <w:rsid w:val="00F506A4"/>
    <w:rsid w:val="00F50CF7"/>
    <w:rsid w:val="00F517E9"/>
    <w:rsid w:val="00F51CF3"/>
    <w:rsid w:val="00F52A92"/>
    <w:rsid w:val="00F53222"/>
    <w:rsid w:val="00F53862"/>
    <w:rsid w:val="00F545A4"/>
    <w:rsid w:val="00F54C76"/>
    <w:rsid w:val="00F54E31"/>
    <w:rsid w:val="00F559BB"/>
    <w:rsid w:val="00F5712A"/>
    <w:rsid w:val="00F574DC"/>
    <w:rsid w:val="00F61651"/>
    <w:rsid w:val="00F61686"/>
    <w:rsid w:val="00F64523"/>
    <w:rsid w:val="00F6587D"/>
    <w:rsid w:val="00F66167"/>
    <w:rsid w:val="00F661CE"/>
    <w:rsid w:val="00F6672A"/>
    <w:rsid w:val="00F6767C"/>
    <w:rsid w:val="00F71FF3"/>
    <w:rsid w:val="00F723DA"/>
    <w:rsid w:val="00F725BF"/>
    <w:rsid w:val="00F72CC0"/>
    <w:rsid w:val="00F733BD"/>
    <w:rsid w:val="00F75860"/>
    <w:rsid w:val="00F75EAD"/>
    <w:rsid w:val="00F7611F"/>
    <w:rsid w:val="00F77060"/>
    <w:rsid w:val="00F8005E"/>
    <w:rsid w:val="00F809BD"/>
    <w:rsid w:val="00F80D71"/>
    <w:rsid w:val="00F8171C"/>
    <w:rsid w:val="00F821A7"/>
    <w:rsid w:val="00F82523"/>
    <w:rsid w:val="00F82621"/>
    <w:rsid w:val="00F829F5"/>
    <w:rsid w:val="00F83320"/>
    <w:rsid w:val="00F83AFB"/>
    <w:rsid w:val="00F846F4"/>
    <w:rsid w:val="00F847F6"/>
    <w:rsid w:val="00F85D1D"/>
    <w:rsid w:val="00F85D58"/>
    <w:rsid w:val="00F86401"/>
    <w:rsid w:val="00F86C41"/>
    <w:rsid w:val="00F87CCD"/>
    <w:rsid w:val="00F90570"/>
    <w:rsid w:val="00F9073C"/>
    <w:rsid w:val="00F90B5D"/>
    <w:rsid w:val="00F92201"/>
    <w:rsid w:val="00F934E2"/>
    <w:rsid w:val="00F93FF7"/>
    <w:rsid w:val="00F94930"/>
    <w:rsid w:val="00F94EB4"/>
    <w:rsid w:val="00F958B6"/>
    <w:rsid w:val="00F9643B"/>
    <w:rsid w:val="00F96832"/>
    <w:rsid w:val="00F972C4"/>
    <w:rsid w:val="00FA1319"/>
    <w:rsid w:val="00FA140F"/>
    <w:rsid w:val="00FA1806"/>
    <w:rsid w:val="00FA22BD"/>
    <w:rsid w:val="00FA262E"/>
    <w:rsid w:val="00FA26A5"/>
    <w:rsid w:val="00FA43C9"/>
    <w:rsid w:val="00FA4C76"/>
    <w:rsid w:val="00FA4FEE"/>
    <w:rsid w:val="00FA50D1"/>
    <w:rsid w:val="00FA5A4A"/>
    <w:rsid w:val="00FA7E25"/>
    <w:rsid w:val="00FB193C"/>
    <w:rsid w:val="00FB1C8A"/>
    <w:rsid w:val="00FB320C"/>
    <w:rsid w:val="00FB3696"/>
    <w:rsid w:val="00FB3A61"/>
    <w:rsid w:val="00FB47E1"/>
    <w:rsid w:val="00FB539C"/>
    <w:rsid w:val="00FB665A"/>
    <w:rsid w:val="00FB6EF7"/>
    <w:rsid w:val="00FB7DEA"/>
    <w:rsid w:val="00FC17FC"/>
    <w:rsid w:val="00FC3020"/>
    <w:rsid w:val="00FC32DC"/>
    <w:rsid w:val="00FC3497"/>
    <w:rsid w:val="00FC3BBF"/>
    <w:rsid w:val="00FC546E"/>
    <w:rsid w:val="00FC68D2"/>
    <w:rsid w:val="00FC6A07"/>
    <w:rsid w:val="00FC7FA6"/>
    <w:rsid w:val="00FD011E"/>
    <w:rsid w:val="00FD0158"/>
    <w:rsid w:val="00FD091E"/>
    <w:rsid w:val="00FD0923"/>
    <w:rsid w:val="00FD1177"/>
    <w:rsid w:val="00FD12D2"/>
    <w:rsid w:val="00FD1373"/>
    <w:rsid w:val="00FD2A0F"/>
    <w:rsid w:val="00FD3218"/>
    <w:rsid w:val="00FD3801"/>
    <w:rsid w:val="00FD383C"/>
    <w:rsid w:val="00FD3E92"/>
    <w:rsid w:val="00FD4C9F"/>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0CB"/>
    <w:rsid w:val="00FE136B"/>
    <w:rsid w:val="00FE413F"/>
    <w:rsid w:val="00FE4381"/>
    <w:rsid w:val="00FE6C88"/>
    <w:rsid w:val="00FE74BD"/>
    <w:rsid w:val="00FF2C9E"/>
    <w:rsid w:val="00FF2FA4"/>
    <w:rsid w:val="00FF32AC"/>
    <w:rsid w:val="00FF341B"/>
    <w:rsid w:val="00FF34E0"/>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6E285C"/>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075BB7"/>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customStyle="1" w:styleId="AkGlgeleme1">
    <w:name w:val="Açık Gölgeleme1"/>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W-NormalWeb1">
    <w:name w:val="WW-Normal (Web)1"/>
    <w:basedOn w:val="Normal"/>
    <w:rsid w:val="00276E20"/>
    <w:pPr>
      <w:spacing w:before="280" w:after="119" w:line="240" w:lineRule="auto"/>
      <w:ind w:firstLine="0"/>
      <w:jc w:val="left"/>
    </w:pPr>
    <w:rPr>
      <w:rFonts w:eastAsia="Times New Roman" w:cs="Times New Roman"/>
      <w:szCs w:val="24"/>
      <w:lang w:eastAsia="ar-SA"/>
    </w:rPr>
  </w:style>
  <w:style w:type="paragraph" w:styleId="NormalWeb">
    <w:name w:val="Normal (Web)"/>
    <w:basedOn w:val="Normal"/>
    <w:uiPriority w:val="99"/>
    <w:unhideWhenUsed/>
    <w:rsid w:val="00A40077"/>
    <w:pPr>
      <w:spacing w:line="240" w:lineRule="auto"/>
      <w:ind w:firstLine="0"/>
      <w:jc w:val="left"/>
    </w:pPr>
    <w:rPr>
      <w:rFonts w:eastAsia="Times New Roman" w:cs="Times New Roman"/>
      <w:sz w:val="18"/>
      <w:szCs w:val="18"/>
      <w:lang w:eastAsia="tr-TR"/>
    </w:rPr>
  </w:style>
  <w:style w:type="table" w:styleId="AkListe-Vurgu4">
    <w:name w:val="Light List Accent 4"/>
    <w:basedOn w:val="NormalTablo"/>
    <w:uiPriority w:val="61"/>
    <w:rsid w:val="00A4007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Glgeleme-Vurgu4">
    <w:name w:val="Light Shading Accent 4"/>
    <w:basedOn w:val="NormalTablo"/>
    <w:uiPriority w:val="60"/>
    <w:rsid w:val="00A4007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2B367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e1-Vurgu4">
    <w:name w:val="Medium List 1 Accent 4"/>
    <w:basedOn w:val="NormalTablo"/>
    <w:uiPriority w:val="65"/>
    <w:rsid w:val="002B367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Klavuz1-Vurgu4">
    <w:name w:val="Medium Grid 1 Accent 4"/>
    <w:basedOn w:val="NormalTablo"/>
    <w:uiPriority w:val="67"/>
    <w:rsid w:val="002B367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2-Vurgu5">
    <w:name w:val="Medium Grid 2 Accent 5"/>
    <w:basedOn w:val="NormalTablo"/>
    <w:uiPriority w:val="68"/>
    <w:rsid w:val="002B36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AkGlgeleme-Vurgu11">
    <w:name w:val="Açık Gölgeleme - Vurgu 11"/>
    <w:basedOn w:val="NormalTablo"/>
    <w:uiPriority w:val="60"/>
    <w:rsid w:val="002B367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5">
    <w:name w:val="Medium List 1 Accent 5"/>
    <w:basedOn w:val="NormalTablo"/>
    <w:uiPriority w:val="65"/>
    <w:rsid w:val="002B367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Klavuz3-Vurgu4">
    <w:name w:val="Medium Grid 3 Accent 4"/>
    <w:basedOn w:val="NormalTablo"/>
    <w:uiPriority w:val="69"/>
    <w:rsid w:val="002B367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Glgeleme1-Vurgu4">
    <w:name w:val="Medium Shading 1 Accent 4"/>
    <w:basedOn w:val="NormalTablo"/>
    <w:uiPriority w:val="63"/>
    <w:rsid w:val="002B367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2B367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Liste2-Vurgu4">
    <w:name w:val="Medium List 2 Accent 4"/>
    <w:basedOn w:val="NormalTablo"/>
    <w:uiPriority w:val="66"/>
    <w:rsid w:val="002B36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2-Vurgu4">
    <w:name w:val="Medium Grid 2 Accent 4"/>
    <w:basedOn w:val="NormalTablo"/>
    <w:uiPriority w:val="68"/>
    <w:rsid w:val="002B367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1-Vurgu5">
    <w:name w:val="Medium Grid 1 Accent 5"/>
    <w:basedOn w:val="NormalTablo"/>
    <w:uiPriority w:val="67"/>
    <w:rsid w:val="002B367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11">
    <w:name w:val="Orta Kılavuz 11"/>
    <w:basedOn w:val="NormalTablo"/>
    <w:uiPriority w:val="67"/>
    <w:rsid w:val="002B367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Liste11">
    <w:name w:val="Orta Liste 11"/>
    <w:basedOn w:val="NormalTablo"/>
    <w:uiPriority w:val="65"/>
    <w:rsid w:val="002B367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AkGlgeleme2">
    <w:name w:val="Açık Gölgeleme2"/>
    <w:basedOn w:val="NormalTablo"/>
    <w:uiPriority w:val="60"/>
    <w:rsid w:val="002B36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uiPriority w:val="59"/>
    <w:rsid w:val="00994E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994E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41">
    <w:name w:val="Açık Gölgeleme - Vurgu 41"/>
    <w:basedOn w:val="NormalTablo"/>
    <w:next w:val="AkGlgeleme-Vurgu4"/>
    <w:uiPriority w:val="60"/>
    <w:semiHidden/>
    <w:unhideWhenUsed/>
    <w:rsid w:val="00994ED2"/>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3">
    <w:name w:val="Açık Gölgeleme3"/>
    <w:basedOn w:val="NormalTablo"/>
    <w:next w:val="AkGlgeleme4"/>
    <w:uiPriority w:val="60"/>
    <w:semiHidden/>
    <w:unhideWhenUsed/>
    <w:rsid w:val="00994ED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4">
    <w:name w:val="Açık Gölgeleme4"/>
    <w:basedOn w:val="NormalTablo"/>
    <w:uiPriority w:val="60"/>
    <w:unhideWhenUsed/>
    <w:rsid w:val="00994E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42">
    <w:name w:val="Açık Gölgeleme - Vurgu 42"/>
    <w:basedOn w:val="NormalTablo"/>
    <w:next w:val="AkGlgeleme-Vurgu4"/>
    <w:uiPriority w:val="60"/>
    <w:semiHidden/>
    <w:unhideWhenUsed/>
    <w:rsid w:val="00D52503"/>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43">
    <w:name w:val="Açık Gölgeleme - Vurgu 43"/>
    <w:basedOn w:val="NormalTablo"/>
    <w:next w:val="AkGlgeleme-Vurgu4"/>
    <w:uiPriority w:val="60"/>
    <w:semiHidden/>
    <w:unhideWhenUsed/>
    <w:rsid w:val="002827AB"/>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Vurgu44">
    <w:name w:val="Açık Gölgeleme - Vurgu 44"/>
    <w:basedOn w:val="NormalTablo"/>
    <w:next w:val="AkGlgeleme-Vurgu4"/>
    <w:uiPriority w:val="60"/>
    <w:semiHidden/>
    <w:unhideWhenUsed/>
    <w:rsid w:val="002827AB"/>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40">
    <w:name w:val="Açık Gölgeleme4"/>
    <w:basedOn w:val="NormalTablo"/>
    <w:next w:val="AkGlgeleme4"/>
    <w:uiPriority w:val="60"/>
    <w:semiHidden/>
    <w:unhideWhenUsed/>
    <w:rsid w:val="002827AB"/>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41">
    <w:name w:val="Orta Gölgeleme 1 - Vurgu 41"/>
    <w:basedOn w:val="NormalTablo"/>
    <w:next w:val="OrtaGlgeleme1-Vurgu4"/>
    <w:uiPriority w:val="63"/>
    <w:semiHidden/>
    <w:unhideWhenUsed/>
    <w:rsid w:val="002827AB"/>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Glgeleme1-Vurgu42">
    <w:name w:val="Orta Gölgeleme 1 - Vurgu 42"/>
    <w:basedOn w:val="NormalTablo"/>
    <w:next w:val="OrtaGlgeleme1-Vurgu4"/>
    <w:uiPriority w:val="63"/>
    <w:semiHidden/>
    <w:unhideWhenUsed/>
    <w:rsid w:val="002827AB"/>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Liste1-Vurgu3">
    <w:name w:val="Medium List 1 Accent 3"/>
    <w:basedOn w:val="NormalTablo"/>
    <w:uiPriority w:val="65"/>
    <w:rsid w:val="00C97A09"/>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ListeMaddemi">
    <w:name w:val="List Bullet"/>
    <w:basedOn w:val="Normal"/>
    <w:uiPriority w:val="99"/>
    <w:unhideWhenUsed/>
    <w:rsid w:val="00B259E5"/>
    <w:pPr>
      <w:numPr>
        <w:numId w:val="18"/>
      </w:numPr>
      <w:contextualSpacing/>
    </w:pPr>
  </w:style>
  <w:style w:type="numbering" w:customStyle="1" w:styleId="ListeYok2">
    <w:name w:val="Liste Yok2"/>
    <w:next w:val="ListeYok"/>
    <w:uiPriority w:val="99"/>
    <w:semiHidden/>
    <w:unhideWhenUsed/>
    <w:rsid w:val="006F53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494">
      <w:bodyDiv w:val="1"/>
      <w:marLeft w:val="0"/>
      <w:marRight w:val="0"/>
      <w:marTop w:val="0"/>
      <w:marBottom w:val="0"/>
      <w:divBdr>
        <w:top w:val="none" w:sz="0" w:space="0" w:color="auto"/>
        <w:left w:val="none" w:sz="0" w:space="0" w:color="auto"/>
        <w:bottom w:val="none" w:sz="0" w:space="0" w:color="auto"/>
        <w:right w:val="none" w:sz="0" w:space="0" w:color="auto"/>
      </w:divBdr>
    </w:div>
    <w:div w:id="67730072">
      <w:bodyDiv w:val="1"/>
      <w:marLeft w:val="0"/>
      <w:marRight w:val="0"/>
      <w:marTop w:val="0"/>
      <w:marBottom w:val="0"/>
      <w:divBdr>
        <w:top w:val="none" w:sz="0" w:space="0" w:color="auto"/>
        <w:left w:val="none" w:sz="0" w:space="0" w:color="auto"/>
        <w:bottom w:val="none" w:sz="0" w:space="0" w:color="auto"/>
        <w:right w:val="none" w:sz="0" w:space="0" w:color="auto"/>
      </w:divBdr>
      <w:divsChild>
        <w:div w:id="1247761922">
          <w:marLeft w:val="0"/>
          <w:marRight w:val="0"/>
          <w:marTop w:val="0"/>
          <w:marBottom w:val="0"/>
          <w:divBdr>
            <w:top w:val="none" w:sz="0" w:space="0" w:color="auto"/>
            <w:left w:val="none" w:sz="0" w:space="0" w:color="auto"/>
            <w:bottom w:val="none" w:sz="0" w:space="0" w:color="auto"/>
            <w:right w:val="none" w:sz="0" w:space="0" w:color="auto"/>
          </w:divBdr>
          <w:divsChild>
            <w:div w:id="1529837108">
              <w:marLeft w:val="0"/>
              <w:marRight w:val="0"/>
              <w:marTop w:val="0"/>
              <w:marBottom w:val="0"/>
              <w:divBdr>
                <w:top w:val="none" w:sz="0" w:space="0" w:color="auto"/>
                <w:left w:val="none" w:sz="0" w:space="0" w:color="auto"/>
                <w:bottom w:val="none" w:sz="0" w:space="0" w:color="auto"/>
                <w:right w:val="none" w:sz="0" w:space="0" w:color="auto"/>
              </w:divBdr>
              <w:divsChild>
                <w:div w:id="1306550952">
                  <w:marLeft w:val="0"/>
                  <w:marRight w:val="0"/>
                  <w:marTop w:val="0"/>
                  <w:marBottom w:val="0"/>
                  <w:divBdr>
                    <w:top w:val="none" w:sz="0" w:space="0" w:color="auto"/>
                    <w:left w:val="none" w:sz="0" w:space="0" w:color="auto"/>
                    <w:bottom w:val="none" w:sz="0" w:space="0" w:color="auto"/>
                    <w:right w:val="none" w:sz="0" w:space="0" w:color="auto"/>
                  </w:divBdr>
                  <w:divsChild>
                    <w:div w:id="1298143326">
                      <w:marLeft w:val="0"/>
                      <w:marRight w:val="0"/>
                      <w:marTop w:val="0"/>
                      <w:marBottom w:val="0"/>
                      <w:divBdr>
                        <w:top w:val="none" w:sz="0" w:space="0" w:color="auto"/>
                        <w:left w:val="none" w:sz="0" w:space="0" w:color="auto"/>
                        <w:bottom w:val="none" w:sz="0" w:space="0" w:color="auto"/>
                        <w:right w:val="none" w:sz="0" w:space="0" w:color="auto"/>
                      </w:divBdr>
                      <w:divsChild>
                        <w:div w:id="2098819429">
                          <w:marLeft w:val="0"/>
                          <w:marRight w:val="0"/>
                          <w:marTop w:val="0"/>
                          <w:marBottom w:val="0"/>
                          <w:divBdr>
                            <w:top w:val="none" w:sz="0" w:space="0" w:color="auto"/>
                            <w:left w:val="none" w:sz="0" w:space="0" w:color="auto"/>
                            <w:bottom w:val="none" w:sz="0" w:space="0" w:color="auto"/>
                            <w:right w:val="none" w:sz="0" w:space="0" w:color="auto"/>
                          </w:divBdr>
                          <w:divsChild>
                            <w:div w:id="1198391783">
                              <w:marLeft w:val="0"/>
                              <w:marRight w:val="300"/>
                              <w:marTop w:val="180"/>
                              <w:marBottom w:val="0"/>
                              <w:divBdr>
                                <w:top w:val="none" w:sz="0" w:space="0" w:color="auto"/>
                                <w:left w:val="none" w:sz="0" w:space="0" w:color="auto"/>
                                <w:bottom w:val="none" w:sz="0" w:space="0" w:color="auto"/>
                                <w:right w:val="none" w:sz="0" w:space="0" w:color="auto"/>
                              </w:divBdr>
                              <w:divsChild>
                                <w:div w:id="5522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667362">
          <w:marLeft w:val="0"/>
          <w:marRight w:val="0"/>
          <w:marTop w:val="0"/>
          <w:marBottom w:val="0"/>
          <w:divBdr>
            <w:top w:val="none" w:sz="0" w:space="0" w:color="auto"/>
            <w:left w:val="none" w:sz="0" w:space="0" w:color="auto"/>
            <w:bottom w:val="none" w:sz="0" w:space="0" w:color="auto"/>
            <w:right w:val="none" w:sz="0" w:space="0" w:color="auto"/>
          </w:divBdr>
          <w:divsChild>
            <w:div w:id="106589353">
              <w:marLeft w:val="0"/>
              <w:marRight w:val="0"/>
              <w:marTop w:val="0"/>
              <w:marBottom w:val="0"/>
              <w:divBdr>
                <w:top w:val="none" w:sz="0" w:space="0" w:color="auto"/>
                <w:left w:val="none" w:sz="0" w:space="0" w:color="auto"/>
                <w:bottom w:val="none" w:sz="0" w:space="0" w:color="auto"/>
                <w:right w:val="none" w:sz="0" w:space="0" w:color="auto"/>
              </w:divBdr>
              <w:divsChild>
                <w:div w:id="1310940050">
                  <w:marLeft w:val="0"/>
                  <w:marRight w:val="0"/>
                  <w:marTop w:val="0"/>
                  <w:marBottom w:val="0"/>
                  <w:divBdr>
                    <w:top w:val="none" w:sz="0" w:space="0" w:color="auto"/>
                    <w:left w:val="none" w:sz="0" w:space="0" w:color="auto"/>
                    <w:bottom w:val="none" w:sz="0" w:space="0" w:color="auto"/>
                    <w:right w:val="none" w:sz="0" w:space="0" w:color="auto"/>
                  </w:divBdr>
                  <w:divsChild>
                    <w:div w:id="476999129">
                      <w:marLeft w:val="0"/>
                      <w:marRight w:val="0"/>
                      <w:marTop w:val="0"/>
                      <w:marBottom w:val="0"/>
                      <w:divBdr>
                        <w:top w:val="none" w:sz="0" w:space="0" w:color="auto"/>
                        <w:left w:val="none" w:sz="0" w:space="0" w:color="auto"/>
                        <w:bottom w:val="none" w:sz="0" w:space="0" w:color="auto"/>
                        <w:right w:val="none" w:sz="0" w:space="0" w:color="auto"/>
                      </w:divBdr>
                      <w:divsChild>
                        <w:div w:id="9360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80238800">
      <w:bodyDiv w:val="1"/>
      <w:marLeft w:val="0"/>
      <w:marRight w:val="0"/>
      <w:marTop w:val="0"/>
      <w:marBottom w:val="0"/>
      <w:divBdr>
        <w:top w:val="none" w:sz="0" w:space="0" w:color="auto"/>
        <w:left w:val="none" w:sz="0" w:space="0" w:color="auto"/>
        <w:bottom w:val="none" w:sz="0" w:space="0" w:color="auto"/>
        <w:right w:val="none" w:sz="0" w:space="0" w:color="auto"/>
      </w:divBdr>
    </w:div>
    <w:div w:id="181632257">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71354665">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43575567">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2867179">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27229888">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02746906">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38966634">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36312017">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38951229">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53114068">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69834530">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44674074">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1.xml"/><Relationship Id="rId671" Type="http://schemas.openxmlformats.org/officeDocument/2006/relationships/hyperlink" Target="https://www.ncbi.nlm.nih.gov/pubmed/?term=Reis%20RM%5BAuthor%5D&amp;cauthor=true&amp;cauthor_uid=21787388" TargetMode="External"/><Relationship Id="rId769" Type="http://schemas.openxmlformats.org/officeDocument/2006/relationships/hyperlink" Target="https://www.ncbi.nlm.nih.gov/pubmed/?term=Chang%20S%5BAuthor%5D&amp;cauthor=true&amp;cauthor_uid=18810326" TargetMode="External"/><Relationship Id="rId976" Type="http://schemas.openxmlformats.org/officeDocument/2006/relationships/hyperlink" Target="https://www.ncbi.nlm.nih.gov/pubmed/?term=Wiesener%20MS%5BAuthor%5D&amp;cauthor=true&amp;cauthor_uid=12490539" TargetMode="External"/><Relationship Id="rId21" Type="http://schemas.openxmlformats.org/officeDocument/2006/relationships/hyperlink" Target="https://www.sciencedirect.com/topics/biochemistry-genetics-and-molecular-biology/hexokinase" TargetMode="External"/><Relationship Id="rId324" Type="http://schemas.openxmlformats.org/officeDocument/2006/relationships/hyperlink" Target="https://www.ncbi.nlm.nih.gov/pubmed/?term=Kunz-Schughart%20L%5BAuthor%5D&amp;cauthor=true&amp;cauthor_uid=17255361" TargetMode="External"/><Relationship Id="rId531" Type="http://schemas.openxmlformats.org/officeDocument/2006/relationships/hyperlink" Target="https://www.ncbi.nlm.nih.gov/pubmed/?term=Fan%20J%5BAuthor%5D&amp;cauthor=true&amp;cauthor_uid=25514599" TargetMode="External"/><Relationship Id="rId629" Type="http://schemas.openxmlformats.org/officeDocument/2006/relationships/hyperlink" Target="https://www.ncbi.nlm.nih.gov/pubmed/?term=Kadowaki%20T%5BAuthor%5D&amp;cauthor=true&amp;cauthor_uid=25713368" TargetMode="External"/><Relationship Id="rId170" Type="http://schemas.openxmlformats.org/officeDocument/2006/relationships/hyperlink" Target="https://www.ncbi.nlm.nih.gov/pubmed/?term=Poulogiannis%20G%5BAuthor%5D&amp;cauthor=true&amp;cauthor_uid=22052977" TargetMode="External"/><Relationship Id="rId836" Type="http://schemas.openxmlformats.org/officeDocument/2006/relationships/hyperlink" Target="https://www.ncbi.nlm.nih.gov/pubmed/?term=Wahl%20ML%5BAuthor%5D&amp;cauthor=true&amp;cauthor_uid=19033663" TargetMode="External"/><Relationship Id="rId1021" Type="http://schemas.openxmlformats.org/officeDocument/2006/relationships/hyperlink" Target="https://www.ncbi.nlm.nih.gov/pubmed/?term=Zhu%20J%5BAuthor%5D&amp;cauthor=true&amp;cauthor_uid=22961700" TargetMode="External"/><Relationship Id="rId268" Type="http://schemas.openxmlformats.org/officeDocument/2006/relationships/hyperlink" Target="https://www.ncbi.nlm.nih.gov/pubmed/?term=Sloane%20BF%5BAuthor%5D&amp;cauthor=true&amp;cauthor_uid=23288510" TargetMode="External"/><Relationship Id="rId475" Type="http://schemas.openxmlformats.org/officeDocument/2006/relationships/hyperlink" Target="https://www.ncbi.nlm.nih.gov/pubmed/?term=Park%20KC%5BAuthor%5D&amp;cauthor=true&amp;cauthor_uid=25892225" TargetMode="External"/><Relationship Id="rId682" Type="http://schemas.openxmlformats.org/officeDocument/2006/relationships/hyperlink" Target="https://www.ncbi.nlm.nih.gov/pubmed/?term=Pinheiro%20C%5BAuthor%5D&amp;cauthor=true&amp;cauthor_uid=22407107" TargetMode="External"/><Relationship Id="rId903" Type="http://schemas.openxmlformats.org/officeDocument/2006/relationships/hyperlink" Target="https://www.ncbi.nlm.nih.gov/pubmed/?term=Patel%20K%5BAuthor%5D&amp;cauthor=true&amp;cauthor_uid=17895480" TargetMode="External"/><Relationship Id="rId32" Type="http://schemas.openxmlformats.org/officeDocument/2006/relationships/image" Target="media/image8.png"/><Relationship Id="rId128" Type="http://schemas.openxmlformats.org/officeDocument/2006/relationships/image" Target="media/image42.jpeg"/><Relationship Id="rId335" Type="http://schemas.openxmlformats.org/officeDocument/2006/relationships/hyperlink" Target="https://www.ncbi.nlm.nih.gov/pubmed/?term=Mueller-Klieser%20W%5BAuthor%5D&amp;cauthor=true&amp;cauthor_uid=21617859" TargetMode="External"/><Relationship Id="rId542" Type="http://schemas.openxmlformats.org/officeDocument/2006/relationships/hyperlink" Target="https://www.ncbi.nlm.nih.gov/pubmed/?term=Wang%20F%5BAuthor%5D&amp;cauthor=true&amp;cauthor_uid=23377827" TargetMode="External"/><Relationship Id="rId987" Type="http://schemas.openxmlformats.org/officeDocument/2006/relationships/hyperlink" Target="https://www.ncbi.nlm.nih.gov/pubmed/?term=Bachmann%20S%5BAuthor%5D&amp;cauthor=true&amp;cauthor_uid=12490539" TargetMode="External"/><Relationship Id="rId181" Type="http://schemas.openxmlformats.org/officeDocument/2006/relationships/hyperlink" Target="https://www.ncbi.nlm.nih.gov/pubmed/?term=Cantley%20LC%5BAuthor%5D&amp;cauthor=true&amp;cauthor_uid=22052977" TargetMode="External"/><Relationship Id="rId402" Type="http://schemas.openxmlformats.org/officeDocument/2006/relationships/hyperlink" Target="https://www.ncbi.nlm.nih.gov/pubmed/?term=Ishiyama%20M%5BAuthor%5D&amp;cauthor=true&amp;cauthor_uid=8951178" TargetMode="External"/><Relationship Id="rId847" Type="http://schemas.openxmlformats.org/officeDocument/2006/relationships/hyperlink" Target="https://www.ncbi.nlm.nih.gov/pubmed/?term=Egashira%20A%5BAuthor%5D&amp;cauthor=true&amp;cauthor_uid=16951228" TargetMode="External"/><Relationship Id="rId1032" Type="http://schemas.openxmlformats.org/officeDocument/2006/relationships/hyperlink" Target="https://www.ncbi.nlm.nih.gov/pubmed/?term=Mancuso%20A%5BAuthor%5D&amp;cauthor=true&amp;cauthor_uid=22509023" TargetMode="External"/><Relationship Id="rId279" Type="http://schemas.openxmlformats.org/officeDocument/2006/relationships/hyperlink" Target="https://www.ncbi.nlm.nih.gov/pubmed/?term=Del%20Prete%20M%5BAuthor%5D&amp;cauthor=true&amp;cauthor_uid=27314036" TargetMode="External"/><Relationship Id="rId486" Type="http://schemas.openxmlformats.org/officeDocument/2006/relationships/hyperlink" Target="https://www.ncbi.nlm.nih.gov/pubmed/?term=Li%20W%5BAuthor%5D&amp;cauthor=true&amp;cauthor_uid=31000383" TargetMode="External"/><Relationship Id="rId693" Type="http://schemas.openxmlformats.org/officeDocument/2006/relationships/hyperlink" Target="https://www.ncbi.nlm.nih.gov/pubmed/?term=Moreira%20MA%5BAuthor%5D&amp;cauthor=true&amp;cauthor_uid=18753962" TargetMode="External"/><Relationship Id="rId707" Type="http://schemas.openxmlformats.org/officeDocument/2006/relationships/hyperlink" Target="https://www.ncbi.nlm.nih.gov/pubmed/?term=Bamezai%20RNK%5BAuthor%5D&amp;cauthor=true&amp;cauthor_uid=29468140" TargetMode="External"/><Relationship Id="rId914" Type="http://schemas.openxmlformats.org/officeDocument/2006/relationships/hyperlink" Target="https://www.ncbi.nlm.nih.gov/pubmed/?term=Heijnen%20JJ%5BAuthor%5D&amp;cauthor=true&amp;cauthor_uid=24436182" TargetMode="External"/><Relationship Id="rId43" Type="http://schemas.openxmlformats.org/officeDocument/2006/relationships/image" Target="media/image16.png"/><Relationship Id="rId139" Type="http://schemas.openxmlformats.org/officeDocument/2006/relationships/image" Target="media/image53.jpeg"/><Relationship Id="rId346" Type="http://schemas.openxmlformats.org/officeDocument/2006/relationships/hyperlink" Target="https://www.ncbi.nlm.nih.gov/pubmed/?term=Hoffmann%20J%5BAuthor%5D&amp;cauthor=true&amp;cauthor_uid=23184277" TargetMode="External"/><Relationship Id="rId553" Type="http://schemas.openxmlformats.org/officeDocument/2006/relationships/hyperlink" Target="https://www.ncbi.nlm.nih.gov/pubmed/?term=Hern%C3%A1ndez-Res%C3%A9ndiz%20I%5BAuthor%5D&amp;cauthor=true&amp;cauthor_uid=27661776" TargetMode="External"/><Relationship Id="rId760" Type="http://schemas.openxmlformats.org/officeDocument/2006/relationships/hyperlink" Target="https://www.ncbi.nlm.nih.gov/pubmed/?term=Seo%20BB%5BAuthor%5D&amp;cauthor=true&amp;cauthor_uid=23426180" TargetMode="External"/><Relationship Id="rId998" Type="http://schemas.openxmlformats.org/officeDocument/2006/relationships/hyperlink" Target="https://www.ncbi.nlm.nih.gov/pubmed/?term=Lupu%20ME%5BAuthor%5D&amp;cauthor=true&amp;cauthor_uid=21618306" TargetMode="External"/><Relationship Id="rId192" Type="http://schemas.openxmlformats.org/officeDocument/2006/relationships/hyperlink" Target="https://www.ncbi.nlm.nih.gov/pubmed/?term=Baumann%20MU%5BAuthor%5D&amp;cauthor=true&amp;cauthor_uid=17442736" TargetMode="External"/><Relationship Id="rId206" Type="http://schemas.openxmlformats.org/officeDocument/2006/relationships/hyperlink" Target="https://www.ncbi.nlm.nih.gov/pubmed/?term=Albanese%20JM%5BAuthor%5D&amp;cauthor=true&amp;cauthor_uid=27791266" TargetMode="External"/><Relationship Id="rId413" Type="http://schemas.openxmlformats.org/officeDocument/2006/relationships/hyperlink" Target="https://www.ncbi.nlm.nih.gov/pubmed/?term=Wenger%20RH%5BAuthor%5D&amp;cauthor=true&amp;cauthor_uid=9436976" TargetMode="External"/><Relationship Id="rId858" Type="http://schemas.openxmlformats.org/officeDocument/2006/relationships/hyperlink" Target="https://www.ncbi.nlm.nih.gov/pubmed/?term=Gacs%20A%5BAuthor%5D&amp;cauthor=true&amp;cauthor_uid=28562340" TargetMode="External"/><Relationship Id="rId1043" Type="http://schemas.openxmlformats.org/officeDocument/2006/relationships/hyperlink" Target="https://www.ncbi.nlm.nih.gov/pubmed/?term=Yun%20H%5BAuthor%5D&amp;cauthor=true&amp;cauthor_uid=15640157" TargetMode="External"/><Relationship Id="rId497" Type="http://schemas.openxmlformats.org/officeDocument/2006/relationships/hyperlink" Target="https://www.ncbi.nlm.nih.gov/pubmed/?term=Ma%20J%5BAuthor%5D&amp;cauthor=true&amp;cauthor_uid=30455857" TargetMode="External"/><Relationship Id="rId620" Type="http://schemas.openxmlformats.org/officeDocument/2006/relationships/hyperlink" Target="https://www.ncbi.nlm.nih.gov/pubmed/?term=Ronen%20SM%5BAuthor%5D&amp;cauthor=true&amp;cauthor_uid=23451252" TargetMode="External"/><Relationship Id="rId718" Type="http://schemas.openxmlformats.org/officeDocument/2006/relationships/hyperlink" Target="https://www.ncbi.nlm.nih.gov/pubmed/?term=Ratto%20GB%5BAuthor%5D&amp;cauthor=true&amp;cauthor_uid=23988223" TargetMode="External"/><Relationship Id="rId925" Type="http://schemas.openxmlformats.org/officeDocument/2006/relationships/hyperlink" Target="https://www.ncbi.nlm.nih.gov/pubmed/?term=Feron%20O%5BAuthor%5D&amp;cauthor=true&amp;cauthor_uid=21300765" TargetMode="External"/><Relationship Id="rId357" Type="http://schemas.openxmlformats.org/officeDocument/2006/relationships/hyperlink" Target="https://www.ncbi.nlm.nih.gov/pubmed/?term=Han%20L%5BAuthor%5D&amp;cauthor=true&amp;cauthor_uid=22087246" TargetMode="External"/><Relationship Id="rId54" Type="http://schemas.openxmlformats.org/officeDocument/2006/relationships/image" Target="media/image27.png"/><Relationship Id="rId217" Type="http://schemas.openxmlformats.org/officeDocument/2006/relationships/hyperlink" Target="https://www.ncbi.nlm.nih.gov/pubmed/?term=Duan%20W%5BAuthor%5D&amp;cauthor=true&amp;cauthor_uid=31241439" TargetMode="External"/><Relationship Id="rId564" Type="http://schemas.openxmlformats.org/officeDocument/2006/relationships/hyperlink" Target="https://www.ncbi.nlm.nih.gov/pubmed/?term=Mar%C3%ADn-Hern%C3%A1ndez%20A%5BAuthor%5D&amp;cauthor=true&amp;cauthor_uid=24912776" TargetMode="External"/><Relationship Id="rId771" Type="http://schemas.openxmlformats.org/officeDocument/2006/relationships/hyperlink" Target="https://www.ncbi.nlm.nih.gov/pubmed/?term=Nelson%20SJ%5BAuthor%5D&amp;cauthor=true&amp;cauthor_uid=18810326" TargetMode="External"/><Relationship Id="rId869" Type="http://schemas.openxmlformats.org/officeDocument/2006/relationships/hyperlink" Target="https://www.ncbi.nlm.nih.gov/pubmed/?term=Tatum%20JL%5BAuthor%5D&amp;cauthor=true&amp;cauthor_uid=17118889" TargetMode="External"/><Relationship Id="rId424" Type="http://schemas.openxmlformats.org/officeDocument/2006/relationships/hyperlink" Target="https://www.ncbi.nlm.nih.gov/pubmed/?term=Lee%20KH%5BAuthor%5D&amp;cauthor=true&amp;cauthor_uid=27184798" TargetMode="External"/><Relationship Id="rId631" Type="http://schemas.openxmlformats.org/officeDocument/2006/relationships/hyperlink" Target="https://www.ncbi.nlm.nih.gov/pubmed/?term=Shindoh%20M%5BAuthor%5D&amp;cauthor=true&amp;cauthor_uid=17651733" TargetMode="External"/><Relationship Id="rId729" Type="http://schemas.openxmlformats.org/officeDocument/2006/relationships/hyperlink" Target="https://www.ncbi.nlm.nih.gov/pubmed/?term=Bertrand%20L%5BAuthor%5D&amp;cauthor=true&amp;cauthor_uid=15170386" TargetMode="External"/><Relationship Id="rId1054" Type="http://schemas.openxmlformats.org/officeDocument/2006/relationships/hyperlink" Target="https://www.ncbi.nlm.nih.gov/pubmed/?term=Chio%20II%5BAuthor%5D&amp;cauthor=true&amp;cauthor_uid=26541605" TargetMode="External"/><Relationship Id="rId270" Type="http://schemas.openxmlformats.org/officeDocument/2006/relationships/hyperlink" Target="https://www.ncbi.nlm.nih.gov/pubmed/?term=Gatenby%20RA%5BAuthor%5D&amp;cauthor=true&amp;cauthor_uid=23288510" TargetMode="External"/><Relationship Id="rId936" Type="http://schemas.openxmlformats.org/officeDocument/2006/relationships/hyperlink" Target="https://www.ncbi.nlm.nih.gov/pubmed/?term=Grimsrud%20PA%5BAuthor%5D&amp;cauthor=true&amp;cauthor_uid=28380375" TargetMode="External"/><Relationship Id="rId65" Type="http://schemas.openxmlformats.org/officeDocument/2006/relationships/image" Target="media/image37.jpeg"/><Relationship Id="rId130" Type="http://schemas.openxmlformats.org/officeDocument/2006/relationships/image" Target="media/image44.jpeg"/><Relationship Id="rId368" Type="http://schemas.openxmlformats.org/officeDocument/2006/relationships/hyperlink" Target="https://www.ncbi.nlm.nih.gov/pubmed/?term=Ferdous%20T%5BAuthor%5D&amp;cauthor=true&amp;cauthor_uid=27210058" TargetMode="External"/><Relationship Id="rId575" Type="http://schemas.openxmlformats.org/officeDocument/2006/relationships/hyperlink" Target="https://www.ncbi.nlm.nih.gov/pubmed/?term=Sola-Penna%20M%5BAuthor%5D&amp;cauthor=true&amp;cauthor_uid=19250982" TargetMode="External"/><Relationship Id="rId782" Type="http://schemas.openxmlformats.org/officeDocument/2006/relationships/hyperlink" Target="https://www.ncbi.nlm.nih.gov/pubmed/?term=Bedi%20A%5BAuthor%5D&amp;cauthor=true&amp;cauthor_uid=11727934" TargetMode="External"/><Relationship Id="rId228" Type="http://schemas.openxmlformats.org/officeDocument/2006/relationships/hyperlink" Target="https://www.ncbi.nlm.nih.gov/pubmed/?term=Sola-Penna%20M%5BAuthor%5D&amp;cauthor=true&amp;cauthor_uid=17720578" TargetMode="External"/><Relationship Id="rId435" Type="http://schemas.openxmlformats.org/officeDocument/2006/relationships/hyperlink" Target="https://www.ncbi.nlm.nih.gov/pubmed/?term=Wang%20ZJ%5BAuthor%5D&amp;cauthor=true&amp;cauthor_uid=23532911" TargetMode="External"/><Relationship Id="rId642" Type="http://schemas.openxmlformats.org/officeDocument/2006/relationships/hyperlink" Target="https://www.ncbi.nlm.nih.gov/pubmed/?term=Rardin%20MJ%5BAuthor%5D&amp;cauthor=true&amp;cauthor_uid=26073543" TargetMode="External"/><Relationship Id="rId1065" Type="http://schemas.openxmlformats.org/officeDocument/2006/relationships/hyperlink" Target="https://www.ncbi.nlm.nih.gov/pubmed/?term=Gross%20SS%5BAuthor%5D&amp;cauthor=true&amp;cauthor_uid=26541605" TargetMode="External"/><Relationship Id="rId281" Type="http://schemas.openxmlformats.org/officeDocument/2006/relationships/hyperlink" Target="https://www.ncbi.nlm.nih.gov/pubmed/?term=Scartozzi%20M%5BAuthor%5D&amp;cauthor=true&amp;cauthor_uid=27314036" TargetMode="External"/><Relationship Id="rId502" Type="http://schemas.openxmlformats.org/officeDocument/2006/relationships/hyperlink" Target="https://www.ncbi.nlm.nih.gov/pubmed/?term=Schroeder%20FC%5BAuthor%5D&amp;cauthor=true&amp;cauthor_uid=28918937" TargetMode="External"/><Relationship Id="rId947" Type="http://schemas.openxmlformats.org/officeDocument/2006/relationships/hyperlink" Target="https://www.ncbi.nlm.nih.gov/pubmed/?term=Rofstad%20EK%5BAuthor%5D&amp;cauthor=true&amp;cauthor_uid=9033256" TargetMode="External"/><Relationship Id="rId76" Type="http://schemas.openxmlformats.org/officeDocument/2006/relationships/chart" Target="charts/chart11.xml"/><Relationship Id="rId141" Type="http://schemas.openxmlformats.org/officeDocument/2006/relationships/image" Target="media/image55.jpeg"/><Relationship Id="rId379" Type="http://schemas.openxmlformats.org/officeDocument/2006/relationships/hyperlink" Target="https://www.ncbi.nlm.nih.gov/pubmed/?term=Tokus%20M%5BAuthor%5D&amp;cauthor=true&amp;cauthor_uid=7882338" TargetMode="External"/><Relationship Id="rId586" Type="http://schemas.openxmlformats.org/officeDocument/2006/relationships/hyperlink" Target="https://www.ncbi.nlm.nih.gov/pubmed/?term=Rapp%20UR%5BAuthor%5D&amp;cauthor=true&amp;cauthor_uid=18225557" TargetMode="External"/><Relationship Id="rId793" Type="http://schemas.openxmlformats.org/officeDocument/2006/relationships/hyperlink" Target="https://www.ncbi.nlm.nih.gov/pubmed/?term=Shestov%20AA%5BAuthor%5D&amp;cauthor=true&amp;cauthor_uid=25009227" TargetMode="External"/><Relationship Id="rId807" Type="http://schemas.openxmlformats.org/officeDocument/2006/relationships/hyperlink" Target="https://www.ncbi.nlm.nih.gov/pubmed/?term=Wu%20CS%5BAuthor%5D&amp;cauthor=true&amp;cauthor_uid=9192621" TargetMode="External"/><Relationship Id="rId7" Type="http://schemas.openxmlformats.org/officeDocument/2006/relationships/footnotes" Target="footnotes.xml"/><Relationship Id="rId239" Type="http://schemas.openxmlformats.org/officeDocument/2006/relationships/hyperlink" Target="https://www.ncbi.nlm.nih.gov/pubmed/?term=Sola-Penna%20M%5BAuthor%5D&amp;cauthor=true&amp;cauthor_uid=17666012" TargetMode="External"/><Relationship Id="rId446" Type="http://schemas.openxmlformats.org/officeDocument/2006/relationships/hyperlink" Target="https://www.ncbi.nlm.nih.gov/pubmed/?term=Baba%20T%5BAuthor%5D&amp;cauthor=true&amp;cauthor_uid=19795452" TargetMode="External"/><Relationship Id="rId653" Type="http://schemas.openxmlformats.org/officeDocument/2006/relationships/hyperlink" Target="https://www.ncbi.nlm.nih.gov/pubmed/?term=Larson%20PE%5BAuthor%5D&amp;cauthor=true&amp;cauthor_uid=20150380" TargetMode="External"/><Relationship Id="rId1076" Type="http://schemas.openxmlformats.org/officeDocument/2006/relationships/hyperlink" Target="https://www.ncbi.nlm.nih.gov/pubmed/?term=Hu%20J%5BAuthor%5D&amp;cauthor=true&amp;cauthor_uid=20032314" TargetMode="External"/><Relationship Id="rId292" Type="http://schemas.openxmlformats.org/officeDocument/2006/relationships/hyperlink" Target="https://www.ncbi.nlm.nih.gov/pubmed/?term=Jiang%20W%5BAuthor%5D&amp;cauthor=true&amp;cauthor_uid=27217331" TargetMode="External"/><Relationship Id="rId306" Type="http://schemas.openxmlformats.org/officeDocument/2006/relationships/hyperlink" Target="https://www.ncbi.nlm.nih.gov/pubmed/?term=Yu%20X%5BAuthor%5D&amp;cauthor=true&amp;cauthor_uid=23846818" TargetMode="External"/><Relationship Id="rId860" Type="http://schemas.openxmlformats.org/officeDocument/2006/relationships/hyperlink" Target="https://www.ncbi.nlm.nih.gov/pubmed/?term=Kenessey%20I%5BAuthor%5D&amp;cauthor=true&amp;cauthor_uid=28562340" TargetMode="External"/><Relationship Id="rId958" Type="http://schemas.openxmlformats.org/officeDocument/2006/relationships/hyperlink" Target="https://www.ncbi.nlm.nih.gov/pubmed/?term=Yan%20W%5BAuthor%5D&amp;cauthor=true&amp;cauthor_uid=29340090" TargetMode="External"/><Relationship Id="rId87" Type="http://schemas.openxmlformats.org/officeDocument/2006/relationships/chart" Target="charts/chart21.xml"/><Relationship Id="rId513" Type="http://schemas.openxmlformats.org/officeDocument/2006/relationships/hyperlink" Target="https://www.ncbi.nlm.nih.gov/pubmed/?term=U%C5%82aszewski%20S%5BAuthor%5D&amp;cauthor=true&amp;cauthor_uid=27983708" TargetMode="External"/><Relationship Id="rId597" Type="http://schemas.openxmlformats.org/officeDocument/2006/relationships/hyperlink" Target="https://www.ncbi.nlm.nih.gov/pubmed/?term=Liu%20J%5BAuthor%5D&amp;cauthor=true&amp;cauthor_uid=24265197" TargetMode="External"/><Relationship Id="rId720" Type="http://schemas.openxmlformats.org/officeDocument/2006/relationships/hyperlink" Target="https://www.ncbi.nlm.nih.gov/pubmed/?term=Grossi%20F%5BAuthor%5D&amp;cauthor=true&amp;cauthor_uid=23988223" TargetMode="External"/><Relationship Id="rId818" Type="http://schemas.openxmlformats.org/officeDocument/2006/relationships/hyperlink" Target="https://www.ncbi.nlm.nih.gov/pubmed/?term=Li%20M%5BAuthor%5D&amp;cauthor=true&amp;cauthor_uid=24641416" TargetMode="External"/><Relationship Id="rId152" Type="http://schemas.openxmlformats.org/officeDocument/2006/relationships/image" Target="media/image66.jpeg"/><Relationship Id="rId457" Type="http://schemas.openxmlformats.org/officeDocument/2006/relationships/hyperlink" Target="https://www.ncbi.nlm.nih.gov/pubmed/?term=Lee%20DC%5BAuthor%5D&amp;cauthor=true&amp;cauthor_uid=25892225" TargetMode="External"/><Relationship Id="rId1003" Type="http://schemas.openxmlformats.org/officeDocument/2006/relationships/hyperlink" Target="https://www.ncbi.nlm.nih.gov/pubmed/?term=Yamada%20K%5BAuthor%5D&amp;cauthor=true&amp;cauthor_uid=9854017" TargetMode="External"/><Relationship Id="rId664" Type="http://schemas.openxmlformats.org/officeDocument/2006/relationships/hyperlink" Target="https://www.ncbi.nlm.nih.gov/pubmed/?term=Vizca%C3%ADno%20JR%5BAuthor%5D&amp;cauthor=true&amp;cauthor_uid=21787388" TargetMode="External"/><Relationship Id="rId871" Type="http://schemas.openxmlformats.org/officeDocument/2006/relationships/hyperlink" Target="https://www.ncbi.nlm.nih.gov/pubmed/?term=Gillies%20RJ%5BAuthor%5D&amp;cauthor=true&amp;cauthor_uid=17118889" TargetMode="External"/><Relationship Id="rId969" Type="http://schemas.openxmlformats.org/officeDocument/2006/relationships/hyperlink" Target="https://www.ncbi.nlm.nih.gov/pubmed/?term=Shen%20JG%5BAuthor%5D&amp;cauthor=true&amp;cauthor_uid=21452021" TargetMode="External"/><Relationship Id="rId14" Type="http://schemas.openxmlformats.org/officeDocument/2006/relationships/image" Target="media/image3.png"/><Relationship Id="rId317" Type="http://schemas.openxmlformats.org/officeDocument/2006/relationships/hyperlink" Target="https://www.ncbi.nlm.nih.gov/pubmed/?term=Gottfried%20E%5BAuthor%5D&amp;cauthor=true&amp;cauthor_uid=17255361" TargetMode="External"/><Relationship Id="rId524" Type="http://schemas.openxmlformats.org/officeDocument/2006/relationships/hyperlink" Target="https://www.ncbi.nlm.nih.gov/pubmed/?term=Shen%20YH%5BAuthor%5D&amp;cauthor=true&amp;cauthor_uid=25514599" TargetMode="External"/><Relationship Id="rId731" Type="http://schemas.openxmlformats.org/officeDocument/2006/relationships/hyperlink" Target="https://www.ncbi.nlm.nih.gov/pubmed/?term=Michels%20PA%5BAuthor%5D&amp;cauthor=true&amp;cauthor_uid=15170386" TargetMode="External"/><Relationship Id="rId98" Type="http://schemas.openxmlformats.org/officeDocument/2006/relationships/chart" Target="charts/chart32.xml"/><Relationship Id="rId163" Type="http://schemas.openxmlformats.org/officeDocument/2006/relationships/image" Target="media/image77.jpeg"/><Relationship Id="rId370" Type="http://schemas.openxmlformats.org/officeDocument/2006/relationships/hyperlink" Target="https://www.ncbi.nlm.nih.gov/pubmed/?term=Ueyama%20Y%5BAuthor%5D&amp;cauthor=true&amp;cauthor_uid=27210058" TargetMode="External"/><Relationship Id="rId829" Type="http://schemas.openxmlformats.org/officeDocument/2006/relationships/hyperlink" Target="https://www.ncbi.nlm.nih.gov/pubmed/?term=Rabbani%20ZN%5BAuthor%5D&amp;cauthor=true&amp;cauthor_uid=19033663" TargetMode="External"/><Relationship Id="rId1014" Type="http://schemas.openxmlformats.org/officeDocument/2006/relationships/hyperlink" Target="https://www.ncbi.nlm.nih.gov/pubmed/?term=Imura%20H%5BAuthor%5D&amp;cauthor=true&amp;cauthor_uid=2372287" TargetMode="External"/><Relationship Id="rId230" Type="http://schemas.openxmlformats.org/officeDocument/2006/relationships/hyperlink" Target="https://www.ncbi.nlm.nih.gov/pubmed/?term=Green%20DR%5BAuthor%5D&amp;cauthor=true&amp;cauthor_uid=19779498" TargetMode="External"/><Relationship Id="rId468" Type="http://schemas.openxmlformats.org/officeDocument/2006/relationships/hyperlink" Target="https://www.ncbi.nlm.nih.gov/pubmed/?term=Kim%20JA%5BAuthor%5D&amp;cauthor=true&amp;cauthor_uid=25892225" TargetMode="External"/><Relationship Id="rId675" Type="http://schemas.openxmlformats.org/officeDocument/2006/relationships/hyperlink" Target="https://www.ncbi.nlm.nih.gov/pubmed/?term=Albergaria%20A%5BAuthor%5D&amp;cauthor=true&amp;cauthor_uid=20636790" TargetMode="External"/><Relationship Id="rId882" Type="http://schemas.openxmlformats.org/officeDocument/2006/relationships/hyperlink" Target="https://www.ncbi.nlm.nih.gov/pubmed/?term=Krohn%20KA%5BAuthor%5D&amp;cauthor=true&amp;cauthor_uid=17118889" TargetMode="External"/><Relationship Id="rId25" Type="http://schemas.openxmlformats.org/officeDocument/2006/relationships/hyperlink" Target="https://www.sciencedirect.com/topics/biochemistry-genetics-and-molecular-biology/phosphoglycerate-mutase" TargetMode="External"/><Relationship Id="rId328" Type="http://schemas.openxmlformats.org/officeDocument/2006/relationships/hyperlink" Target="https://www.ncbi.nlm.nih.gov/pubmed/?term=Gao%20L%5BAuthor%5D&amp;cauthor=true&amp;cauthor_uid=15225644" TargetMode="External"/><Relationship Id="rId535" Type="http://schemas.openxmlformats.org/officeDocument/2006/relationships/hyperlink" Target="https://www.ncbi.nlm.nih.gov/pubmed/?term=Yuan%20ZM%5BAuthor%5D&amp;cauthor=true&amp;cauthor_uid=25784656" TargetMode="External"/><Relationship Id="rId742" Type="http://schemas.openxmlformats.org/officeDocument/2006/relationships/hyperlink" Target="https://www.ncbi.nlm.nih.gov/pubmed/?term=Garc%C3%ADa-L%C3%B3pez%20BE%5BAuthor%5D&amp;cauthor=true&amp;cauthor_uid=19109946" TargetMode="External"/><Relationship Id="rId174" Type="http://schemas.openxmlformats.org/officeDocument/2006/relationships/hyperlink" Target="https://www.ncbi.nlm.nih.gov/pubmed/?term=Shen%20M%5BAuthor%5D&amp;cauthor=true&amp;cauthor_uid=22052977" TargetMode="External"/><Relationship Id="rId381" Type="http://schemas.openxmlformats.org/officeDocument/2006/relationships/hyperlink" Target="https://www.ncbi.nlm.nih.gov/pubmed/?term=Hu%20T%5BAuthor%5D&amp;cauthor=true&amp;cauthor_uid=23693134" TargetMode="External"/><Relationship Id="rId602" Type="http://schemas.openxmlformats.org/officeDocument/2006/relationships/hyperlink" Target="https://www.ncbi.nlm.nih.gov/pubmed/?term=Martinho%20O%5BAuthor%5D&amp;cauthor=true&amp;cauthor_uid=23258846" TargetMode="External"/><Relationship Id="rId1025" Type="http://schemas.openxmlformats.org/officeDocument/2006/relationships/hyperlink" Target="https://www.ncbi.nlm.nih.gov/pubmed/?term=Zips%20D%5BAuthor%5D&amp;cauthor=true&amp;cauthor_uid=19895274" TargetMode="External"/><Relationship Id="rId241" Type="http://schemas.openxmlformats.org/officeDocument/2006/relationships/hyperlink" Target="https://www.ncbi.nlm.nih.gov/pubmed/?term=Han%20ZT%5BAuthor%5D&amp;cauthor=true&amp;cauthor_uid=28193910" TargetMode="External"/><Relationship Id="rId479" Type="http://schemas.openxmlformats.org/officeDocument/2006/relationships/hyperlink" Target="https://www.ncbi.nlm.nih.gov/pubmed/?term=Blagosklonny%20MV%5BAuthor%5D&amp;cauthor=true&amp;cauthor_uid=24810050" TargetMode="External"/><Relationship Id="rId686" Type="http://schemas.openxmlformats.org/officeDocument/2006/relationships/hyperlink" Target="https://www.ncbi.nlm.nih.gov/pubmed/?term=Schmitt%20FC%5BAuthor%5D&amp;cauthor=true&amp;cauthor_uid=22407107" TargetMode="External"/><Relationship Id="rId893" Type="http://schemas.openxmlformats.org/officeDocument/2006/relationships/hyperlink" Target="https://www.ncbi.nlm.nih.gov/pubmed/?term=Vaupel%20P%5BAuthor%5D&amp;cauthor=true&amp;cauthor_uid=17118889" TargetMode="External"/><Relationship Id="rId907" Type="http://schemas.openxmlformats.org/officeDocument/2006/relationships/hyperlink" Target="https://www.ncbi.nlm.nih.gov/pubmed/?term=Lyon%20H%5BAuthor%5D&amp;cauthor=true&amp;cauthor_uid=10440855" TargetMode="External"/><Relationship Id="rId36" Type="http://schemas.openxmlformats.org/officeDocument/2006/relationships/image" Target="media/image12.png"/><Relationship Id="rId339" Type="http://schemas.openxmlformats.org/officeDocument/2006/relationships/hyperlink" Target="https://www.ncbi.nlm.nih.gov/pubmed/?term=Housman%20DE%5BAuthor%5D&amp;cauthor=true&amp;cauthor_uid=8538748" TargetMode="External"/><Relationship Id="rId546" Type="http://schemas.openxmlformats.org/officeDocument/2006/relationships/hyperlink" Target="https://www.ncbi.nlm.nih.gov/pubmed/?term=Xiao%20H%5BAuthor%5D&amp;cauthor=true&amp;cauthor_uid=23377827" TargetMode="External"/><Relationship Id="rId753" Type="http://schemas.openxmlformats.org/officeDocument/2006/relationships/hyperlink" Target="https://www.ncbi.nlm.nih.gov/pubmed/?term=Kuang%20T%5BAuthor%5D&amp;cauthor=true&amp;cauthor_uid=23404405" TargetMode="External"/><Relationship Id="rId101" Type="http://schemas.openxmlformats.org/officeDocument/2006/relationships/chart" Target="charts/chart35.xml"/><Relationship Id="rId185" Type="http://schemas.openxmlformats.org/officeDocument/2006/relationships/hyperlink" Target="https://www.ncbi.nlm.nih.gov/pubmed/?term=Sanna%20F%5BAuthor%5D&amp;cauthor=true&amp;cauthor_uid=10403541" TargetMode="External"/><Relationship Id="rId406" Type="http://schemas.openxmlformats.org/officeDocument/2006/relationships/hyperlink" Target="https://www.ncbi.nlm.nih.gov/pubmed/?term=Ohkura%20Y%5BAuthor%5D&amp;cauthor=true&amp;cauthor_uid=8951178" TargetMode="External"/><Relationship Id="rId960" Type="http://schemas.openxmlformats.org/officeDocument/2006/relationships/hyperlink" Target="https://www.ncbi.nlm.nih.gov/pubmed/?term=Chen%20Z%5BAuthor%5D&amp;cauthor=true&amp;cauthor_uid=29340090" TargetMode="External"/><Relationship Id="rId1036" Type="http://schemas.openxmlformats.org/officeDocument/2006/relationships/hyperlink" Target="https://www.ncbi.nlm.nih.gov/pubmed/?term=Rabinowitz%20JD%5BAuthor%5D&amp;cauthor=true&amp;cauthor_uid=22509023" TargetMode="External"/><Relationship Id="rId392" Type="http://schemas.openxmlformats.org/officeDocument/2006/relationships/hyperlink" Target="https://www.ncbi.nlm.nih.gov/pubmed/?term=Morscher%20RJ%5BAuthor%5D&amp;cauthor=true&amp;cauthor_uid=29045397" TargetMode="External"/><Relationship Id="rId613" Type="http://schemas.openxmlformats.org/officeDocument/2006/relationships/hyperlink" Target="https://www.ncbi.nlm.nih.gov/pubmed/?term=Mobasheri%20R%5BAuthor%5D&amp;cauthor=true&amp;cauthor_uid=16136514" TargetMode="External"/><Relationship Id="rId697" Type="http://schemas.openxmlformats.org/officeDocument/2006/relationships/hyperlink" Target="https://www.ncbi.nlm.nih.gov/pubmed/?term=Baltazar%20F%5BAuthor%5D&amp;cauthor=true&amp;cauthor_uid=18753962" TargetMode="External"/><Relationship Id="rId820" Type="http://schemas.openxmlformats.org/officeDocument/2006/relationships/hyperlink" Target="https://www.ncbi.nlm.nih.gov/pubmed/?term=Xuan%20L%5BAuthor%5D&amp;cauthor=true&amp;cauthor_uid=24641416" TargetMode="External"/><Relationship Id="rId918" Type="http://schemas.openxmlformats.org/officeDocument/2006/relationships/hyperlink" Target="https://www.ncbi.nlm.nih.gov/pubmed/?term=O%27Toole%20TG%5BAuthor%5D&amp;cauthor=true&amp;cauthor_uid=24436182" TargetMode="External"/><Relationship Id="rId252" Type="http://schemas.openxmlformats.org/officeDocument/2006/relationships/hyperlink" Target="https://www.ncbi.nlm.nih.gov/pubmed/?term=Yan%20WJ%5BAuthor%5D&amp;cauthor=true&amp;cauthor_uid=28193910" TargetMode="External"/><Relationship Id="rId47" Type="http://schemas.openxmlformats.org/officeDocument/2006/relationships/image" Target="media/image20.png"/><Relationship Id="rId112" Type="http://schemas.openxmlformats.org/officeDocument/2006/relationships/chart" Target="charts/chart46.xml"/><Relationship Id="rId557" Type="http://schemas.openxmlformats.org/officeDocument/2006/relationships/hyperlink" Target="https://www.ncbi.nlm.nih.gov/pubmed/?term=Rodr%C3%ADguez-Enr%C3%ADquez%20S%5BAuthor%5D&amp;cauthor=true&amp;cauthor_uid=27661776" TargetMode="External"/><Relationship Id="rId764" Type="http://schemas.openxmlformats.org/officeDocument/2006/relationships/hyperlink" Target="https://www.ncbi.nlm.nih.gov/pubmed/?term=Felding-Habermann%20B%5BAuthor%5D&amp;cauthor=true&amp;cauthor_uid=23426180" TargetMode="External"/><Relationship Id="rId971" Type="http://schemas.openxmlformats.org/officeDocument/2006/relationships/hyperlink" Target="https://www.ncbi.nlm.nih.gov/pubmed/?term=Wang%20DM%5BAuthor%5D&amp;cauthor=true&amp;cauthor_uid=21452021" TargetMode="External"/><Relationship Id="rId196" Type="http://schemas.openxmlformats.org/officeDocument/2006/relationships/hyperlink" Target="https://www.ncbi.nlm.nih.gov/pubmed/?term=Gr%C3%BCning%20NM%5BAuthor%5D&amp;cauthor=true&amp;cauthor_uid=21789790" TargetMode="External"/><Relationship Id="rId417" Type="http://schemas.openxmlformats.org/officeDocument/2006/relationships/hyperlink" Target="https://www.ncbi.nlm.nih.gov/pubmed/?term=Yu%20AY%5BAuthor%5D&amp;cauthor=true&amp;cauthor_uid=9436976" TargetMode="External"/><Relationship Id="rId624" Type="http://schemas.openxmlformats.org/officeDocument/2006/relationships/hyperlink" Target="https://www.ncbi.nlm.nih.gov/pubmed/?term=Kano%20F%5BAuthor%5D&amp;cauthor=true&amp;cauthor_uid=25713368" TargetMode="External"/><Relationship Id="rId831" Type="http://schemas.openxmlformats.org/officeDocument/2006/relationships/hyperlink" Target="https://www.ncbi.nlm.nih.gov/pubmed/?term=Kennedy%20KM%5BAuthor%5D&amp;cauthor=true&amp;cauthor_uid=19033663" TargetMode="External"/><Relationship Id="rId1047" Type="http://schemas.openxmlformats.org/officeDocument/2006/relationships/hyperlink" Target="https://www.ncbi.nlm.nih.gov/pubmed/?term=Yun%20J%5BAuthor%5D&amp;cauthor=true&amp;cauthor_uid=26541605" TargetMode="External"/><Relationship Id="rId263" Type="http://schemas.openxmlformats.org/officeDocument/2006/relationships/hyperlink" Target="https://www.ncbi.nlm.nih.gov/pubmed/?term=Cornnell%20HH%5BAuthor%5D&amp;cauthor=true&amp;cauthor_uid=23288510" TargetMode="External"/><Relationship Id="rId470" Type="http://schemas.openxmlformats.org/officeDocument/2006/relationships/hyperlink" Target="https://www.ncbi.nlm.nih.gov/pubmed/?term=Bae%20KH%5BAuthor%5D&amp;cauthor=true&amp;cauthor_uid=25892225" TargetMode="External"/><Relationship Id="rId929" Type="http://schemas.openxmlformats.org/officeDocument/2006/relationships/hyperlink" Target="https://www.ncbi.nlm.nih.gov/pubmed/?term=Thompson%20JW%5BAuthor%5D&amp;cauthor=true&amp;cauthor_uid=28380375" TargetMode="External"/><Relationship Id="rId58" Type="http://schemas.openxmlformats.org/officeDocument/2006/relationships/image" Target="media/image31.jpeg"/><Relationship Id="rId123" Type="http://schemas.openxmlformats.org/officeDocument/2006/relationships/chart" Target="charts/chart57.xml"/><Relationship Id="rId330" Type="http://schemas.openxmlformats.org/officeDocument/2006/relationships/hyperlink" Target="https://www.ncbi.nlm.nih.gov/pubmed/?term=Echevarr%C3%ADa%20M%5BAuthor%5D&amp;cauthor=true&amp;cauthor_uid=15225644" TargetMode="External"/><Relationship Id="rId568" Type="http://schemas.openxmlformats.org/officeDocument/2006/relationships/hyperlink" Target="https://www.ncbi.nlm.nih.gov/pubmed/?term=Rodr%C3%ADguez-Enr%C3%ADquez%20S%5BAuthor%5D&amp;cauthor=true&amp;cauthor_uid=24912776" TargetMode="External"/><Relationship Id="rId775" Type="http://schemas.openxmlformats.org/officeDocument/2006/relationships/hyperlink" Target="https://www.ncbi.nlm.nih.gov/pubmed/?term=Wouters%20BG%5BAuthor%5D&amp;cauthor=true&amp;cauthor_uid=11313469" TargetMode="External"/><Relationship Id="rId982" Type="http://schemas.openxmlformats.org/officeDocument/2006/relationships/hyperlink" Target="https://www.ncbi.nlm.nih.gov/pubmed/?term=Mandriota%20S%5BAuthor%5D&amp;cauthor=true&amp;cauthor_uid=12490539" TargetMode="External"/><Relationship Id="rId428" Type="http://schemas.openxmlformats.org/officeDocument/2006/relationships/hyperlink" Target="https://www.ncbi.nlm.nih.gov/pubmed/?term=Kim%20TY%5BAuthor%5D&amp;cauthor=true&amp;cauthor_uid=27184798" TargetMode="External"/><Relationship Id="rId635" Type="http://schemas.openxmlformats.org/officeDocument/2006/relationships/hyperlink" Target="https://www.ncbi.nlm.nih.gov/pubmed/?term=Aita%20K%5BAuthor%5D&amp;cauthor=true&amp;cauthor_uid=17651733" TargetMode="External"/><Relationship Id="rId842" Type="http://schemas.openxmlformats.org/officeDocument/2006/relationships/hyperlink" Target="https://www.ncbi.nlm.nih.gov/pubmed/?term=Mitterberger%20M%5BAuthor%5D&amp;cauthor=true&amp;cauthor_uid=19563799" TargetMode="External"/><Relationship Id="rId1058" Type="http://schemas.openxmlformats.org/officeDocument/2006/relationships/hyperlink" Target="https://www.ncbi.nlm.nih.gov/pubmed/?term=Asara%20JM%5BAuthor%5D&amp;cauthor=true&amp;cauthor_uid=26541605" TargetMode="External"/><Relationship Id="rId274" Type="http://schemas.openxmlformats.org/officeDocument/2006/relationships/hyperlink" Target="https://www.ncbi.nlm.nih.gov/pubmed/?term=Memeo%20R%5BAuthor%5D&amp;cauthor=true&amp;cauthor_uid=27314036" TargetMode="External"/><Relationship Id="rId481" Type="http://schemas.openxmlformats.org/officeDocument/2006/relationships/hyperlink" Target="https://www.ncbi.nlm.nih.gov/pubmed/?term=Jordan%20VC%5BAuthor%5D&amp;cauthor=true&amp;cauthor_uid=9242427" TargetMode="External"/><Relationship Id="rId702" Type="http://schemas.openxmlformats.org/officeDocument/2006/relationships/hyperlink" Target="https://www.ncbi.nlm.nih.gov/pubmed/?term=Yilmaz%20I%5BAuthor%5D&amp;cauthor=true&amp;cauthor_uid=12415567" TargetMode="External"/><Relationship Id="rId69" Type="http://schemas.openxmlformats.org/officeDocument/2006/relationships/chart" Target="charts/chart4.xml"/><Relationship Id="rId134" Type="http://schemas.openxmlformats.org/officeDocument/2006/relationships/image" Target="media/image48.jpeg"/><Relationship Id="rId579" Type="http://schemas.openxmlformats.org/officeDocument/2006/relationships/hyperlink" Target="https://www.ncbi.nlm.nih.gov/pubmed/?term=Mathupala%20SP%5BAuthor%5D&amp;cauthor=true&amp;cauthor_uid=11557773" TargetMode="External"/><Relationship Id="rId786" Type="http://schemas.openxmlformats.org/officeDocument/2006/relationships/hyperlink" Target="https://www.ncbi.nlm.nih.gov/pubmed/?term=Laughner%20E%5BAuthor%5D&amp;cauthor=true&amp;cauthor_uid=11727934" TargetMode="External"/><Relationship Id="rId993" Type="http://schemas.openxmlformats.org/officeDocument/2006/relationships/hyperlink" Target="https://www.ncbi.nlm.nih.gov/pubmed/?term=Thakur%20SB%5BAuthor%5D&amp;cauthor=true&amp;cauthor_uid=21618306" TargetMode="External"/><Relationship Id="rId341" Type="http://schemas.openxmlformats.org/officeDocument/2006/relationships/hyperlink" Target="https://www.ncbi.nlm.nih.gov/pubmed/?term=Lowe%20SW%5BAuthor%5D&amp;cauthor=true&amp;cauthor_uid=8538748" TargetMode="External"/><Relationship Id="rId439" Type="http://schemas.openxmlformats.org/officeDocument/2006/relationships/hyperlink" Target="https://www.ncbi.nlm.nih.gov/pubmed/?term=Kolev%20Y%5BAuthor%5D&amp;cauthor=true&amp;cauthor_uid=18521687" TargetMode="External"/><Relationship Id="rId646" Type="http://schemas.openxmlformats.org/officeDocument/2006/relationships/hyperlink" Target="https://www.ncbi.nlm.nih.gov/pubmed/?term=Gut%20P%5BAuthor%5D&amp;cauthor=true&amp;cauthor_uid=26073543" TargetMode="External"/><Relationship Id="rId1069" Type="http://schemas.openxmlformats.org/officeDocument/2006/relationships/hyperlink" Target="https://www.ncbi.nlm.nih.gov/pubmed/?term=Furtado%20CM%5BAuthor%5D&amp;cauthor=true&amp;cauthor_uid=20483646" TargetMode="External"/><Relationship Id="rId201" Type="http://schemas.openxmlformats.org/officeDocument/2006/relationships/hyperlink" Target="https://www.ncbi.nlm.nih.gov/pubmed/?term=Brown%20RS%5BAuthor%5D&amp;cauthor=true&amp;cauthor_uid=8221565" TargetMode="External"/><Relationship Id="rId285" Type="http://schemas.openxmlformats.org/officeDocument/2006/relationships/hyperlink" Target="https://www.ncbi.nlm.nih.gov/pubmed/?term=Chen%20R%5BAuthor%5D&amp;cauthor=true&amp;cauthor_uid=27217331" TargetMode="External"/><Relationship Id="rId506" Type="http://schemas.openxmlformats.org/officeDocument/2006/relationships/hyperlink" Target="https://www.ncbi.nlm.nih.gov/pubmed/?term=Locasale%20JW%5BAuthor%5D&amp;cauthor=true&amp;cauthor_uid=26778478" TargetMode="External"/><Relationship Id="rId853" Type="http://schemas.openxmlformats.org/officeDocument/2006/relationships/hyperlink" Target="https://www.ncbi.nlm.nih.gov/pubmed/?term=Pennanen%20S%5BAuthor%5D&amp;cauthor=true&amp;cauthor_uid=18638467" TargetMode="External"/><Relationship Id="rId492" Type="http://schemas.openxmlformats.org/officeDocument/2006/relationships/hyperlink" Target="https://www.ncbi.nlm.nih.gov/pubmed/?term=Cheng%20L%5BAuthor%5D&amp;cauthor=true&amp;cauthor_uid=30455857" TargetMode="External"/><Relationship Id="rId713" Type="http://schemas.openxmlformats.org/officeDocument/2006/relationships/hyperlink" Target="https://www.ncbi.nlm.nih.gov/pubmed/?term=Barletta%20G%5BAuthor%5D&amp;cauthor=true&amp;cauthor_uid=23988223" TargetMode="External"/><Relationship Id="rId797" Type="http://schemas.openxmlformats.org/officeDocument/2006/relationships/hyperlink" Target="https://www.ncbi.nlm.nih.gov/pubmed/?term=Hung%20YP%5BAuthor%5D&amp;cauthor=true&amp;cauthor_uid=25009227" TargetMode="External"/><Relationship Id="rId920" Type="http://schemas.openxmlformats.org/officeDocument/2006/relationships/hyperlink" Target="https://www.ncbi.nlm.nih.gov/pubmed/?term=Teusink%20B%5BAuthor%5D&amp;cauthor=true&amp;cauthor_uid=24436182" TargetMode="External"/><Relationship Id="rId145" Type="http://schemas.openxmlformats.org/officeDocument/2006/relationships/image" Target="media/image59.jpeg"/><Relationship Id="rId352" Type="http://schemas.openxmlformats.org/officeDocument/2006/relationships/hyperlink" Target="https://www.ncbi.nlm.nih.gov/pubmed/?term=Roque%20DR%5BAuthor%5D&amp;cauthor=true&amp;cauthor_uid=26135947" TargetMode="External"/><Relationship Id="rId212" Type="http://schemas.openxmlformats.org/officeDocument/2006/relationships/hyperlink" Target="https://www.ncbi.nlm.nih.gov/pubmed/?term=Chaneton%20B%5BAuthor%5D&amp;cauthor=true&amp;cauthor_uid=22626471" TargetMode="External"/><Relationship Id="rId657" Type="http://schemas.openxmlformats.org/officeDocument/2006/relationships/hyperlink" Target="https://www.ncbi.nlm.nih.gov/pubmed/?term=Ozawa%20T%5BAuthor%5D&amp;cauthor=true&amp;cauthor_uid=20150380" TargetMode="External"/><Relationship Id="rId864" Type="http://schemas.openxmlformats.org/officeDocument/2006/relationships/hyperlink" Target="https://www.ncbi.nlm.nih.gov/pubmed/?term=Cserepes%20MT%5BAuthor%5D&amp;cauthor=true&amp;cauthor_uid=28562340" TargetMode="External"/><Relationship Id="rId296" Type="http://schemas.openxmlformats.org/officeDocument/2006/relationships/hyperlink" Target="https://www.ncbi.nlm.nih.gov/pubmed/?term=Felix%20K%5BAuthor%5D&amp;cauthor=true&amp;cauthor_uid=11909700" TargetMode="External"/><Relationship Id="rId517" Type="http://schemas.openxmlformats.org/officeDocument/2006/relationships/hyperlink" Target="https://www.ncbi.nlm.nih.gov/pubmed/?term=Priebe%20W%5BAuthor%5D&amp;cauthor=true&amp;cauthor_uid=11331019" TargetMode="External"/><Relationship Id="rId724" Type="http://schemas.openxmlformats.org/officeDocument/2006/relationships/hyperlink" Target="https://www.ncbi.nlm.nih.gov/pubmed/?term=Wang%20J%5BAuthor%5D&amp;cauthor=true&amp;cauthor_uid=17983831" TargetMode="External"/><Relationship Id="rId931" Type="http://schemas.openxmlformats.org/officeDocument/2006/relationships/hyperlink" Target="https://www.ncbi.nlm.nih.gov/pubmed/?term=Backos%20DS%5BAuthor%5D&amp;cauthor=true&amp;cauthor_uid=28380375" TargetMode="External"/><Relationship Id="rId60" Type="http://schemas.openxmlformats.org/officeDocument/2006/relationships/image" Target="media/image33.jpeg"/><Relationship Id="rId156" Type="http://schemas.openxmlformats.org/officeDocument/2006/relationships/image" Target="media/image70.jpeg"/><Relationship Id="rId363" Type="http://schemas.openxmlformats.org/officeDocument/2006/relationships/hyperlink" Target="https://www.ncbi.nlm.nih.gov/pubmed/?term=Xu%20Q%5BAuthor%5D&amp;cauthor=true&amp;cauthor_uid=22087246" TargetMode="External"/><Relationship Id="rId570" Type="http://schemas.openxmlformats.org/officeDocument/2006/relationships/hyperlink" Target="https://www.ncbi.nlm.nih.gov/pubmed/?term=Saavedra%20E%5BAuthor%5D&amp;cauthor=true&amp;cauthor_uid=24912776" TargetMode="External"/><Relationship Id="rId1007" Type="http://schemas.openxmlformats.org/officeDocument/2006/relationships/hyperlink" Target="https://www.ncbi.nlm.nih.gov/pubmed/?term=Fukumoto%20H%5BAuthor%5D&amp;cauthor=true&amp;cauthor_uid=2372287" TargetMode="External"/><Relationship Id="rId223" Type="http://schemas.openxmlformats.org/officeDocument/2006/relationships/hyperlink" Target="https://www.ncbi.nlm.nih.gov/pubmed/?term=Zhang%20D%5BAuthor%5D&amp;cauthor=true&amp;cauthor_uid=31241439" TargetMode="External"/><Relationship Id="rId430" Type="http://schemas.openxmlformats.org/officeDocument/2006/relationships/hyperlink" Target="https://www.ncbi.nlm.nih.gov/pubmed/?term=Ryu%20HS%5BAuthor%5D&amp;cauthor=true&amp;cauthor_uid=27184798" TargetMode="External"/><Relationship Id="rId668" Type="http://schemas.openxmlformats.org/officeDocument/2006/relationships/hyperlink" Target="https://www.ncbi.nlm.nih.gov/pubmed/?term=Pereira%20H%5BAuthor%5D&amp;cauthor=true&amp;cauthor_uid=21787388" TargetMode="External"/><Relationship Id="rId875" Type="http://schemas.openxmlformats.org/officeDocument/2006/relationships/hyperlink" Target="https://www.ncbi.nlm.nih.gov/pubmed/?term=Chapman%20JD%5BAuthor%5D&amp;cauthor=true&amp;cauthor_uid=17118889" TargetMode="External"/><Relationship Id="rId1060" Type="http://schemas.openxmlformats.org/officeDocument/2006/relationships/hyperlink" Target="https://www.ncbi.nlm.nih.gov/pubmed/?term=Elemento%20O%5BAuthor%5D&amp;cauthor=true&amp;cauthor_uid=26541605" TargetMode="External"/><Relationship Id="rId18" Type="http://schemas.openxmlformats.org/officeDocument/2006/relationships/hyperlink" Target="https://www.sciencedirect.com/topics/biochemistry-genetics-and-molecular-biology/nicotinamide-adenine-dinucleotide" TargetMode="External"/><Relationship Id="rId528" Type="http://schemas.openxmlformats.org/officeDocument/2006/relationships/hyperlink" Target="https://www.ncbi.nlm.nih.gov/pubmed/?term=Qiu%20SJ%5BAuthor%5D&amp;cauthor=true&amp;cauthor_uid=25514599" TargetMode="External"/><Relationship Id="rId735" Type="http://schemas.openxmlformats.org/officeDocument/2006/relationships/hyperlink" Target="https://www.ncbi.nlm.nih.gov/pubmed/?term=Gazzano%20E%5BAuthor%5D&amp;cauthor=true&amp;cauthor_uid=22580150" TargetMode="External"/><Relationship Id="rId942" Type="http://schemas.openxmlformats.org/officeDocument/2006/relationships/hyperlink" Target="https://www.ncbi.nlm.nih.gov/pubmed/?term=Walenta%20S%5BAuthor%5D&amp;cauthor=true&amp;cauthor_uid=9033256" TargetMode="External"/><Relationship Id="rId167" Type="http://schemas.openxmlformats.org/officeDocument/2006/relationships/hyperlink" Target="https://www.ncbi.nlm.nih.gov/pubmed/?term=Draoui%20N%5BAuthor%5D&amp;cauthor=true&amp;cauthor_uid=22065843" TargetMode="External"/><Relationship Id="rId374" Type="http://schemas.openxmlformats.org/officeDocument/2006/relationships/hyperlink" Target="https://www.ncbi.nlm.nih.gov/pubmed/?term=Morgan%20B%5BAuthor%5D&amp;cauthor=true&amp;cauthor_uid=25581756" TargetMode="External"/><Relationship Id="rId581" Type="http://schemas.openxmlformats.org/officeDocument/2006/relationships/hyperlink" Target="https://www.ncbi.nlm.nih.gov/pubmed/?term=Pedersen%20PL%5BAuthor%5D&amp;cauthor=true&amp;cauthor_uid=11557773" TargetMode="External"/><Relationship Id="rId1018" Type="http://schemas.openxmlformats.org/officeDocument/2006/relationships/hyperlink" Target="https://www.ncbi.nlm.nih.gov/pubmed/?term=Yao%20F%5BAuthor%5D&amp;cauthor=true&amp;cauthor_uid=22961700" TargetMode="External"/><Relationship Id="rId71" Type="http://schemas.openxmlformats.org/officeDocument/2006/relationships/chart" Target="charts/chart6.xml"/><Relationship Id="rId234" Type="http://schemas.openxmlformats.org/officeDocument/2006/relationships/hyperlink" Target="https://www.ncbi.nlm.nih.gov/pubmed/?term=Ledingham%20JG%5BAuthor%5D&amp;cauthor=true&amp;cauthor_uid=6651225" TargetMode="External"/><Relationship Id="rId679" Type="http://schemas.openxmlformats.org/officeDocument/2006/relationships/hyperlink" Target="https://www.ncbi.nlm.nih.gov/pubmed/?term=Vieira%20D%5BAuthor%5D&amp;cauthor=true&amp;cauthor_uid=20636790" TargetMode="External"/><Relationship Id="rId802" Type="http://schemas.openxmlformats.org/officeDocument/2006/relationships/hyperlink" Target="https://www.ncbi.nlm.nih.gov/pubmed/?term=Albeck%20JG%5BAuthor%5D&amp;cauthor=true&amp;cauthor_uid=25009227" TargetMode="External"/><Relationship Id="rId886" Type="http://schemas.openxmlformats.org/officeDocument/2006/relationships/hyperlink" Target="https://www.ncbi.nlm.nih.gov/pubmed/?term=Padhani%20AR%5BAuthor%5D&amp;cauthor=true&amp;cauthor_uid=17118889" TargetMode="External"/><Relationship Id="rId2" Type="http://schemas.openxmlformats.org/officeDocument/2006/relationships/numbering" Target="numbering.xml"/><Relationship Id="rId29" Type="http://schemas.openxmlformats.org/officeDocument/2006/relationships/image" Target="media/image5.png"/><Relationship Id="rId441" Type="http://schemas.openxmlformats.org/officeDocument/2006/relationships/hyperlink" Target="https://www.ncbi.nlm.nih.gov/pubmed/?term=Takagi%20Y%5BAuthor%5D&amp;cauthor=true&amp;cauthor_uid=18521687" TargetMode="External"/><Relationship Id="rId539" Type="http://schemas.openxmlformats.org/officeDocument/2006/relationships/hyperlink" Target="https://www.ncbi.nlm.nih.gov/pubmed/?term=Xiao%20H%5BAuthor%5D&amp;cauthor=true&amp;cauthor_uid=23377827" TargetMode="External"/><Relationship Id="rId746" Type="http://schemas.openxmlformats.org/officeDocument/2006/relationships/hyperlink" Target="https://www.ncbi.nlm.nih.gov/pubmed/?term=Rodr%C3%ADguez-Enr%C3%ADquez%20S%5BAuthor%5D&amp;cauthor=true&amp;cauthor_uid=11298771" TargetMode="External"/><Relationship Id="rId1071" Type="http://schemas.openxmlformats.org/officeDocument/2006/relationships/hyperlink" Target="https://www.ncbi.nlm.nih.gov/pubmed/?term=Zhang%20Z%5BAuthor%5D&amp;cauthor=true&amp;cauthor_uid=20032314" TargetMode="External"/><Relationship Id="rId178" Type="http://schemas.openxmlformats.org/officeDocument/2006/relationships/hyperlink" Target="https://www.ncbi.nlm.nih.gov/pubmed/?term=Auld%20DS%5BAuthor%5D&amp;cauthor=true&amp;cauthor_uid=22052977" TargetMode="External"/><Relationship Id="rId301" Type="http://schemas.openxmlformats.org/officeDocument/2006/relationships/hyperlink" Target="https://www.ncbi.nlm.nih.gov/pubmed/?term=Bornkamm%20GW%5BAuthor%5D&amp;cauthor=true&amp;cauthor_uid=11909700" TargetMode="External"/><Relationship Id="rId953" Type="http://schemas.openxmlformats.org/officeDocument/2006/relationships/hyperlink" Target="https://www.ncbi.nlm.nih.gov/pubmed/?term=Sundf%C3%B8r%20K%5BAuthor%5D&amp;cauthor=true&amp;cauthor_uid=10706105" TargetMode="External"/><Relationship Id="rId1029" Type="http://schemas.openxmlformats.org/officeDocument/2006/relationships/hyperlink" Target="https://www.ncbi.nlm.nih.gov/pubmed/?term=Mueller-Klieser%20W%5BAuthor%5D&amp;cauthor=true&amp;cauthor_uid=19895274" TargetMode="External"/><Relationship Id="rId82" Type="http://schemas.openxmlformats.org/officeDocument/2006/relationships/chart" Target="charts/chart16.xml"/><Relationship Id="rId203" Type="http://schemas.openxmlformats.org/officeDocument/2006/relationships/hyperlink" Target="https://www.ncbi.nlm.nih.gov/pubmed/?term=Caltrider%20NC%5BAuthor%5D&amp;cauthor=true&amp;cauthor_uid=167939" TargetMode="External"/><Relationship Id="rId385" Type="http://schemas.openxmlformats.org/officeDocument/2006/relationships/hyperlink" Target="https://www.ncbi.nlm.nih.gov/pubmed/?term=Li%20B%5BAuthor%5D&amp;cauthor=true&amp;cauthor_uid=23693134" TargetMode="External"/><Relationship Id="rId592" Type="http://schemas.openxmlformats.org/officeDocument/2006/relationships/hyperlink" Target="https://www.ncbi.nlm.nih.gov/pubmed/?term=Medina%20RA%5BAuthor%5D&amp;cauthor=true&amp;cauthor_uid=12125211" TargetMode="External"/><Relationship Id="rId606" Type="http://schemas.openxmlformats.org/officeDocument/2006/relationships/hyperlink" Target="https://www.ncbi.nlm.nih.gov/pubmed/?term=Bebiano%20G%5BAuthor%5D&amp;cauthor=true&amp;cauthor_uid=23258846" TargetMode="External"/><Relationship Id="rId648" Type="http://schemas.openxmlformats.org/officeDocument/2006/relationships/hyperlink" Target="https://www.ncbi.nlm.nih.gov/pubmed/?term=Fitch%20M%5BAuthor%5D&amp;cauthor=true&amp;cauthor_uid=26073543" TargetMode="External"/><Relationship Id="rId813" Type="http://schemas.openxmlformats.org/officeDocument/2006/relationships/hyperlink" Target="https://www.ncbi.nlm.nih.gov/pubmed/?term=Da%20Silva%20D%5BAuthor%5D&amp;cauthor=true&amp;cauthor_uid=21117169" TargetMode="External"/><Relationship Id="rId855" Type="http://schemas.openxmlformats.org/officeDocument/2006/relationships/hyperlink" Target="https://www.ncbi.nlm.nih.gov/pubmed/?term=Niskanen%20L%5BAuthor%5D&amp;cauthor=true&amp;cauthor_uid=18638467" TargetMode="External"/><Relationship Id="rId1040" Type="http://schemas.openxmlformats.org/officeDocument/2006/relationships/hyperlink" Target="https://www.ncbi.nlm.nih.gov/pubmed/?term=Wang%20Y%5BAuthor%5D&amp;cauthor=true&amp;cauthor_uid=23289007" TargetMode="External"/><Relationship Id="rId245" Type="http://schemas.openxmlformats.org/officeDocument/2006/relationships/hyperlink" Target="https://www.ncbi.nlm.nih.gov/pubmed/?term=Shao%20CH%5BAuthor%5D&amp;cauthor=true&amp;cauthor_uid=28193910" TargetMode="External"/><Relationship Id="rId287" Type="http://schemas.openxmlformats.org/officeDocument/2006/relationships/hyperlink" Target="https://www.ncbi.nlm.nih.gov/pubmed/?term=Zhang%20Z%5BAuthor%5D&amp;cauthor=true&amp;cauthor_uid=27217331" TargetMode="External"/><Relationship Id="rId410" Type="http://schemas.openxmlformats.org/officeDocument/2006/relationships/hyperlink" Target="https://www.ncbi.nlm.nih.gov/pubmed/?term=Agani%20F%5BAuthor%5D&amp;cauthor=true&amp;cauthor_uid=9436976" TargetMode="External"/><Relationship Id="rId452" Type="http://schemas.openxmlformats.org/officeDocument/2006/relationships/hyperlink" Target="https://www.ncbi.nlm.nih.gov/pubmed/?term=Berchuck%20A%5BAuthor%5D&amp;cauthor=true&amp;cauthor_uid=19795452" TargetMode="External"/><Relationship Id="rId494" Type="http://schemas.openxmlformats.org/officeDocument/2006/relationships/hyperlink" Target="https://www.ncbi.nlm.nih.gov/pubmed/?term=Han%20L%5BAuthor%5D&amp;cauthor=true&amp;cauthor_uid=30455857" TargetMode="External"/><Relationship Id="rId508" Type="http://schemas.openxmlformats.org/officeDocument/2006/relationships/hyperlink" Target="https://www.ncbi.nlm.nih.gov/pubmed/?term=Dyl%C4%85g%20M%5BAuthor%5D&amp;cauthor=true&amp;cauthor_uid=27983708" TargetMode="External"/><Relationship Id="rId715" Type="http://schemas.openxmlformats.org/officeDocument/2006/relationships/hyperlink" Target="https://www.ncbi.nlm.nih.gov/pubmed/?term=Rijavec%20E%5BAuthor%5D&amp;cauthor=true&amp;cauthor_uid=23988223" TargetMode="External"/><Relationship Id="rId897" Type="http://schemas.openxmlformats.org/officeDocument/2006/relationships/hyperlink" Target="https://www.ncbi.nlm.nih.gov/pubmed/?term=Liu%20G%5BAuthor%5D&amp;cauthor=true&amp;cauthor_uid=17118889" TargetMode="External"/><Relationship Id="rId922" Type="http://schemas.openxmlformats.org/officeDocument/2006/relationships/hyperlink" Target="https://www.ncbi.nlm.nih.gov/pubmed/?term=Boidot%20R%5BAuthor%5D&amp;cauthor=true&amp;cauthor_uid=21300765" TargetMode="External"/><Relationship Id="rId1082" Type="http://schemas.openxmlformats.org/officeDocument/2006/relationships/fontTable" Target="fontTable.xml"/><Relationship Id="rId105" Type="http://schemas.openxmlformats.org/officeDocument/2006/relationships/chart" Target="charts/chart39.xml"/><Relationship Id="rId147" Type="http://schemas.openxmlformats.org/officeDocument/2006/relationships/image" Target="media/image61.jpeg"/><Relationship Id="rId312" Type="http://schemas.openxmlformats.org/officeDocument/2006/relationships/hyperlink" Target="https://www.ncbi.nlm.nih.gov/pubmed/?term=Hoffmann%20P%5BAuthor%5D&amp;cauthor=true&amp;cauthor_uid=17255361" TargetMode="External"/><Relationship Id="rId354" Type="http://schemas.openxmlformats.org/officeDocument/2006/relationships/hyperlink" Target="https://www.ncbi.nlm.nih.gov/pubmed/?term=Sheng%20X%5BAuthor%5D&amp;cauthor=true&amp;cauthor_uid=26135947" TargetMode="External"/><Relationship Id="rId757" Type="http://schemas.openxmlformats.org/officeDocument/2006/relationships/hyperlink" Target="https://www.ncbi.nlm.nih.gov/pubmed/?term=Santidrian%20AF%5BAuthor%5D&amp;cauthor=true&amp;cauthor_uid=23426180" TargetMode="External"/><Relationship Id="rId799" Type="http://schemas.openxmlformats.org/officeDocument/2006/relationships/hyperlink" Target="https://www.ncbi.nlm.nih.gov/pubmed/?term=Kim%20D%5BAuthor%5D&amp;cauthor=true&amp;cauthor_uid=25009227" TargetMode="External"/><Relationship Id="rId964" Type="http://schemas.openxmlformats.org/officeDocument/2006/relationships/hyperlink" Target="https://www.ncbi.nlm.nih.gov/pubmed/?term=Shao%20Y%5BAuthor%5D&amp;cauthor=true&amp;cauthor_uid=29340090" TargetMode="External"/><Relationship Id="rId51" Type="http://schemas.openxmlformats.org/officeDocument/2006/relationships/image" Target="media/image24.jpeg"/><Relationship Id="rId93" Type="http://schemas.openxmlformats.org/officeDocument/2006/relationships/chart" Target="charts/chart27.xml"/><Relationship Id="rId189" Type="http://schemas.openxmlformats.org/officeDocument/2006/relationships/hyperlink" Target="https://www.ncbi.nlm.nih.gov/pubmed/?term=Putzolu%20M%5BAuthor%5D&amp;cauthor=true&amp;cauthor_uid=10403541" TargetMode="External"/><Relationship Id="rId396" Type="http://schemas.openxmlformats.org/officeDocument/2006/relationships/hyperlink" Target="https://www.ncbi.nlm.nih.gov/pubmed/?term=Esparza%20LA%5BAuthor%5D&amp;cauthor=true&amp;cauthor_uid=29045397" TargetMode="External"/><Relationship Id="rId561" Type="http://schemas.openxmlformats.org/officeDocument/2006/relationships/hyperlink" Target="https://www.ncbi.nlm.nih.gov/pubmed/?term=Encalada%20R%5BAuthor%5D&amp;cauthor=true&amp;cauthor_uid=21110941" TargetMode="External"/><Relationship Id="rId617" Type="http://schemas.openxmlformats.org/officeDocument/2006/relationships/hyperlink" Target="https://www.ncbi.nlm.nih.gov/pubmed/?term=Phillips%20JJ%5BAuthor%5D&amp;cauthor=true&amp;cauthor_uid=23451252" TargetMode="External"/><Relationship Id="rId659" Type="http://schemas.openxmlformats.org/officeDocument/2006/relationships/hyperlink" Target="https://www.ncbi.nlm.nih.gov/pubmed/?term=Vigneron%20DB%5BAuthor%5D&amp;cauthor=true&amp;cauthor_uid=20150380" TargetMode="External"/><Relationship Id="rId824" Type="http://schemas.openxmlformats.org/officeDocument/2006/relationships/hyperlink" Target="https://www.ncbi.nlm.nih.gov/pubmed/?term=Sonveaux%20P%5BAuthor%5D&amp;cauthor=true&amp;cauthor_uid=19033663" TargetMode="External"/><Relationship Id="rId866" Type="http://schemas.openxmlformats.org/officeDocument/2006/relationships/hyperlink" Target="https://www.ncbi.nlm.nih.gov/pubmed/?term=Kucsma%20N%5BAuthor%5D&amp;cauthor=true&amp;cauthor_uid=28562340" TargetMode="External"/><Relationship Id="rId214" Type="http://schemas.openxmlformats.org/officeDocument/2006/relationships/hyperlink" Target="https://www.ncbi.nlm.nih.gov/pubmed/?term=Cheng%20L%5BAuthor%5D&amp;cauthor=true&amp;cauthor_uid=31241439" TargetMode="External"/><Relationship Id="rId256" Type="http://schemas.openxmlformats.org/officeDocument/2006/relationships/hyperlink" Target="https://www.ncbi.nlm.nih.gov/pubmed/?term=Xiao%20J%5BAuthor%5D&amp;cauthor=true&amp;cauthor_uid=28193910" TargetMode="External"/><Relationship Id="rId298" Type="http://schemas.openxmlformats.org/officeDocument/2006/relationships/hyperlink" Target="https://www.ncbi.nlm.nih.gov/pubmed/?term=Pretsch%20W%5BAuthor%5D&amp;cauthor=true&amp;cauthor_uid=11909700" TargetMode="External"/><Relationship Id="rId421" Type="http://schemas.openxmlformats.org/officeDocument/2006/relationships/hyperlink" Target="https://www.ncbi.nlm.nih.gov/pubmed/?term=Park%20IA%5BAuthor%5D&amp;cauthor=true&amp;cauthor_uid=27184798" TargetMode="External"/><Relationship Id="rId463" Type="http://schemas.openxmlformats.org/officeDocument/2006/relationships/hyperlink" Target="https://www.ncbi.nlm.nih.gov/pubmed/?term=Kang%20M%5BAuthor%5D&amp;cauthor=true&amp;cauthor_uid=25892225" TargetMode="External"/><Relationship Id="rId519" Type="http://schemas.openxmlformats.org/officeDocument/2006/relationships/hyperlink" Target="https://www.ncbi.nlm.nih.gov/pubmed/?term=Liu%20T%5BAuthor%5D&amp;cauthor=true&amp;cauthor_uid=27878287" TargetMode="External"/><Relationship Id="rId670" Type="http://schemas.openxmlformats.org/officeDocument/2006/relationships/hyperlink" Target="https://www.ncbi.nlm.nih.gov/pubmed/?term=Henrique%20RM%5BAuthor%5D&amp;cauthor=true&amp;cauthor_uid=21787388" TargetMode="External"/><Relationship Id="rId1051" Type="http://schemas.openxmlformats.org/officeDocument/2006/relationships/hyperlink" Target="https://www.ncbi.nlm.nih.gov/pubmed/?term=Kavalier%20A%5BAuthor%5D&amp;cauthor=true&amp;cauthor_uid=26541605" TargetMode="External"/><Relationship Id="rId116" Type="http://schemas.openxmlformats.org/officeDocument/2006/relationships/chart" Target="charts/chart50.xml"/><Relationship Id="rId158" Type="http://schemas.openxmlformats.org/officeDocument/2006/relationships/image" Target="media/image72.jpeg"/><Relationship Id="rId323" Type="http://schemas.openxmlformats.org/officeDocument/2006/relationships/hyperlink" Target="https://www.ncbi.nlm.nih.gov/pubmed/?term=Mackensen%20A%5BAuthor%5D&amp;cauthor=true&amp;cauthor_uid=17255361" TargetMode="External"/><Relationship Id="rId530" Type="http://schemas.openxmlformats.org/officeDocument/2006/relationships/hyperlink" Target="https://www.ncbi.nlm.nih.gov/pubmed/?term=He%20R%5BAuthor%5D&amp;cauthor=true&amp;cauthor_uid=25514599" TargetMode="External"/><Relationship Id="rId726" Type="http://schemas.openxmlformats.org/officeDocument/2006/relationships/hyperlink" Target="https://www.ncbi.nlm.nih.gov/pubmed/?term=Wei%20L%5BAuthor%5D&amp;cauthor=true&amp;cauthor_uid=17983831" TargetMode="External"/><Relationship Id="rId768" Type="http://schemas.openxmlformats.org/officeDocument/2006/relationships/hyperlink" Target="https://www.ncbi.nlm.nih.gov/pubmed/?term=Pirzkall%20A%5BAuthor%5D&amp;cauthor=true&amp;cauthor_uid=18810326" TargetMode="External"/><Relationship Id="rId933" Type="http://schemas.openxmlformats.org/officeDocument/2006/relationships/hyperlink" Target="https://www.ncbi.nlm.nih.gov/pubmed/?term=Mitchell%20GA%5BAuthor%5D&amp;cauthor=true&amp;cauthor_uid=28380375" TargetMode="External"/><Relationship Id="rId975" Type="http://schemas.openxmlformats.org/officeDocument/2006/relationships/hyperlink" Target="https://www.ncbi.nlm.nih.gov/pubmed/?term=Chen%20JP%5BAuthor%5D&amp;cauthor=true&amp;cauthor_uid=21452021" TargetMode="External"/><Relationship Id="rId1009" Type="http://schemas.openxmlformats.org/officeDocument/2006/relationships/hyperlink" Target="https://www.ncbi.nlm.nih.gov/pubmed/?term=Yano%20H%5BAuthor%5D&amp;cauthor=true&amp;cauthor_uid=2372287" TargetMode="External"/><Relationship Id="rId20" Type="http://schemas.openxmlformats.org/officeDocument/2006/relationships/hyperlink" Target="https://www.sciencedirect.com/topics/biochemistry-genetics-and-molecular-biology/adenosine-monophosphate" TargetMode="External"/><Relationship Id="rId62" Type="http://schemas.openxmlformats.org/officeDocument/2006/relationships/image" Target="media/image34.jpeg"/><Relationship Id="rId365" Type="http://schemas.openxmlformats.org/officeDocument/2006/relationships/hyperlink" Target="https://www.ncbi.nlm.nih.gov/pubmed/?term=Wu%20E%5BAuthor%5D&amp;cauthor=true&amp;cauthor_uid=22087246" TargetMode="External"/><Relationship Id="rId572" Type="http://schemas.openxmlformats.org/officeDocument/2006/relationships/hyperlink" Target="https://www.ncbi.nlm.nih.gov/pubmed/?term=Costa-Mattos%20PV%5BAuthor%5D&amp;cauthor=true&amp;cauthor_uid=19250982" TargetMode="External"/><Relationship Id="rId628" Type="http://schemas.openxmlformats.org/officeDocument/2006/relationships/hyperlink" Target="https://www.ncbi.nlm.nih.gov/pubmed/?term=Kubota%20N%5BAuthor%5D&amp;cauthor=true&amp;cauthor_uid=25713368" TargetMode="External"/><Relationship Id="rId835" Type="http://schemas.openxmlformats.org/officeDocument/2006/relationships/hyperlink" Target="https://www.ncbi.nlm.nih.gov/pubmed/?term=Gallez%20B%5BAuthor%5D&amp;cauthor=true&amp;cauthor_uid=19033663" TargetMode="External"/><Relationship Id="rId225" Type="http://schemas.openxmlformats.org/officeDocument/2006/relationships/hyperlink" Target="https://www.ncbi.nlm.nih.gov/pubmed/?term=Lei%20J%5BAuthor%5D&amp;cauthor=true&amp;cauthor_uid=31241439" TargetMode="External"/><Relationship Id="rId267" Type="http://schemas.openxmlformats.org/officeDocument/2006/relationships/hyperlink" Target="https://www.ncbi.nlm.nih.gov/pubmed/?term=Rothberg%20JM%5BAuthor%5D&amp;cauthor=true&amp;cauthor_uid=23288510" TargetMode="External"/><Relationship Id="rId432" Type="http://schemas.openxmlformats.org/officeDocument/2006/relationships/hyperlink" Target="https://www.ncbi.nlm.nih.gov/pubmed/?term=Sriram%20R%5BAuthor%5D&amp;cauthor=true&amp;cauthor_uid=23532911" TargetMode="External"/><Relationship Id="rId474" Type="http://schemas.openxmlformats.org/officeDocument/2006/relationships/hyperlink" Target="https://www.ncbi.nlm.nih.gov/pubmed/?term=Yu%20DY%5BAuthor%5D&amp;cauthor=true&amp;cauthor_uid=25892225" TargetMode="External"/><Relationship Id="rId877" Type="http://schemas.openxmlformats.org/officeDocument/2006/relationships/hyperlink" Target="https://www.ncbi.nlm.nih.gov/pubmed/?term=Fyles%20AW%5BAuthor%5D&amp;cauthor=true&amp;cauthor_uid=17118889" TargetMode="External"/><Relationship Id="rId1020" Type="http://schemas.openxmlformats.org/officeDocument/2006/relationships/hyperlink" Target="https://www.ncbi.nlm.nih.gov/pubmed/?term=Zhong%20C%5BAuthor%5D&amp;cauthor=true&amp;cauthor_uid=22961700" TargetMode="External"/><Relationship Id="rId1062" Type="http://schemas.openxmlformats.org/officeDocument/2006/relationships/hyperlink" Target="https://www.ncbi.nlm.nih.gov/pubmed/?term=Pappin%20DJ%5BAuthor%5D&amp;cauthor=true&amp;cauthor_uid=26541605" TargetMode="External"/><Relationship Id="rId127" Type="http://schemas.openxmlformats.org/officeDocument/2006/relationships/image" Target="media/image41.jpeg"/><Relationship Id="rId681" Type="http://schemas.openxmlformats.org/officeDocument/2006/relationships/hyperlink" Target="https://www.ncbi.nlm.nih.gov/pubmed/?term=Baltazar%20F%5BAuthor%5D&amp;cauthor=true&amp;cauthor_uid=20636790" TargetMode="External"/><Relationship Id="rId737" Type="http://schemas.openxmlformats.org/officeDocument/2006/relationships/hyperlink" Target="https://www.ncbi.nlm.nih.gov/pubmed/?term=Aldieri%20E%5BAuthor%5D&amp;cauthor=true&amp;cauthor_uid=22580150" TargetMode="External"/><Relationship Id="rId779" Type="http://schemas.openxmlformats.org/officeDocument/2006/relationships/hyperlink" Target="https://www.ncbi.nlm.nih.gov/pubmed/?term=Johnson%20RS%5BAuthor%5D&amp;cauthor=true&amp;cauthor_uid=11313469" TargetMode="External"/><Relationship Id="rId902" Type="http://schemas.openxmlformats.org/officeDocument/2006/relationships/hyperlink" Target="https://www.ncbi.nlm.nih.gov/pubmed/?term=Galmarini%20CM%5BAuthor%5D&amp;cauthor=true&amp;cauthor_uid=17895480" TargetMode="External"/><Relationship Id="rId944" Type="http://schemas.openxmlformats.org/officeDocument/2006/relationships/hyperlink" Target="https://www.ncbi.nlm.nih.gov/pubmed/?term=Lyng%20H%5BAuthor%5D&amp;cauthor=true&amp;cauthor_uid=9033256" TargetMode="External"/><Relationship Id="rId986" Type="http://schemas.openxmlformats.org/officeDocument/2006/relationships/hyperlink" Target="https://www.ncbi.nlm.nih.gov/pubmed/?term=Ratcliffe%20PJ%5BAuthor%5D&amp;cauthor=true&amp;cauthor_uid=12490539" TargetMode="External"/><Relationship Id="rId31" Type="http://schemas.openxmlformats.org/officeDocument/2006/relationships/image" Target="media/image7.png"/><Relationship Id="rId73" Type="http://schemas.openxmlformats.org/officeDocument/2006/relationships/chart" Target="charts/chart8.xml"/><Relationship Id="rId169" Type="http://schemas.openxmlformats.org/officeDocument/2006/relationships/hyperlink" Target="https://www.ncbi.nlm.nih.gov/pubmed/?term=Anastasiou%20D%5BAuthor%5D&amp;cauthor=true&amp;cauthor_uid=22052977" TargetMode="External"/><Relationship Id="rId334" Type="http://schemas.openxmlformats.org/officeDocument/2006/relationships/hyperlink" Target="https://www.ncbi.nlm.nih.gov/pubmed/?term=Kunz-Schughart%20LA%5BAuthor%5D&amp;cauthor=true&amp;cauthor_uid=21617859" TargetMode="External"/><Relationship Id="rId376" Type="http://schemas.openxmlformats.org/officeDocument/2006/relationships/hyperlink" Target="https://www.ncbi.nlm.nih.gov/pubmed/?term=Hirschhaeuser%20F%5BAuthor%5D&amp;cauthor=true&amp;cauthor_uid=22084445" TargetMode="External"/><Relationship Id="rId541" Type="http://schemas.openxmlformats.org/officeDocument/2006/relationships/hyperlink" Target="https://www.ncbi.nlm.nih.gov/pubmed/?term=Permert%20J%5BAuthor%5D&amp;cauthor=true&amp;cauthor_uid=23377827" TargetMode="External"/><Relationship Id="rId583" Type="http://schemas.openxmlformats.org/officeDocument/2006/relationships/hyperlink" Target="https://www.ncbi.nlm.nih.gov/pubmed/?term=Drexler%20HC%5BAuthor%5D&amp;cauthor=true&amp;cauthor_uid=18225557" TargetMode="External"/><Relationship Id="rId639" Type="http://schemas.openxmlformats.org/officeDocument/2006/relationships/hyperlink" Target="https://www.ncbi.nlm.nih.gov/pubmed/?term=Okada%20F%5BAuthor%5D&amp;cauthor=true&amp;cauthor_uid=17651733" TargetMode="External"/><Relationship Id="rId790" Type="http://schemas.openxmlformats.org/officeDocument/2006/relationships/hyperlink" Target="https://www.ncbi.nlm.nih.gov/pubmed/?term=Zhong%20H%5BAuthor%5D&amp;cauthor=true&amp;cauthor_uid=11727934" TargetMode="External"/><Relationship Id="rId804" Type="http://schemas.openxmlformats.org/officeDocument/2006/relationships/hyperlink" Target="https://www.ncbi.nlm.nih.gov/pubmed/?term=Shim%20H%5BAuthor%5D&amp;cauthor=true&amp;cauthor_uid=9192621" TargetMode="External"/><Relationship Id="rId4" Type="http://schemas.microsoft.com/office/2007/relationships/stylesWithEffects" Target="stylesWithEffects.xml"/><Relationship Id="rId180" Type="http://schemas.openxmlformats.org/officeDocument/2006/relationships/hyperlink" Target="https://www.ncbi.nlm.nih.gov/pubmed/?term=Vander%20Heiden%20MG%5BAuthor%5D&amp;cauthor=true&amp;cauthor_uid=22052977" TargetMode="External"/><Relationship Id="rId236" Type="http://schemas.openxmlformats.org/officeDocument/2006/relationships/hyperlink" Target="https://www.ncbi.nlm.nih.gov/pubmed/?term=Da%20Silva%20D%5BAuthor%5D&amp;cauthor=true&amp;cauthor_uid=17666012" TargetMode="External"/><Relationship Id="rId278" Type="http://schemas.openxmlformats.org/officeDocument/2006/relationships/hyperlink" Target="https://www.ncbi.nlm.nih.gov/pubmed/?term=Andrikou%20K%5BAuthor%5D&amp;cauthor=true&amp;cauthor_uid=27314036" TargetMode="External"/><Relationship Id="rId401" Type="http://schemas.openxmlformats.org/officeDocument/2006/relationships/hyperlink" Target="https://www.ncbi.nlm.nih.gov/pubmed/?term=Rabinowitz%20JD%5BAuthor%5D&amp;cauthor=true&amp;cauthor_uid=29045397" TargetMode="External"/><Relationship Id="rId443" Type="http://schemas.openxmlformats.org/officeDocument/2006/relationships/hyperlink" Target="https://www.ncbi.nlm.nih.gov/pubmed/?term=Kondoh%20E%5BAuthor%5D&amp;cauthor=true&amp;cauthor_uid=19795452" TargetMode="External"/><Relationship Id="rId650" Type="http://schemas.openxmlformats.org/officeDocument/2006/relationships/hyperlink" Target="https://www.ncbi.nlm.nih.gov/pubmed/?term=Gibson%20BW%5BAuthor%5D&amp;cauthor=true&amp;cauthor_uid=26073543" TargetMode="External"/><Relationship Id="rId846" Type="http://schemas.openxmlformats.org/officeDocument/2006/relationships/hyperlink" Target="https://www.ncbi.nlm.nih.gov/pubmed/?term=Kakeji%20Y%5BAuthor%5D&amp;cauthor=true&amp;cauthor_uid=16951228" TargetMode="External"/><Relationship Id="rId888" Type="http://schemas.openxmlformats.org/officeDocument/2006/relationships/hyperlink" Target="https://www.ncbi.nlm.nih.gov/pubmed/?term=Rajendran%20JG%5BAuthor%5D&amp;cauthor=true&amp;cauthor_uid=17118889" TargetMode="External"/><Relationship Id="rId1031" Type="http://schemas.openxmlformats.org/officeDocument/2006/relationships/hyperlink" Target="https://www.ncbi.nlm.nih.gov/pubmed/?term=Ye%20J%5BAuthor%5D&amp;cauthor=true&amp;cauthor_uid=22509023" TargetMode="External"/><Relationship Id="rId1073" Type="http://schemas.openxmlformats.org/officeDocument/2006/relationships/hyperlink" Target="https://www.ncbi.nlm.nih.gov/pubmed/?term=Handy%20DE%5BAuthor%5D&amp;cauthor=true&amp;cauthor_uid=20032314" TargetMode="External"/><Relationship Id="rId303" Type="http://schemas.openxmlformats.org/officeDocument/2006/relationships/hyperlink" Target="https://www.ncbi.nlm.nih.gov/pubmed/?term=Feng%20C%5BAuthor%5D&amp;cauthor=true&amp;cauthor_uid=23846818" TargetMode="External"/><Relationship Id="rId485" Type="http://schemas.openxmlformats.org/officeDocument/2006/relationships/hyperlink" Target="https://www.ncbi.nlm.nih.gov/pubmed/?term=Pan%20Y%5BAuthor%5D&amp;cauthor=true&amp;cauthor_uid=31000383" TargetMode="External"/><Relationship Id="rId692" Type="http://schemas.openxmlformats.org/officeDocument/2006/relationships/hyperlink" Target="https://www.ncbi.nlm.nih.gov/pubmed/?term=Etlinger%20D%5BAuthor%5D&amp;cauthor=true&amp;cauthor_uid=18753962" TargetMode="External"/><Relationship Id="rId706" Type="http://schemas.openxmlformats.org/officeDocument/2006/relationships/hyperlink" Target="https://www.ncbi.nlm.nih.gov/pubmed/?term=Iqbal%20MA%5BAuthor%5D&amp;cauthor=true&amp;cauthor_uid=29468140" TargetMode="External"/><Relationship Id="rId748" Type="http://schemas.openxmlformats.org/officeDocument/2006/relationships/hyperlink" Target="https://www.ncbi.nlm.nih.gov/pubmed/?term=Rodr%C3%ADguez-Zavala%20JS%5BAuthor%5D&amp;cauthor=true&amp;cauthor_uid=11298771" TargetMode="External"/><Relationship Id="rId913" Type="http://schemas.openxmlformats.org/officeDocument/2006/relationships/hyperlink" Target="https://www.ncbi.nlm.nih.gov/pubmed/?term=Bruggeman%20FJ%5BAuthor%5D&amp;cauthor=true&amp;cauthor_uid=24436182" TargetMode="External"/><Relationship Id="rId955" Type="http://schemas.openxmlformats.org/officeDocument/2006/relationships/hyperlink" Target="https://www.ncbi.nlm.nih.gov/pubmed/?term=Mueller-Klieser%20W%5BAuthor%5D&amp;cauthor=true&amp;cauthor_uid=10706105" TargetMode="External"/><Relationship Id="rId42" Type="http://schemas.openxmlformats.org/officeDocument/2006/relationships/image" Target="media/image15.png"/><Relationship Id="rId84" Type="http://schemas.openxmlformats.org/officeDocument/2006/relationships/chart" Target="charts/chart18.xml"/><Relationship Id="rId138" Type="http://schemas.openxmlformats.org/officeDocument/2006/relationships/image" Target="media/image52.jpeg"/><Relationship Id="rId345" Type="http://schemas.openxmlformats.org/officeDocument/2006/relationships/hyperlink" Target="https://www.ncbi.nlm.nih.gov/pubmed/?term=Munz%20A%5BAuthor%5D&amp;cauthor=true&amp;cauthor_uid=23184277" TargetMode="External"/><Relationship Id="rId387" Type="http://schemas.openxmlformats.org/officeDocument/2006/relationships/hyperlink" Target="https://www.ncbi.nlm.nih.gov/pubmed/?term=Zhang%20Z%5BAuthor%5D&amp;cauthor=true&amp;cauthor_uid=23693134" TargetMode="External"/><Relationship Id="rId510" Type="http://schemas.openxmlformats.org/officeDocument/2006/relationships/hyperlink" Target="https://www.ncbi.nlm.nih.gov/pubmed/?term=Ko%20YH%5BAuthor%5D&amp;cauthor=true&amp;cauthor_uid=27983708" TargetMode="External"/><Relationship Id="rId552" Type="http://schemas.openxmlformats.org/officeDocument/2006/relationships/hyperlink" Target="https://www.ncbi.nlm.nih.gov/pubmed/?term=Gallardo-P%C3%A9rez%20JC%5BAuthor%5D&amp;cauthor=true&amp;cauthor_uid=27661776" TargetMode="External"/><Relationship Id="rId594" Type="http://schemas.openxmlformats.org/officeDocument/2006/relationships/hyperlink" Target="https://www.ncbi.nlm.nih.gov/pubmed/?term=Miao%20P%5BAuthor%5D&amp;cauthor=true&amp;cauthor_uid=24265197" TargetMode="External"/><Relationship Id="rId608" Type="http://schemas.openxmlformats.org/officeDocument/2006/relationships/hyperlink" Target="https://www.ncbi.nlm.nih.gov/pubmed/?term=Palmeirim%20I%5BAuthor%5D&amp;cauthor=true&amp;cauthor_uid=23258846" TargetMode="External"/><Relationship Id="rId815" Type="http://schemas.openxmlformats.org/officeDocument/2006/relationships/hyperlink" Target="https://www.ncbi.nlm.nih.gov/pubmed/?term=Marinho-Carvalho%20MM%5BAuthor%5D&amp;cauthor=true&amp;cauthor_uid=21117169" TargetMode="External"/><Relationship Id="rId997" Type="http://schemas.openxmlformats.org/officeDocument/2006/relationships/hyperlink" Target="https://www.ncbi.nlm.nih.gov/pubmed/?term=Rizwan%20A%5BAuthor%5D&amp;cauthor=true&amp;cauthor_uid=21618306" TargetMode="External"/><Relationship Id="rId191" Type="http://schemas.openxmlformats.org/officeDocument/2006/relationships/hyperlink" Target="https://www.ncbi.nlm.nih.gov/pubmed/?term=Dess%C3%AC%20S%5BAuthor%5D&amp;cauthor=true&amp;cauthor_uid=10403541" TargetMode="External"/><Relationship Id="rId205" Type="http://schemas.openxmlformats.org/officeDocument/2006/relationships/hyperlink" Target="https://www.ncbi.nlm.nih.gov/pubmed/?term=Cardim%20Pires%20TR%5BAuthor%5D&amp;cauthor=true&amp;cauthor_uid=27791266" TargetMode="External"/><Relationship Id="rId247" Type="http://schemas.openxmlformats.org/officeDocument/2006/relationships/hyperlink" Target="https://www.ncbi.nlm.nih.gov/pubmed/?term=Su%20N%5BAuthor%5D&amp;cauthor=true&amp;cauthor_uid=28193910" TargetMode="External"/><Relationship Id="rId412" Type="http://schemas.openxmlformats.org/officeDocument/2006/relationships/hyperlink" Target="https://www.ncbi.nlm.nih.gov/pubmed/?term=Laughner%20E%5BAuthor%5D&amp;cauthor=true&amp;cauthor_uid=9436976" TargetMode="External"/><Relationship Id="rId857" Type="http://schemas.openxmlformats.org/officeDocument/2006/relationships/hyperlink" Target="https://www.ncbi.nlm.nih.gov/pubmed/?term=Bartal%20A%5BAuthor%5D&amp;cauthor=true&amp;cauthor_uid=28562340" TargetMode="External"/><Relationship Id="rId899" Type="http://schemas.openxmlformats.org/officeDocument/2006/relationships/hyperlink" Target="https://www.ncbi.nlm.nih.gov/pubmed/?term=Sullivan%20D%5BAuthor%5D&amp;cauthor=true&amp;cauthor_uid=17118889" TargetMode="External"/><Relationship Id="rId1000" Type="http://schemas.openxmlformats.org/officeDocument/2006/relationships/hyperlink" Target="https://www.ncbi.nlm.nih.gov/pubmed/?term=Matei%20CC%5BAuthor%5D&amp;cauthor=true&amp;cauthor_uid=21618306" TargetMode="External"/><Relationship Id="rId1042" Type="http://schemas.openxmlformats.org/officeDocument/2006/relationships/hyperlink" Target="https://www.ncbi.nlm.nih.gov/pubmed/?term=Yang%20YQ%5BAuthor%5D&amp;cauthor=true&amp;cauthor_uid=23289007" TargetMode="External"/><Relationship Id="rId107" Type="http://schemas.openxmlformats.org/officeDocument/2006/relationships/chart" Target="charts/chart41.xml"/><Relationship Id="rId289" Type="http://schemas.openxmlformats.org/officeDocument/2006/relationships/hyperlink" Target="https://www.ncbi.nlm.nih.gov/pubmed/?term=Chen%20X%5BAuthor%5D&amp;cauthor=true&amp;cauthor_uid=27217331" TargetMode="External"/><Relationship Id="rId454" Type="http://schemas.openxmlformats.org/officeDocument/2006/relationships/hyperlink" Target="https://www.ncbi.nlm.nih.gov/pubmed/?term=Harris%20AL%5BAuthor%5D&amp;cauthor=true&amp;cauthor_uid=12942121" TargetMode="External"/><Relationship Id="rId496" Type="http://schemas.openxmlformats.org/officeDocument/2006/relationships/hyperlink" Target="https://www.ncbi.nlm.nih.gov/pubmed/?term=Ma%20Q%5BAuthor%5D&amp;cauthor=true&amp;cauthor_uid=30455857" TargetMode="External"/><Relationship Id="rId661" Type="http://schemas.openxmlformats.org/officeDocument/2006/relationships/hyperlink" Target="https://www.ncbi.nlm.nih.gov/pubmed/?term=James%20CD%5BAuthor%5D&amp;cauthor=true&amp;cauthor_uid=20150380" TargetMode="External"/><Relationship Id="rId717" Type="http://schemas.openxmlformats.org/officeDocument/2006/relationships/hyperlink" Target="https://www.ncbi.nlm.nih.gov/pubmed/?term=Esposito%20AI%5BAuthor%5D&amp;cauthor=true&amp;cauthor_uid=23988223" TargetMode="External"/><Relationship Id="rId759" Type="http://schemas.openxmlformats.org/officeDocument/2006/relationships/hyperlink" Target="https://www.ncbi.nlm.nih.gov/pubmed/?term=Ritland%20M%5BAuthor%5D&amp;cauthor=true&amp;cauthor_uid=23426180" TargetMode="External"/><Relationship Id="rId924" Type="http://schemas.openxmlformats.org/officeDocument/2006/relationships/hyperlink" Target="https://www.ncbi.nlm.nih.gov/pubmed/?term=Sonveaux%20P%5BAuthor%5D&amp;cauthor=true&amp;cauthor_uid=21300765" TargetMode="External"/><Relationship Id="rId966" Type="http://schemas.openxmlformats.org/officeDocument/2006/relationships/hyperlink" Target="https://www.ncbi.nlm.nih.gov/pubmed/?term=Wang%20A%5BAuthor%5D&amp;cauthor=true&amp;cauthor_uid=29340090" TargetMode="External"/><Relationship Id="rId11" Type="http://schemas.openxmlformats.org/officeDocument/2006/relationships/footer" Target="footer2.xml"/><Relationship Id="rId53" Type="http://schemas.openxmlformats.org/officeDocument/2006/relationships/image" Target="media/image26.png"/><Relationship Id="rId149" Type="http://schemas.openxmlformats.org/officeDocument/2006/relationships/image" Target="media/image63.jpeg"/><Relationship Id="rId314" Type="http://schemas.openxmlformats.org/officeDocument/2006/relationships/hyperlink" Target="https://www.ncbi.nlm.nih.gov/pubmed/?term=Meidenbauer%20N%5BAuthor%5D&amp;cauthor=true&amp;cauthor_uid=17255361" TargetMode="External"/><Relationship Id="rId356" Type="http://schemas.openxmlformats.org/officeDocument/2006/relationships/hyperlink" Target="https://www.ncbi.nlm.nih.gov/pubmed/?term=Bae-Jump%20VL%5BAuthor%5D&amp;cauthor=true&amp;cauthor_uid=26135947" TargetMode="External"/><Relationship Id="rId398" Type="http://schemas.openxmlformats.org/officeDocument/2006/relationships/hyperlink" Target="https://www.ncbi.nlm.nih.gov/pubmed/?term=Le%20Zhan%5BAuthor%5D&amp;cauthor=true&amp;cauthor_uid=29045397" TargetMode="External"/><Relationship Id="rId521" Type="http://schemas.openxmlformats.org/officeDocument/2006/relationships/hyperlink" Target="https://www.ncbi.nlm.nih.gov/pubmed/?term=Lin%20YL%5BAuthor%5D&amp;cauthor=true&amp;cauthor_uid=25514599" TargetMode="External"/><Relationship Id="rId563" Type="http://schemas.openxmlformats.org/officeDocument/2006/relationships/hyperlink" Target="https://www.ncbi.nlm.nih.gov/pubmed/?term=Saavedra%20E%5BAuthor%5D&amp;cauthor=true&amp;cauthor_uid=21110941" TargetMode="External"/><Relationship Id="rId619" Type="http://schemas.openxmlformats.org/officeDocument/2006/relationships/hyperlink" Target="https://www.ncbi.nlm.nih.gov/pubmed/?term=Wiencke%20J%5BAuthor%5D&amp;cauthor=true&amp;cauthor_uid=23451252" TargetMode="External"/><Relationship Id="rId770" Type="http://schemas.openxmlformats.org/officeDocument/2006/relationships/hyperlink" Target="https://www.ncbi.nlm.nih.gov/pubmed/?term=Cha%20S%5BAuthor%5D&amp;cauthor=true&amp;cauthor_uid=18810326" TargetMode="External"/><Relationship Id="rId95" Type="http://schemas.openxmlformats.org/officeDocument/2006/relationships/chart" Target="charts/chart29.xml"/><Relationship Id="rId160" Type="http://schemas.openxmlformats.org/officeDocument/2006/relationships/image" Target="media/image74.jpeg"/><Relationship Id="rId216" Type="http://schemas.openxmlformats.org/officeDocument/2006/relationships/hyperlink" Target="https://www.ncbi.nlm.nih.gov/pubmed/?term=Ma%20J%5BAuthor%5D&amp;cauthor=true&amp;cauthor_uid=31241439" TargetMode="External"/><Relationship Id="rId423" Type="http://schemas.openxmlformats.org/officeDocument/2006/relationships/hyperlink" Target="https://www.ncbi.nlm.nih.gov/pubmed/?term=Im%20SA%5BAuthor%5D&amp;cauthor=true&amp;cauthor_uid=27184798" TargetMode="External"/><Relationship Id="rId826" Type="http://schemas.openxmlformats.org/officeDocument/2006/relationships/hyperlink" Target="https://www.ncbi.nlm.nih.gov/pubmed/?term=Schroeder%20T%5BAuthor%5D&amp;cauthor=true&amp;cauthor_uid=19033663" TargetMode="External"/><Relationship Id="rId868" Type="http://schemas.openxmlformats.org/officeDocument/2006/relationships/hyperlink" Target="https://www.ncbi.nlm.nih.gov/pubmed/?term=T%26%23x000f3%3Bv%26%23x000e1%3Bri%20J%5BAuthor%5D&amp;cauthor=true&amp;cauthor_uid=28562340" TargetMode="External"/><Relationship Id="rId1011" Type="http://schemas.openxmlformats.org/officeDocument/2006/relationships/hyperlink" Target="https://www.ncbi.nlm.nih.gov/pubmed/?term=Yamada%20Y%5BAuthor%5D&amp;cauthor=true&amp;cauthor_uid=2372287" TargetMode="External"/><Relationship Id="rId1053" Type="http://schemas.openxmlformats.org/officeDocument/2006/relationships/hyperlink" Target="https://www.ncbi.nlm.nih.gov/pubmed/?term=Roper%20J%5BAuthor%5D&amp;cauthor=true&amp;cauthor_uid=26541605" TargetMode="External"/><Relationship Id="rId258" Type="http://schemas.openxmlformats.org/officeDocument/2006/relationships/hyperlink" Target="https://www.ncbi.nlm.nih.gov/pubmed/?term=Feron%20O%5BAuthor%5D&amp;cauthor=true&amp;cauthor_uid=22065843" TargetMode="External"/><Relationship Id="rId465" Type="http://schemas.openxmlformats.org/officeDocument/2006/relationships/hyperlink" Target="https://www.ncbi.nlm.nih.gov/pubmed/?term=Yang%20SJ%5BAuthor%5D&amp;cauthor=true&amp;cauthor_uid=25892225" TargetMode="External"/><Relationship Id="rId630" Type="http://schemas.openxmlformats.org/officeDocument/2006/relationships/hyperlink" Target="https://www.ncbi.nlm.nih.gov/pubmed/?term=Murata%20M%5BAuthor%5D&amp;cauthor=true&amp;cauthor_uid=25713368" TargetMode="External"/><Relationship Id="rId672" Type="http://schemas.openxmlformats.org/officeDocument/2006/relationships/hyperlink" Target="https://www.ncbi.nlm.nih.gov/pubmed/?term=Lopes%20C%5BAuthor%5D&amp;cauthor=true&amp;cauthor_uid=21787388" TargetMode="External"/><Relationship Id="rId728" Type="http://schemas.openxmlformats.org/officeDocument/2006/relationships/hyperlink" Target="https://www.ncbi.nlm.nih.gov/pubmed/?term=Rider%20MH%5BAuthor%5D&amp;cauthor=true&amp;cauthor_uid=15170386" TargetMode="External"/><Relationship Id="rId935" Type="http://schemas.openxmlformats.org/officeDocument/2006/relationships/hyperlink" Target="https://www.ncbi.nlm.nih.gov/pubmed/?term=Stevens%20RD%5BAuthor%5D&amp;cauthor=true&amp;cauthor_uid=28380375" TargetMode="External"/><Relationship Id="rId22" Type="http://schemas.openxmlformats.org/officeDocument/2006/relationships/hyperlink" Target="https://www.sciencedirect.com/topics/biochemistry-genetics-and-molecular-biology/phosphofructokinase" TargetMode="External"/><Relationship Id="rId64" Type="http://schemas.openxmlformats.org/officeDocument/2006/relationships/image" Target="media/image36.jpeg"/><Relationship Id="rId118" Type="http://schemas.openxmlformats.org/officeDocument/2006/relationships/chart" Target="charts/chart52.xml"/><Relationship Id="rId325" Type="http://schemas.openxmlformats.org/officeDocument/2006/relationships/hyperlink" Target="https://www.ncbi.nlm.nih.gov/pubmed/?term=Andreesen%20R%5BAuthor%5D&amp;cauthor=true&amp;cauthor_uid=17255361" TargetMode="External"/><Relationship Id="rId367" Type="http://schemas.openxmlformats.org/officeDocument/2006/relationships/hyperlink" Target="https://www.ncbi.nlm.nih.gov/pubmed/?term=Harada%20K%5BAuthor%5D&amp;cauthor=true&amp;cauthor_uid=27210058" TargetMode="External"/><Relationship Id="rId532" Type="http://schemas.openxmlformats.org/officeDocument/2006/relationships/hyperlink" Target="https://www.ncbi.nlm.nih.gov/pubmed/?term=Shi%20YH%5BAuthor%5D&amp;cauthor=true&amp;cauthor_uid=25514599" TargetMode="External"/><Relationship Id="rId574" Type="http://schemas.openxmlformats.org/officeDocument/2006/relationships/hyperlink" Target="https://www.ncbi.nlm.nih.gov/pubmed/?term=Zancan%20P%5BAuthor%5D&amp;cauthor=true&amp;cauthor_uid=19250982" TargetMode="External"/><Relationship Id="rId977" Type="http://schemas.openxmlformats.org/officeDocument/2006/relationships/hyperlink" Target="https://www.ncbi.nlm.nih.gov/pubmed/?term=J%C3%BCrgensen%20JS%5BAuthor%5D&amp;cauthor=true&amp;cauthor_uid=12490539" TargetMode="External"/><Relationship Id="rId171" Type="http://schemas.openxmlformats.org/officeDocument/2006/relationships/hyperlink" Target="https://www.ncbi.nlm.nih.gov/pubmed/?term=Asara%20JM%5BAuthor%5D&amp;cauthor=true&amp;cauthor_uid=22052977" TargetMode="External"/><Relationship Id="rId227" Type="http://schemas.openxmlformats.org/officeDocument/2006/relationships/hyperlink" Target="https://www.ncbi.nlm.nih.gov/pubmed/?term=Costa%20KC%5BAuthor%5D&amp;cauthor=true&amp;cauthor_uid=17720578" TargetMode="External"/><Relationship Id="rId781" Type="http://schemas.openxmlformats.org/officeDocument/2006/relationships/hyperlink" Target="https://www.ncbi.nlm.nih.gov/pubmed/?term=Artemov%20D%5BAuthor%5D&amp;cauthor=true&amp;cauthor_uid=11727934" TargetMode="External"/><Relationship Id="rId837" Type="http://schemas.openxmlformats.org/officeDocument/2006/relationships/hyperlink" Target="https://www.ncbi.nlm.nih.gov/pubmed/?term=Feron%20O%5BAuthor%5D&amp;cauthor=true&amp;cauthor_uid=19033663" TargetMode="External"/><Relationship Id="rId879" Type="http://schemas.openxmlformats.org/officeDocument/2006/relationships/hyperlink" Target="https://www.ncbi.nlm.nih.gov/pubmed/?term=Hill%20RP%5BAuthor%5D&amp;cauthor=true&amp;cauthor_uid=17118889" TargetMode="External"/><Relationship Id="rId1022" Type="http://schemas.openxmlformats.org/officeDocument/2006/relationships/hyperlink" Target="https://www.ncbi.nlm.nih.gov/pubmed/?term=Zhao%20H%5BAuthor%5D&amp;cauthor=true&amp;cauthor_uid=22961700" TargetMode="External"/><Relationship Id="rId269" Type="http://schemas.openxmlformats.org/officeDocument/2006/relationships/hyperlink" Target="https://www.ncbi.nlm.nih.gov/pubmed/?term=Johnson%20J%5BAuthor%5D&amp;cauthor=true&amp;cauthor_uid=23288510" TargetMode="External"/><Relationship Id="rId434" Type="http://schemas.openxmlformats.org/officeDocument/2006/relationships/hyperlink" Target="https://www.ncbi.nlm.nih.gov/pubmed/?term=Wilson%20DM%5BAuthor%5D&amp;cauthor=true&amp;cauthor_uid=23532911" TargetMode="External"/><Relationship Id="rId476" Type="http://schemas.openxmlformats.org/officeDocument/2006/relationships/hyperlink" Target="https://www.ncbi.nlm.nih.gov/pubmed/?term=Yeom%20YI%5BAuthor%5D&amp;cauthor=true&amp;cauthor_uid=25892225" TargetMode="External"/><Relationship Id="rId641" Type="http://schemas.openxmlformats.org/officeDocument/2006/relationships/hyperlink" Target="https://www.ncbi.nlm.nih.gov/pubmed/?term=Nishida%20Y%5BAuthor%5D&amp;cauthor=true&amp;cauthor_uid=26073543" TargetMode="External"/><Relationship Id="rId683" Type="http://schemas.openxmlformats.org/officeDocument/2006/relationships/hyperlink" Target="https://www.ncbi.nlm.nih.gov/pubmed/?term=Longatto-Filho%20A%5BAuthor%5D&amp;cauthor=true&amp;cauthor_uid=22407107" TargetMode="External"/><Relationship Id="rId739" Type="http://schemas.openxmlformats.org/officeDocument/2006/relationships/hyperlink" Target="https://www.ncbi.nlm.nih.gov/pubmed/?term=Rocha-Gonz%C3%A1lez%20HI%5BAuthor%5D&amp;cauthor=true&amp;cauthor_uid=19109946" TargetMode="External"/><Relationship Id="rId890" Type="http://schemas.openxmlformats.org/officeDocument/2006/relationships/hyperlink" Target="https://www.ncbi.nlm.nih.gov/pubmed/?term=Robinson%20SP%5BAuthor%5D&amp;cauthor=true&amp;cauthor_uid=17118889" TargetMode="External"/><Relationship Id="rId904" Type="http://schemas.openxmlformats.org/officeDocument/2006/relationships/hyperlink" Target="https://www.ncbi.nlm.nih.gov/pubmed/?term=Tannock%20IF%5BAuthor%5D&amp;cauthor=true&amp;cauthor_uid=17895480" TargetMode="External"/><Relationship Id="rId1064" Type="http://schemas.openxmlformats.org/officeDocument/2006/relationships/hyperlink" Target="https://www.ncbi.nlm.nih.gov/pubmed/?term=Papadopoulos%20N%5BAuthor%5D&amp;cauthor=true&amp;cauthor_uid=26541605" TargetMode="External"/><Relationship Id="rId33" Type="http://schemas.openxmlformats.org/officeDocument/2006/relationships/image" Target="media/image9.png"/><Relationship Id="rId129" Type="http://schemas.openxmlformats.org/officeDocument/2006/relationships/image" Target="media/image43.jpeg"/><Relationship Id="rId280" Type="http://schemas.openxmlformats.org/officeDocument/2006/relationships/hyperlink" Target="https://www.ncbi.nlm.nih.gov/pubmed/?term=Cascinu%20S%5BAuthor%5D&amp;cauthor=true&amp;cauthor_uid=27314036" TargetMode="External"/><Relationship Id="rId336" Type="http://schemas.openxmlformats.org/officeDocument/2006/relationships/hyperlink" Target="https://www.ncbi.nlm.nih.gov/pubmed/?term=Graeber%20TG%5BAuthor%5D&amp;cauthor=true&amp;cauthor_uid=8538748" TargetMode="External"/><Relationship Id="rId501" Type="http://schemas.openxmlformats.org/officeDocument/2006/relationships/hyperlink" Target="https://www.ncbi.nlm.nih.gov/pubmed/?term=Rathmell%20JC%5BAuthor%5D&amp;cauthor=true&amp;cauthor_uid=28918937" TargetMode="External"/><Relationship Id="rId543" Type="http://schemas.openxmlformats.org/officeDocument/2006/relationships/hyperlink" Target="https://www.ncbi.nlm.nih.gov/pubmed/?term=Liu%20Z%5BAuthor%5D&amp;cauthor=true&amp;cauthor_uid=23377827" TargetMode="External"/><Relationship Id="rId946" Type="http://schemas.openxmlformats.org/officeDocument/2006/relationships/hyperlink" Target="https://www.ncbi.nlm.nih.gov/pubmed/?term=Mitze%20M%5BAuthor%5D&amp;cauthor=true&amp;cauthor_uid=9033256" TargetMode="External"/><Relationship Id="rId988" Type="http://schemas.openxmlformats.org/officeDocument/2006/relationships/hyperlink" Target="https://www.ncbi.nlm.nih.gov/pubmed/?term=Maxwell%20PH%5BAuthor%5D&amp;cauthor=true&amp;cauthor_uid=12490539" TargetMode="External"/><Relationship Id="rId75" Type="http://schemas.openxmlformats.org/officeDocument/2006/relationships/chart" Target="charts/chart10.xml"/><Relationship Id="rId140" Type="http://schemas.openxmlformats.org/officeDocument/2006/relationships/image" Target="media/image54.jpeg"/><Relationship Id="rId182" Type="http://schemas.openxmlformats.org/officeDocument/2006/relationships/hyperlink" Target="https://www.ncbi.nlm.nih.gov/pubmed/?term=Batetta%20B%5BAuthor%5D&amp;cauthor=true&amp;cauthor_uid=10403541" TargetMode="External"/><Relationship Id="rId378" Type="http://schemas.openxmlformats.org/officeDocument/2006/relationships/hyperlink" Target="https://www.ncbi.nlm.nih.gov/pubmed/?term=Mueller-Klieser%20W%5BAuthor%5D&amp;cauthor=true&amp;cauthor_uid=22084445" TargetMode="External"/><Relationship Id="rId403" Type="http://schemas.openxmlformats.org/officeDocument/2006/relationships/hyperlink" Target="https://www.ncbi.nlm.nih.gov/pubmed/?term=Tominaga%20H%5BAuthor%5D&amp;cauthor=true&amp;cauthor_uid=8951178" TargetMode="External"/><Relationship Id="rId585" Type="http://schemas.openxmlformats.org/officeDocument/2006/relationships/hyperlink" Target="https://www.ncbi.nlm.nih.gov/pubmed/?term=Eigenbrodt%20E%5BAuthor%5D&amp;cauthor=true&amp;cauthor_uid=18225557" TargetMode="External"/><Relationship Id="rId750" Type="http://schemas.openxmlformats.org/officeDocument/2006/relationships/hyperlink" Target="https://www.ncbi.nlm.nih.gov/pubmed/?term=Rong%20Y%5BAuthor%5D&amp;cauthor=true&amp;cauthor_uid=23404405" TargetMode="External"/><Relationship Id="rId792" Type="http://schemas.openxmlformats.org/officeDocument/2006/relationships/hyperlink" Target="https://www.ncbi.nlm.nih.gov/pubmed/?term=Semenza%20GL%5BAuthor%5D&amp;cauthor=true&amp;cauthor_uid=19033652" TargetMode="External"/><Relationship Id="rId806" Type="http://schemas.openxmlformats.org/officeDocument/2006/relationships/hyperlink" Target="https://www.ncbi.nlm.nih.gov/pubmed/?term=Lewis%20BC%5BAuthor%5D&amp;cauthor=true&amp;cauthor_uid=9192621" TargetMode="External"/><Relationship Id="rId848" Type="http://schemas.openxmlformats.org/officeDocument/2006/relationships/hyperlink" Target="https://www.ncbi.nlm.nih.gov/pubmed/?term=Mizokami%20K%5BAuthor%5D&amp;cauthor=true&amp;cauthor_uid=16951228" TargetMode="External"/><Relationship Id="rId1033" Type="http://schemas.openxmlformats.org/officeDocument/2006/relationships/hyperlink" Target="https://www.ncbi.nlm.nih.gov/pubmed/?term=Tong%20X%5BAuthor%5D&amp;cauthor=true&amp;cauthor_uid=22509023" TargetMode="External"/><Relationship Id="rId6" Type="http://schemas.openxmlformats.org/officeDocument/2006/relationships/webSettings" Target="webSettings.xml"/><Relationship Id="rId238" Type="http://schemas.openxmlformats.org/officeDocument/2006/relationships/hyperlink" Target="https://www.ncbi.nlm.nih.gov/pubmed/?term=Zancan%20P%5BAuthor%5D&amp;cauthor=true&amp;cauthor_uid=17666012" TargetMode="External"/><Relationship Id="rId445" Type="http://schemas.openxmlformats.org/officeDocument/2006/relationships/hyperlink" Target="https://www.ncbi.nlm.nih.gov/pubmed/?term=Yamaguchi%20K%5BAuthor%5D&amp;cauthor=true&amp;cauthor_uid=19795452" TargetMode="External"/><Relationship Id="rId487" Type="http://schemas.openxmlformats.org/officeDocument/2006/relationships/hyperlink" Target="https://www.ncbi.nlm.nih.gov/pubmed/?term=Cui%20J%5BAuthor%5D&amp;cauthor=true&amp;cauthor_uid=31000383" TargetMode="External"/><Relationship Id="rId610" Type="http://schemas.openxmlformats.org/officeDocument/2006/relationships/hyperlink" Target="https://www.ncbi.nlm.nih.gov/pubmed/?term=Baltazar%20F%5BAuthor%5D&amp;cauthor=true&amp;cauthor_uid=23258846" TargetMode="External"/><Relationship Id="rId652" Type="http://schemas.openxmlformats.org/officeDocument/2006/relationships/hyperlink" Target="https://www.ncbi.nlm.nih.gov/pubmed/?term=Park%20I%5BAuthor%5D&amp;cauthor=true&amp;cauthor_uid=20150380" TargetMode="External"/><Relationship Id="rId694" Type="http://schemas.openxmlformats.org/officeDocument/2006/relationships/hyperlink" Target="https://www.ncbi.nlm.nih.gov/pubmed/?term=Jub%C3%A9%20LF%5BAuthor%5D&amp;cauthor=true&amp;cauthor_uid=18753962" TargetMode="External"/><Relationship Id="rId708" Type="http://schemas.openxmlformats.org/officeDocument/2006/relationships/hyperlink" Target="https://www.ncbi.nlm.nih.gov/pubmed/?term=Mazurek%20S%5BAuthor%5D&amp;cauthor=true&amp;cauthor_uid=29468140" TargetMode="External"/><Relationship Id="rId915" Type="http://schemas.openxmlformats.org/officeDocument/2006/relationships/hyperlink" Target="https://www.ncbi.nlm.nih.gov/pubmed/?term=Bollen%20YJ%5BAuthor%5D&amp;cauthor=true&amp;cauthor_uid=24436182" TargetMode="External"/><Relationship Id="rId1075" Type="http://schemas.openxmlformats.org/officeDocument/2006/relationships/hyperlink" Target="https://www.ncbi.nlm.nih.gov/pubmed/?term=Leopold%20JA%5BAuthor%5D&amp;cauthor=true&amp;cauthor_uid=20032314" TargetMode="External"/><Relationship Id="rId291" Type="http://schemas.openxmlformats.org/officeDocument/2006/relationships/hyperlink" Target="https://www.ncbi.nlm.nih.gov/pubmed/?term=Guo%20Y%5BAuthor%5D&amp;cauthor=true&amp;cauthor_uid=27217331" TargetMode="External"/><Relationship Id="rId305" Type="http://schemas.openxmlformats.org/officeDocument/2006/relationships/hyperlink" Target="https://www.ncbi.nlm.nih.gov/pubmed/?term=Wang%20C%5BAuthor%5D&amp;cauthor=true&amp;cauthor_uid=23846818" TargetMode="External"/><Relationship Id="rId347" Type="http://schemas.openxmlformats.org/officeDocument/2006/relationships/hyperlink" Target="https://www.ncbi.nlm.nih.gov/pubmed/?term=Reinert%20S%5BAuthor%5D&amp;cauthor=true&amp;cauthor_uid=23184277" TargetMode="External"/><Relationship Id="rId512" Type="http://schemas.openxmlformats.org/officeDocument/2006/relationships/hyperlink" Target="https://www.ncbi.nlm.nih.gov/pubmed/?term=Goffeau%20A%5BAuthor%5D&amp;cauthor=true&amp;cauthor_uid=27983708" TargetMode="External"/><Relationship Id="rId957" Type="http://schemas.openxmlformats.org/officeDocument/2006/relationships/hyperlink" Target="https://www.ncbi.nlm.nih.gov/pubmed/?term=He%20Q%5BAuthor%5D&amp;cauthor=true&amp;cauthor_uid=29340090" TargetMode="External"/><Relationship Id="rId999" Type="http://schemas.openxmlformats.org/officeDocument/2006/relationships/hyperlink" Target="https://www.ncbi.nlm.nih.gov/pubmed/?term=Wang%20Y%5BAuthor%5D&amp;cauthor=true&amp;cauthor_uid=21618306" TargetMode="External"/><Relationship Id="rId44" Type="http://schemas.openxmlformats.org/officeDocument/2006/relationships/image" Target="media/image17.png"/><Relationship Id="rId86" Type="http://schemas.openxmlformats.org/officeDocument/2006/relationships/chart" Target="charts/chart20.xml"/><Relationship Id="rId151" Type="http://schemas.openxmlformats.org/officeDocument/2006/relationships/image" Target="media/image65.jpeg"/><Relationship Id="rId389" Type="http://schemas.openxmlformats.org/officeDocument/2006/relationships/hyperlink" Target="https://www.ncbi.nlm.nih.gov/pubmed/?term=Zhu%20Y%5BAuthor%5D&amp;cauthor=true&amp;cauthor_uid=23693134" TargetMode="External"/><Relationship Id="rId554" Type="http://schemas.openxmlformats.org/officeDocument/2006/relationships/hyperlink" Target="https://www.ncbi.nlm.nih.gov/pubmed/?term=Del%20Mazo-Monsalvo%20I%5BAuthor%5D&amp;cauthor=true&amp;cauthor_uid=27661776" TargetMode="External"/><Relationship Id="rId596" Type="http://schemas.openxmlformats.org/officeDocument/2006/relationships/hyperlink" Target="https://www.ncbi.nlm.nih.gov/pubmed/?term=Sun%20X%5BAuthor%5D&amp;cauthor=true&amp;cauthor_uid=24265197" TargetMode="External"/><Relationship Id="rId761" Type="http://schemas.openxmlformats.org/officeDocument/2006/relationships/hyperlink" Target="https://www.ncbi.nlm.nih.gov/pubmed/?term=LeBoeuf%20SE%5BAuthor%5D&amp;cauthor=true&amp;cauthor_uid=23426180" TargetMode="External"/><Relationship Id="rId817" Type="http://schemas.openxmlformats.org/officeDocument/2006/relationships/hyperlink" Target="https://www.ncbi.nlm.nih.gov/pubmed/?term=Song%20K%5BAuthor%5D&amp;cauthor=true&amp;cauthor_uid=24641416" TargetMode="External"/><Relationship Id="rId859" Type="http://schemas.openxmlformats.org/officeDocument/2006/relationships/hyperlink" Target="https://www.ncbi.nlm.nih.gov/pubmed/?term=Paku%20S%5BAuthor%5D&amp;cauthor=true&amp;cauthor_uid=28562340" TargetMode="External"/><Relationship Id="rId1002" Type="http://schemas.openxmlformats.org/officeDocument/2006/relationships/hyperlink" Target="https://www.ncbi.nlm.nih.gov/pubmed/?term=Koutcher%20JA%5BAuthor%5D&amp;cauthor=true&amp;cauthor_uid=21618306" TargetMode="External"/><Relationship Id="rId193" Type="http://schemas.openxmlformats.org/officeDocument/2006/relationships/hyperlink" Target="https://www.ncbi.nlm.nih.gov/pubmed/?term=Zamudio%20S%5BAuthor%5D&amp;cauthor=true&amp;cauthor_uid=17442736" TargetMode="External"/><Relationship Id="rId207" Type="http://schemas.openxmlformats.org/officeDocument/2006/relationships/hyperlink" Target="https://www.ncbi.nlm.nih.gov/pubmed/?term=Schwab%20M%5BAuthor%5D&amp;cauthor=true&amp;cauthor_uid=27791266" TargetMode="External"/><Relationship Id="rId249" Type="http://schemas.openxmlformats.org/officeDocument/2006/relationships/hyperlink" Target="https://www.ncbi.nlm.nih.gov/pubmed/?term=Wang%20T%5BAuthor%5D&amp;cauthor=true&amp;cauthor_uid=28193910" TargetMode="External"/><Relationship Id="rId414" Type="http://schemas.openxmlformats.org/officeDocument/2006/relationships/hyperlink" Target="https://www.ncbi.nlm.nih.gov/pubmed/?term=Gassmann%20M%5BAuthor%5D&amp;cauthor=true&amp;cauthor_uid=9436976" TargetMode="External"/><Relationship Id="rId456" Type="http://schemas.openxmlformats.org/officeDocument/2006/relationships/hyperlink" Target="https://www.ncbi.nlm.nih.gov/pubmed/?term=Pouyssegur%20J%5BAuthor%5D&amp;cauthor=true&amp;cauthor_uid=18538731" TargetMode="External"/><Relationship Id="rId498" Type="http://schemas.openxmlformats.org/officeDocument/2006/relationships/hyperlink" Target="https://www.ncbi.nlm.nih.gov/pubmed/?term=Shestov%20AA%5BAuthor%5D&amp;cauthor=true&amp;cauthor_uid=28918937" TargetMode="External"/><Relationship Id="rId621" Type="http://schemas.openxmlformats.org/officeDocument/2006/relationships/hyperlink" Target="https://www.ncbi.nlm.nih.gov/pubmed/?term=Pieper%20RO%5BAuthor%5D&amp;cauthor=true&amp;cauthor_uid=23451252" TargetMode="External"/><Relationship Id="rId663" Type="http://schemas.openxmlformats.org/officeDocument/2006/relationships/hyperlink" Target="https://www.ncbi.nlm.nih.gov/pubmed/?term=P%C3%A9rtega-Gomes%20N%5BAuthor%5D&amp;cauthor=true&amp;cauthor_uid=21787388" TargetMode="External"/><Relationship Id="rId870" Type="http://schemas.openxmlformats.org/officeDocument/2006/relationships/hyperlink" Target="https://www.ncbi.nlm.nih.gov/pubmed/?term=Kelloff%20GJ%5BAuthor%5D&amp;cauthor=true&amp;cauthor_uid=17118889" TargetMode="External"/><Relationship Id="rId1044" Type="http://schemas.openxmlformats.org/officeDocument/2006/relationships/hyperlink" Target="https://www.ncbi.nlm.nih.gov/pubmed/?term=Lee%20M%5BAuthor%5D&amp;cauthor=true&amp;cauthor_uid=15640157" TargetMode="External"/><Relationship Id="rId13" Type="http://schemas.openxmlformats.org/officeDocument/2006/relationships/image" Target="media/image2.png"/><Relationship Id="rId109" Type="http://schemas.openxmlformats.org/officeDocument/2006/relationships/chart" Target="charts/chart43.xml"/><Relationship Id="rId260" Type="http://schemas.openxmlformats.org/officeDocument/2006/relationships/hyperlink" Target="https://www.ncbi.nlm.nih.gov/pubmed/?term=Chen%20T%5BAuthor%5D&amp;cauthor=true&amp;cauthor_uid=23288510" TargetMode="External"/><Relationship Id="rId316" Type="http://schemas.openxmlformats.org/officeDocument/2006/relationships/hyperlink" Target="https://www.ncbi.nlm.nih.gov/pubmed/?term=Edinger%20M%5BAuthor%5D&amp;cauthor=true&amp;cauthor_uid=17255361" TargetMode="External"/><Relationship Id="rId523" Type="http://schemas.openxmlformats.org/officeDocument/2006/relationships/hyperlink" Target="https://www.ncbi.nlm.nih.gov/pubmed/?term=Ding%20ZB%5BAuthor%5D&amp;cauthor=true&amp;cauthor_uid=25514599" TargetMode="External"/><Relationship Id="rId719" Type="http://schemas.openxmlformats.org/officeDocument/2006/relationships/hyperlink" Target="https://www.ncbi.nlm.nih.gov/pubmed/?term=Truini%20M%5BAuthor%5D&amp;cauthor=true&amp;cauthor_uid=23988223" TargetMode="External"/><Relationship Id="rId926" Type="http://schemas.openxmlformats.org/officeDocument/2006/relationships/hyperlink" Target="https://www.ncbi.nlm.nih.gov/pubmed/?term=Wagner%20GR%5BAuthor%5D&amp;cauthor=true&amp;cauthor_uid=28380375" TargetMode="External"/><Relationship Id="rId968" Type="http://schemas.openxmlformats.org/officeDocument/2006/relationships/hyperlink" Target="https://www.ncbi.nlm.nih.gov/pubmed/?term=Loo%20TY%5BAuthor%5D&amp;cauthor=true&amp;cauthor_uid=21452021" TargetMode="External"/><Relationship Id="rId55" Type="http://schemas.openxmlformats.org/officeDocument/2006/relationships/image" Target="media/image28.png"/><Relationship Id="rId97" Type="http://schemas.openxmlformats.org/officeDocument/2006/relationships/chart" Target="charts/chart31.xml"/><Relationship Id="rId120" Type="http://schemas.openxmlformats.org/officeDocument/2006/relationships/chart" Target="charts/chart54.xml"/><Relationship Id="rId358" Type="http://schemas.openxmlformats.org/officeDocument/2006/relationships/hyperlink" Target="https://www.ncbi.nlm.nih.gov/pubmed/?term=Ma%20Q%5BAuthor%5D&amp;cauthor=true&amp;cauthor_uid=22087246" TargetMode="External"/><Relationship Id="rId565" Type="http://schemas.openxmlformats.org/officeDocument/2006/relationships/hyperlink" Target="https://www.ncbi.nlm.nih.gov/pubmed/?term=L%C3%B3pez-Ram%C3%ADrez%20SY%5BAuthor%5D&amp;cauthor=true&amp;cauthor_uid=24912776" TargetMode="External"/><Relationship Id="rId730" Type="http://schemas.openxmlformats.org/officeDocument/2006/relationships/hyperlink" Target="https://www.ncbi.nlm.nih.gov/pubmed/?term=Vertommen%20D%5BAuthor%5D&amp;cauthor=true&amp;cauthor_uid=15170386" TargetMode="External"/><Relationship Id="rId772" Type="http://schemas.openxmlformats.org/officeDocument/2006/relationships/hyperlink" Target="https://www.ncbi.nlm.nih.gov/pubmed/?term=Seagroves%20TN%5BAuthor%5D&amp;cauthor=true&amp;cauthor_uid=11313469" TargetMode="External"/><Relationship Id="rId828" Type="http://schemas.openxmlformats.org/officeDocument/2006/relationships/hyperlink" Target="https://www.ncbi.nlm.nih.gov/pubmed/?term=Verrax%20J%5BAuthor%5D&amp;cauthor=true&amp;cauthor_uid=19033663" TargetMode="External"/><Relationship Id="rId1013" Type="http://schemas.openxmlformats.org/officeDocument/2006/relationships/hyperlink" Target="https://www.ncbi.nlm.nih.gov/pubmed/?term=Manabe%20T%5BAuthor%5D&amp;cauthor=true&amp;cauthor_uid=2372287" TargetMode="External"/><Relationship Id="rId162" Type="http://schemas.openxmlformats.org/officeDocument/2006/relationships/image" Target="media/image76.jpeg"/><Relationship Id="rId218" Type="http://schemas.openxmlformats.org/officeDocument/2006/relationships/hyperlink" Target="https://www.ncbi.nlm.nih.gov/pubmed/?term=Xu%20Q%5BAuthor%5D&amp;cauthor=true&amp;cauthor_uid=31241439" TargetMode="External"/><Relationship Id="rId425" Type="http://schemas.openxmlformats.org/officeDocument/2006/relationships/hyperlink" Target="https://www.ncbi.nlm.nih.gov/pubmed/?term=Moon%20HG%5BAuthor%5D&amp;cauthor=true&amp;cauthor_uid=27184798" TargetMode="External"/><Relationship Id="rId467" Type="http://schemas.openxmlformats.org/officeDocument/2006/relationships/hyperlink" Target="https://www.ncbi.nlm.nih.gov/pubmed/?term=Noh%20H%5BAuthor%5D&amp;cauthor=true&amp;cauthor_uid=25892225" TargetMode="External"/><Relationship Id="rId632" Type="http://schemas.openxmlformats.org/officeDocument/2006/relationships/hyperlink" Target="https://www.ncbi.nlm.nih.gov/pubmed/?term=Higashino%20F%5BAuthor%5D&amp;cauthor=true&amp;cauthor_uid=17651733" TargetMode="External"/><Relationship Id="rId1055" Type="http://schemas.openxmlformats.org/officeDocument/2006/relationships/hyperlink" Target="https://www.ncbi.nlm.nih.gov/pubmed/?term=Giannopoulou%20EG%5BAuthor%5D&amp;cauthor=true&amp;cauthor_uid=26541605" TargetMode="External"/><Relationship Id="rId271" Type="http://schemas.openxmlformats.org/officeDocument/2006/relationships/hyperlink" Target="https://www.ncbi.nlm.nih.gov/pubmed/?term=Gillies%20RJ%5BAuthor%5D&amp;cauthor=true&amp;cauthor_uid=23288510" TargetMode="External"/><Relationship Id="rId674" Type="http://schemas.openxmlformats.org/officeDocument/2006/relationships/hyperlink" Target="https://www.ncbi.nlm.nih.gov/pubmed/?term=Pinheiro%20C%5BAuthor%5D&amp;cauthor=true&amp;cauthor_uid=20636790" TargetMode="External"/><Relationship Id="rId881" Type="http://schemas.openxmlformats.org/officeDocument/2006/relationships/hyperlink" Target="https://www.ncbi.nlm.nih.gov/pubmed/?term=Krishna%20MC%5BAuthor%5D&amp;cauthor=true&amp;cauthor_uid=17118889" TargetMode="External"/><Relationship Id="rId937" Type="http://schemas.openxmlformats.org/officeDocument/2006/relationships/hyperlink" Target="https://www.ncbi.nlm.nih.gov/pubmed/?term=Hirschey%20MD%5BAuthor%5D&amp;cauthor=true&amp;cauthor_uid=28380375" TargetMode="External"/><Relationship Id="rId979" Type="http://schemas.openxmlformats.org/officeDocument/2006/relationships/hyperlink" Target="https://www.ncbi.nlm.nih.gov/pubmed/?term=Scholze%20CK%5BAuthor%5D&amp;cauthor=true&amp;cauthor_uid=12490539" TargetMode="External"/><Relationship Id="rId24" Type="http://schemas.openxmlformats.org/officeDocument/2006/relationships/hyperlink" Target="https://www.sciencedirect.com/topics/biochemistry-genetics-and-molecular-biology/phosphoglycerate-dehydrogenase" TargetMode="External"/><Relationship Id="rId66" Type="http://schemas.openxmlformats.org/officeDocument/2006/relationships/chart" Target="charts/chart1.xml"/><Relationship Id="rId131" Type="http://schemas.openxmlformats.org/officeDocument/2006/relationships/image" Target="media/image45.jpeg"/><Relationship Id="rId327" Type="http://schemas.openxmlformats.org/officeDocument/2006/relationships/hyperlink" Target="https://www.ncbi.nlm.nih.gov/pubmed/?term=Kreutz%20M%5BAuthor%5D&amp;cauthor=true&amp;cauthor_uid=17255361" TargetMode="External"/><Relationship Id="rId369" Type="http://schemas.openxmlformats.org/officeDocument/2006/relationships/hyperlink" Target="https://www.ncbi.nlm.nih.gov/pubmed/?term=Harada%20T%5BAuthor%5D&amp;cauthor=true&amp;cauthor_uid=27210058" TargetMode="External"/><Relationship Id="rId534" Type="http://schemas.openxmlformats.org/officeDocument/2006/relationships/hyperlink" Target="https://www.ncbi.nlm.nih.gov/pubmed/?term=Little%20JB%5BAuthor%5D&amp;cauthor=true&amp;cauthor_uid=25784656" TargetMode="External"/><Relationship Id="rId576" Type="http://schemas.openxmlformats.org/officeDocument/2006/relationships/hyperlink" Target="https://www.ncbi.nlm.nih.gov/pubmed/?term=Mathupala%20SP%5BAuthor%5D&amp;cauthor=true&amp;cauthor_uid=16892090" TargetMode="External"/><Relationship Id="rId741" Type="http://schemas.openxmlformats.org/officeDocument/2006/relationships/hyperlink" Target="https://www.ncbi.nlm.nih.gov/pubmed/?term=L%C3%B3pez-Santill%C3%A1n%20FJ%5BAuthor%5D&amp;cauthor=true&amp;cauthor_uid=19109946" TargetMode="External"/><Relationship Id="rId783" Type="http://schemas.openxmlformats.org/officeDocument/2006/relationships/hyperlink" Target="https://www.ncbi.nlm.nih.gov/pubmed/?term=Bhujwalla%20Z%5BAuthor%5D&amp;cauthor=true&amp;cauthor_uid=11727934" TargetMode="External"/><Relationship Id="rId839" Type="http://schemas.openxmlformats.org/officeDocument/2006/relationships/hyperlink" Target="https://www.ncbi.nlm.nih.gov/pubmed/?term=Spoden%20GA%5BAuthor%5D&amp;cauthor=true&amp;cauthor_uid=19563799" TargetMode="External"/><Relationship Id="rId990" Type="http://schemas.openxmlformats.org/officeDocument/2006/relationships/hyperlink" Target="https://www.ncbi.nlm.nih.gov/pubmed/?term=Wilson%20WR%5BAuthor%5D&amp;cauthor=true&amp;cauthor_uid=21606941" TargetMode="External"/><Relationship Id="rId173" Type="http://schemas.openxmlformats.org/officeDocument/2006/relationships/hyperlink" Target="https://www.ncbi.nlm.nih.gov/pubmed/?term=Jiang%20JK%5BAuthor%5D&amp;cauthor=true&amp;cauthor_uid=22052977" TargetMode="External"/><Relationship Id="rId229" Type="http://schemas.openxmlformats.org/officeDocument/2006/relationships/hyperlink" Target="https://www.ncbi.nlm.nih.gov/pubmed/?term=Colell%20A%5BAuthor%5D&amp;cauthor=true&amp;cauthor_uid=19779498" TargetMode="External"/><Relationship Id="rId380" Type="http://schemas.openxmlformats.org/officeDocument/2006/relationships/hyperlink" Target="https://www.ncbi.nlm.nih.gov/pubmed/?term=Kollmar%20HB%5BAuthor%5D&amp;cauthor=true&amp;cauthor_uid=7882338" TargetMode="External"/><Relationship Id="rId436" Type="http://schemas.openxmlformats.org/officeDocument/2006/relationships/hyperlink" Target="https://www.ncbi.nlm.nih.gov/pubmed/?term=Vigneron%20DB%5BAuthor%5D&amp;cauthor=true&amp;cauthor_uid=23532911" TargetMode="External"/><Relationship Id="rId601" Type="http://schemas.openxmlformats.org/officeDocument/2006/relationships/hyperlink" Target="https://www.ncbi.nlm.nih.gov/pubmed/?term=Pinheiro%20C%5BAuthor%5D&amp;cauthor=true&amp;cauthor_uid=23258846" TargetMode="External"/><Relationship Id="rId643" Type="http://schemas.openxmlformats.org/officeDocument/2006/relationships/hyperlink" Target="https://www.ncbi.nlm.nih.gov/pubmed/?term=Carrico%20C%5BAuthor%5D&amp;cauthor=true&amp;cauthor_uid=26073543" TargetMode="External"/><Relationship Id="rId1024" Type="http://schemas.openxmlformats.org/officeDocument/2006/relationships/hyperlink" Target="https://www.ncbi.nlm.nih.gov/pubmed/?term=Quennet%20V%5BAuthor%5D&amp;cauthor=true&amp;cauthor_uid=19895274" TargetMode="External"/><Relationship Id="rId1066" Type="http://schemas.openxmlformats.org/officeDocument/2006/relationships/hyperlink" Target="https://www.ncbi.nlm.nih.gov/pubmed/?term=Cantley%20LC%5BAuthor%5D&amp;cauthor=true&amp;cauthor_uid=26541605" TargetMode="External"/><Relationship Id="rId240" Type="http://schemas.openxmlformats.org/officeDocument/2006/relationships/hyperlink" Target="https://www.ncbi.nlm.nih.gov/pubmed/?term=Cui%20XG%5BAuthor%5D&amp;cauthor=true&amp;cauthor_uid=28193910" TargetMode="External"/><Relationship Id="rId478" Type="http://schemas.openxmlformats.org/officeDocument/2006/relationships/hyperlink" Target="https://www.ncbi.nlm.nih.gov/pubmed/?term=Demidenko%20ZN%5BAuthor%5D&amp;cauthor=true&amp;cauthor_uid=24810050" TargetMode="External"/><Relationship Id="rId685" Type="http://schemas.openxmlformats.org/officeDocument/2006/relationships/hyperlink" Target="https://www.ncbi.nlm.nih.gov/pubmed/?term=Casal%20M%5BAuthor%5D&amp;cauthor=true&amp;cauthor_uid=22407107" TargetMode="External"/><Relationship Id="rId850" Type="http://schemas.openxmlformats.org/officeDocument/2006/relationships/hyperlink" Target="https://www.ncbi.nlm.nih.gov/pubmed/?term=Maehara%20Y%5BAuthor%5D&amp;cauthor=true&amp;cauthor_uid=16951228" TargetMode="External"/><Relationship Id="rId892" Type="http://schemas.openxmlformats.org/officeDocument/2006/relationships/hyperlink" Target="https://www.ncbi.nlm.nih.gov/pubmed/?term=Swartz%20HM%5BAuthor%5D&amp;cauthor=true&amp;cauthor_uid=17118889" TargetMode="External"/><Relationship Id="rId906" Type="http://schemas.openxmlformats.org/officeDocument/2006/relationships/hyperlink" Target="https://www.ncbi.nlm.nih.gov/pubmed/?term=Valet%20GK%5BAuthor%5D&amp;cauthor=true&amp;cauthor_uid=10440855" TargetMode="External"/><Relationship Id="rId948" Type="http://schemas.openxmlformats.org/officeDocument/2006/relationships/hyperlink" Target="https://www.ncbi.nlm.nih.gov/pubmed/?term=Mueller-Klieser%20W%5BAuthor%5D&amp;cauthor=true&amp;cauthor_uid=9033256" TargetMode="External"/><Relationship Id="rId35" Type="http://schemas.openxmlformats.org/officeDocument/2006/relationships/image" Target="media/image11.png"/><Relationship Id="rId77" Type="http://schemas.openxmlformats.org/officeDocument/2006/relationships/chart" Target="charts/chart12.xml"/><Relationship Id="rId100" Type="http://schemas.openxmlformats.org/officeDocument/2006/relationships/chart" Target="charts/chart34.xml"/><Relationship Id="rId282" Type="http://schemas.openxmlformats.org/officeDocument/2006/relationships/hyperlink" Target="https://www.ncbi.nlm.nih.gov/pubmed/?term=Fang%20Z%5BAuthor%5D&amp;cauthor=true&amp;cauthor_uid=27217331" TargetMode="External"/><Relationship Id="rId338" Type="http://schemas.openxmlformats.org/officeDocument/2006/relationships/hyperlink" Target="https://www.ncbi.nlm.nih.gov/pubmed/?term=Jacks%20T%5BAuthor%5D&amp;cauthor=true&amp;cauthor_uid=8538748" TargetMode="External"/><Relationship Id="rId503" Type="http://schemas.openxmlformats.org/officeDocument/2006/relationships/hyperlink" Target="https://www.ncbi.nlm.nih.gov/pubmed/?term=McDonnell%20DP%5BAuthor%5D&amp;cauthor=true&amp;cauthor_uid=28918937" TargetMode="External"/><Relationship Id="rId545" Type="http://schemas.openxmlformats.org/officeDocument/2006/relationships/hyperlink" Target="https://www.ncbi.nlm.nih.gov/pubmed/?term=Duan%20Y%5BAuthor%5D&amp;cauthor=true&amp;cauthor_uid=23377827" TargetMode="External"/><Relationship Id="rId587" Type="http://schemas.openxmlformats.org/officeDocument/2006/relationships/hyperlink" Target="https://www.ncbi.nlm.nih.gov/pubmed/?term=Mazurek%20S%5BAuthor%5D&amp;cauthor=true&amp;cauthor_uid=11895152" TargetMode="External"/><Relationship Id="rId710" Type="http://schemas.openxmlformats.org/officeDocument/2006/relationships/hyperlink" Target="https://www.ncbi.nlm.nih.gov/pubmed/?term=Savarino%20G%5BAuthor%5D&amp;cauthor=true&amp;cauthor_uid=23988223" TargetMode="External"/><Relationship Id="rId752" Type="http://schemas.openxmlformats.org/officeDocument/2006/relationships/hyperlink" Target="https://www.ncbi.nlm.nih.gov/pubmed/?term=Ni%20X%5BAuthor%5D&amp;cauthor=true&amp;cauthor_uid=23404405" TargetMode="External"/><Relationship Id="rId808" Type="http://schemas.openxmlformats.org/officeDocument/2006/relationships/hyperlink" Target="https://www.ncbi.nlm.nih.gov/pubmed/?term=Dang%20G%5BAuthor%5D&amp;cauthor=true&amp;cauthor_uid=9192621" TargetMode="External"/><Relationship Id="rId8" Type="http://schemas.openxmlformats.org/officeDocument/2006/relationships/endnotes" Target="endnotes.xml"/><Relationship Id="rId142" Type="http://schemas.openxmlformats.org/officeDocument/2006/relationships/image" Target="media/image56.jpeg"/><Relationship Id="rId184" Type="http://schemas.openxmlformats.org/officeDocument/2006/relationships/hyperlink" Target="https://www.ncbi.nlm.nih.gov/pubmed/?term=Bonatesta%20RR%5BAuthor%5D&amp;cauthor=true&amp;cauthor_uid=10403541" TargetMode="External"/><Relationship Id="rId391" Type="http://schemas.openxmlformats.org/officeDocument/2006/relationships/hyperlink" Target="https://www.ncbi.nlm.nih.gov/pubmed/?term=Ghergurovich%20JM%5BAuthor%5D&amp;cauthor=true&amp;cauthor_uid=29045397" TargetMode="External"/><Relationship Id="rId405" Type="http://schemas.openxmlformats.org/officeDocument/2006/relationships/hyperlink" Target="https://www.ncbi.nlm.nih.gov/pubmed/?term=Sasamoto%20K%5BAuthor%5D&amp;cauthor=true&amp;cauthor_uid=8951178" TargetMode="External"/><Relationship Id="rId447" Type="http://schemas.openxmlformats.org/officeDocument/2006/relationships/hyperlink" Target="https://www.ncbi.nlm.nih.gov/pubmed/?term=Matsumura%20N%5BAuthor%5D&amp;cauthor=true&amp;cauthor_uid=19795452" TargetMode="External"/><Relationship Id="rId612" Type="http://schemas.openxmlformats.org/officeDocument/2006/relationships/hyperlink" Target="https://www.ncbi.nlm.nih.gov/pubmed/?term=Richardson%20S%5BAuthor%5D&amp;cauthor=true&amp;cauthor_uid=16136514" TargetMode="External"/><Relationship Id="rId794" Type="http://schemas.openxmlformats.org/officeDocument/2006/relationships/hyperlink" Target="https://www.ncbi.nlm.nih.gov/pubmed/?term=Liu%20X%5BAuthor%5D&amp;cauthor=true&amp;cauthor_uid=25009227" TargetMode="External"/><Relationship Id="rId1035" Type="http://schemas.openxmlformats.org/officeDocument/2006/relationships/hyperlink" Target="https://www.ncbi.nlm.nih.gov/pubmed/?term=Fan%20J%5BAuthor%5D&amp;cauthor=true&amp;cauthor_uid=22509023" TargetMode="External"/><Relationship Id="rId1077" Type="http://schemas.openxmlformats.org/officeDocument/2006/relationships/hyperlink" Target="https://www.ncbi.nlm.nih.gov/pubmed/?term=Guo%20L%5BAuthor%5D&amp;cauthor=true&amp;cauthor_uid=20032314" TargetMode="External"/><Relationship Id="rId251" Type="http://schemas.openxmlformats.org/officeDocument/2006/relationships/hyperlink" Target="https://www.ncbi.nlm.nih.gov/pubmed/?term=Song%20DW%5BAuthor%5D&amp;cauthor=true&amp;cauthor_uid=28193910" TargetMode="External"/><Relationship Id="rId489" Type="http://schemas.openxmlformats.org/officeDocument/2006/relationships/hyperlink" Target="https://www.ncbi.nlm.nih.gov/pubmed/?term=Li%20W%5BAuthor%5D&amp;cauthor=true&amp;cauthor_uid=30455857" TargetMode="External"/><Relationship Id="rId654" Type="http://schemas.openxmlformats.org/officeDocument/2006/relationships/hyperlink" Target="https://www.ncbi.nlm.nih.gov/pubmed/?term=Zierhut%20ML%5BAuthor%5D&amp;cauthor=true&amp;cauthor_uid=20150380" TargetMode="External"/><Relationship Id="rId696" Type="http://schemas.openxmlformats.org/officeDocument/2006/relationships/hyperlink" Target="https://www.ncbi.nlm.nih.gov/pubmed/?term=Schmitt%20F%5BAuthor%5D&amp;cauthor=true&amp;cauthor_uid=18753962" TargetMode="External"/><Relationship Id="rId861" Type="http://schemas.openxmlformats.org/officeDocument/2006/relationships/hyperlink" Target="https://www.ncbi.nlm.nih.gov/pubmed/?term=Garay%20T%5BAuthor%5D&amp;cauthor=true&amp;cauthor_uid=28562340" TargetMode="External"/><Relationship Id="rId917" Type="http://schemas.openxmlformats.org/officeDocument/2006/relationships/hyperlink" Target="https://www.ncbi.nlm.nih.gov/pubmed/?term=Hulshof%20J%5BAuthor%5D&amp;cauthor=true&amp;cauthor_uid=24436182" TargetMode="External"/><Relationship Id="rId959" Type="http://schemas.openxmlformats.org/officeDocument/2006/relationships/hyperlink" Target="https://www.ncbi.nlm.nih.gov/pubmed/?term=Sun%20J%5BAuthor%5D&amp;cauthor=true&amp;cauthor_uid=29340090" TargetMode="External"/><Relationship Id="rId46" Type="http://schemas.openxmlformats.org/officeDocument/2006/relationships/image" Target="media/image19.png"/><Relationship Id="rId293" Type="http://schemas.openxmlformats.org/officeDocument/2006/relationships/hyperlink" Target="https://www.ncbi.nlm.nih.gov/pubmed/?term=Doucette%20S%5BAuthor%5D&amp;cauthor=true&amp;cauthor_uid=28985563" TargetMode="External"/><Relationship Id="rId307" Type="http://schemas.openxmlformats.org/officeDocument/2006/relationships/hyperlink" Target="https://www.ncbi.nlm.nih.gov/pubmed/?term=Zhang%20W%5BAuthor%5D&amp;cauthor=true&amp;cauthor_uid=23846818" TargetMode="External"/><Relationship Id="rId349" Type="http://schemas.openxmlformats.org/officeDocument/2006/relationships/hyperlink" Target="https://www.ncbi.nlm.nih.gov/pubmed/?term=Zhang%20L%5BAuthor%5D&amp;cauthor=true&amp;cauthor_uid=26135947" TargetMode="External"/><Relationship Id="rId514" Type="http://schemas.openxmlformats.org/officeDocument/2006/relationships/hyperlink" Target="https://www.ncbi.nlm.nih.gov/pubmed/?term=Liu%20H%5BAuthor%5D&amp;cauthor=true&amp;cauthor_uid=11331019" TargetMode="External"/><Relationship Id="rId556" Type="http://schemas.openxmlformats.org/officeDocument/2006/relationships/hyperlink" Target="https://www.ncbi.nlm.nih.gov/pubmed/?term=Moreno-S%C3%A1nchez%20R%5BAuthor%5D&amp;cauthor=true&amp;cauthor_uid=27661776" TargetMode="External"/><Relationship Id="rId721" Type="http://schemas.openxmlformats.org/officeDocument/2006/relationships/hyperlink" Target="https://www.ncbi.nlm.nih.gov/pubmed/?term=Pfeffer%20U%5BAuthor%5D&amp;cauthor=true&amp;cauthor_uid=23988223" TargetMode="External"/><Relationship Id="rId763" Type="http://schemas.openxmlformats.org/officeDocument/2006/relationships/hyperlink" Target="https://www.ncbi.nlm.nih.gov/pubmed/?term=Yagi%20T%5BAuthor%5D&amp;cauthor=true&amp;cauthor_uid=23426180" TargetMode="External"/><Relationship Id="rId88" Type="http://schemas.openxmlformats.org/officeDocument/2006/relationships/chart" Target="charts/chart22.xml"/><Relationship Id="rId111" Type="http://schemas.openxmlformats.org/officeDocument/2006/relationships/chart" Target="charts/chart45.xml"/><Relationship Id="rId153" Type="http://schemas.openxmlformats.org/officeDocument/2006/relationships/image" Target="media/image67.jpeg"/><Relationship Id="rId195" Type="http://schemas.openxmlformats.org/officeDocument/2006/relationships/hyperlink" Target="https://www.ncbi.nlm.nih.gov/pubmed/?term=Bluemlein%20K%5BAuthor%5D&amp;cauthor=true&amp;cauthor_uid=21789790" TargetMode="External"/><Relationship Id="rId209" Type="http://schemas.openxmlformats.org/officeDocument/2006/relationships/hyperlink" Target="https://www.ncbi.nlm.nih.gov/pubmed/?term=Carvalho%20RS%5BAuthor%5D&amp;cauthor=true&amp;cauthor_uid=27791266" TargetMode="External"/><Relationship Id="rId360" Type="http://schemas.openxmlformats.org/officeDocument/2006/relationships/hyperlink" Target="https://www.ncbi.nlm.nih.gov/pubmed/?term=Liu%20H%5BAuthor%5D&amp;cauthor=true&amp;cauthor_uid=22087246" TargetMode="External"/><Relationship Id="rId416" Type="http://schemas.openxmlformats.org/officeDocument/2006/relationships/hyperlink" Target="https://www.ncbi.nlm.nih.gov/pubmed/?term=Lawler%20AM%5BAuthor%5D&amp;cauthor=true&amp;cauthor_uid=9436976" TargetMode="External"/><Relationship Id="rId598" Type="http://schemas.openxmlformats.org/officeDocument/2006/relationships/hyperlink" Target="https://www.ncbi.nlm.nih.gov/pubmed/?term=Huang%20G%5BAuthor%5D&amp;cauthor=true&amp;cauthor_uid=24265197" TargetMode="External"/><Relationship Id="rId819" Type="http://schemas.openxmlformats.org/officeDocument/2006/relationships/hyperlink" Target="https://www.ncbi.nlm.nih.gov/pubmed/?term=Xu%20XJ%5BAuthor%5D&amp;cauthor=true&amp;cauthor_uid=24641416" TargetMode="External"/><Relationship Id="rId970" Type="http://schemas.openxmlformats.org/officeDocument/2006/relationships/hyperlink" Target="https://www.ncbi.nlm.nih.gov/pubmed/?term=Wang%20N%5BAuthor%5D&amp;cauthor=true&amp;cauthor_uid=21452021" TargetMode="External"/><Relationship Id="rId1004" Type="http://schemas.openxmlformats.org/officeDocument/2006/relationships/hyperlink" Target="https://www.ncbi.nlm.nih.gov/pubmed/?term=Noguchi%20T%5BAuthor%5D&amp;cauthor=true&amp;cauthor_uid=9854017" TargetMode="External"/><Relationship Id="rId1046" Type="http://schemas.openxmlformats.org/officeDocument/2006/relationships/hyperlink" Target="https://www.ncbi.nlm.nih.gov/pubmed/?term=Ha%20J%5BAuthor%5D&amp;cauthor=true&amp;cauthor_uid=15640157" TargetMode="External"/><Relationship Id="rId220" Type="http://schemas.openxmlformats.org/officeDocument/2006/relationships/hyperlink" Target="https://www.ncbi.nlm.nih.gov/pubmed/?term=Han%20L%5BAuthor%5D&amp;cauthor=true&amp;cauthor_uid=31241439" TargetMode="External"/><Relationship Id="rId458" Type="http://schemas.openxmlformats.org/officeDocument/2006/relationships/hyperlink" Target="https://www.ncbi.nlm.nih.gov/pubmed/?term=Sohn%20HA%5BAuthor%5D&amp;cauthor=true&amp;cauthor_uid=25892225" TargetMode="External"/><Relationship Id="rId623" Type="http://schemas.openxmlformats.org/officeDocument/2006/relationships/hyperlink" Target="https://www.ncbi.nlm.nih.gov/pubmed/?term=Horiuchi%20Y%5BAuthor%5D&amp;cauthor=true&amp;cauthor_uid=25713368" TargetMode="External"/><Relationship Id="rId665" Type="http://schemas.openxmlformats.org/officeDocument/2006/relationships/hyperlink" Target="https://www.ncbi.nlm.nih.gov/pubmed/?term=Miranda-Gon%C3%A7alves%20V%5BAuthor%5D&amp;cauthor=true&amp;cauthor_uid=21787388" TargetMode="External"/><Relationship Id="rId830" Type="http://schemas.openxmlformats.org/officeDocument/2006/relationships/hyperlink" Target="https://www.ncbi.nlm.nih.gov/pubmed/?term=De%20Saedeleer%20CJ%5BAuthor%5D&amp;cauthor=true&amp;cauthor_uid=19033663" TargetMode="External"/><Relationship Id="rId872" Type="http://schemas.openxmlformats.org/officeDocument/2006/relationships/hyperlink" Target="https://www.ncbi.nlm.nih.gov/pubmed/?term=Arbeit%20JM%5BAuthor%5D&amp;cauthor=true&amp;cauthor_uid=17118889" TargetMode="External"/><Relationship Id="rId928" Type="http://schemas.openxmlformats.org/officeDocument/2006/relationships/hyperlink" Target="https://www.ncbi.nlm.nih.gov/pubmed/?term=O%27Connell%20TM%5BAuthor%5D&amp;cauthor=true&amp;cauthor_uid=28380375" TargetMode="External"/><Relationship Id="rId15" Type="http://schemas.openxmlformats.org/officeDocument/2006/relationships/hyperlink" Target="https://www.sciencedirect.com/topics/biochemistry-genetics-and-molecular-biology/glucose-6-phosphate" TargetMode="External"/><Relationship Id="rId57" Type="http://schemas.openxmlformats.org/officeDocument/2006/relationships/image" Target="media/image30.jpeg"/><Relationship Id="rId262" Type="http://schemas.openxmlformats.org/officeDocument/2006/relationships/hyperlink" Target="https://www.ncbi.nlm.nih.gov/pubmed/?term=Wojtkowiak%20J%5BAuthor%5D&amp;cauthor=true&amp;cauthor_uid=23288510" TargetMode="External"/><Relationship Id="rId318" Type="http://schemas.openxmlformats.org/officeDocument/2006/relationships/hyperlink" Target="https://www.ncbi.nlm.nih.gov/pubmed/?term=Schwarz%20S%5BAuthor%5D&amp;cauthor=true&amp;cauthor_uid=17255361" TargetMode="External"/><Relationship Id="rId525" Type="http://schemas.openxmlformats.org/officeDocument/2006/relationships/hyperlink" Target="https://www.ncbi.nlm.nih.gov/pubmed/?term=Peng%20YF%5BAuthor%5D&amp;cauthor=true&amp;cauthor_uid=25514599" TargetMode="External"/><Relationship Id="rId567" Type="http://schemas.openxmlformats.org/officeDocument/2006/relationships/hyperlink" Target="https://www.ncbi.nlm.nih.gov/pubmed/?term=Gallardo-P%C3%A9rez%20JC%5BAuthor%5D&amp;cauthor=true&amp;cauthor_uid=24912776" TargetMode="External"/><Relationship Id="rId732" Type="http://schemas.openxmlformats.org/officeDocument/2006/relationships/hyperlink" Target="https://www.ncbi.nlm.nih.gov/pubmed/?term=Rousseau%20GG%5BAuthor%5D&amp;cauthor=true&amp;cauthor_uid=15170386" TargetMode="External"/><Relationship Id="rId99" Type="http://schemas.openxmlformats.org/officeDocument/2006/relationships/chart" Target="charts/chart33.xml"/><Relationship Id="rId122" Type="http://schemas.openxmlformats.org/officeDocument/2006/relationships/chart" Target="charts/chart56.xml"/><Relationship Id="rId164" Type="http://schemas.openxmlformats.org/officeDocument/2006/relationships/image" Target="media/image78.jpeg"/><Relationship Id="rId371" Type="http://schemas.openxmlformats.org/officeDocument/2006/relationships/hyperlink" Target="https://www.ncbi.nlm.nih.gov/pubmed/?term=Hildebrandt%20T%5BAuthor%5D&amp;cauthor=true&amp;cauthor_uid=25581756" TargetMode="External"/><Relationship Id="rId774" Type="http://schemas.openxmlformats.org/officeDocument/2006/relationships/hyperlink" Target="https://www.ncbi.nlm.nih.gov/pubmed/?term=Lu%20H%5BAuthor%5D&amp;cauthor=true&amp;cauthor_uid=11313469" TargetMode="External"/><Relationship Id="rId981" Type="http://schemas.openxmlformats.org/officeDocument/2006/relationships/hyperlink" Target="https://www.ncbi.nlm.nih.gov/pubmed/?term=Warnecke%20C%5BAuthor%5D&amp;cauthor=true&amp;cauthor_uid=12490539" TargetMode="External"/><Relationship Id="rId1015" Type="http://schemas.openxmlformats.org/officeDocument/2006/relationships/hyperlink" Target="https://www.ncbi.nlm.nih.gov/pubmed/?term=Yang%20X%5BAuthor%5D&amp;cauthor=true&amp;cauthor_uid=9038867" TargetMode="External"/><Relationship Id="rId1057" Type="http://schemas.openxmlformats.org/officeDocument/2006/relationships/hyperlink" Target="https://www.ncbi.nlm.nih.gov/pubmed/?term=Muley%20A%5BAuthor%5D&amp;cauthor=true&amp;cauthor_uid=26541605" TargetMode="External"/><Relationship Id="rId427" Type="http://schemas.openxmlformats.org/officeDocument/2006/relationships/hyperlink" Target="https://www.ncbi.nlm.nih.gov/pubmed/?term=Kim%20K%5BAuthor%5D&amp;cauthor=true&amp;cauthor_uid=27184798" TargetMode="External"/><Relationship Id="rId469" Type="http://schemas.openxmlformats.org/officeDocument/2006/relationships/hyperlink" Target="https://www.ncbi.nlm.nih.gov/pubmed/?term=Kim%20DJ%5BAuthor%5D&amp;cauthor=true&amp;cauthor_uid=25892225" TargetMode="External"/><Relationship Id="rId634" Type="http://schemas.openxmlformats.org/officeDocument/2006/relationships/hyperlink" Target="https://www.ncbi.nlm.nih.gov/pubmed/?term=Koide%20H%5BAuthor%5D&amp;cauthor=true&amp;cauthor_uid=17651733" TargetMode="External"/><Relationship Id="rId676" Type="http://schemas.openxmlformats.org/officeDocument/2006/relationships/hyperlink" Target="https://www.ncbi.nlm.nih.gov/pubmed/?term=Paredes%20J%5BAuthor%5D&amp;cauthor=true&amp;cauthor_uid=20636790" TargetMode="External"/><Relationship Id="rId841" Type="http://schemas.openxmlformats.org/officeDocument/2006/relationships/hyperlink" Target="https://www.ncbi.nlm.nih.gov/pubmed/?term=Lechner%20S%5BAuthor%5D&amp;cauthor=true&amp;cauthor_uid=19563799" TargetMode="External"/><Relationship Id="rId883" Type="http://schemas.openxmlformats.org/officeDocument/2006/relationships/hyperlink" Target="https://www.ncbi.nlm.nih.gov/pubmed/?term=Lewis%20JS%5BAuthor%5D&amp;cauthor=true&amp;cauthor_uid=17118889" TargetMode="External"/><Relationship Id="rId26" Type="http://schemas.openxmlformats.org/officeDocument/2006/relationships/hyperlink" Target="https://www.sciencedirect.com/topics/biochemistry-genetics-and-molecular-biology/pyruvate-kinase" TargetMode="External"/><Relationship Id="rId231" Type="http://schemas.openxmlformats.org/officeDocument/2006/relationships/hyperlink" Target="https://www.ncbi.nlm.nih.gov/pubmed/?term=Ricci%20JE%5BAuthor%5D&amp;cauthor=true&amp;cauthor_uid=19779498" TargetMode="External"/><Relationship Id="rId273" Type="http://schemas.openxmlformats.org/officeDocument/2006/relationships/hyperlink" Target="https://www.ncbi.nlm.nih.gov/pubmed/?term=Bianconi%20M%5BAuthor%5D&amp;cauthor=true&amp;cauthor_uid=27314036" TargetMode="External"/><Relationship Id="rId329" Type="http://schemas.openxmlformats.org/officeDocument/2006/relationships/hyperlink" Target="https://www.ncbi.nlm.nih.gov/pubmed/?term=Mej%C3%ADas%20R%5BAuthor%5D&amp;cauthor=true&amp;cauthor_uid=15225644" TargetMode="External"/><Relationship Id="rId480" Type="http://schemas.openxmlformats.org/officeDocument/2006/relationships/hyperlink" Target="https://www.ncbi.nlm.nih.gov/pubmed/?term=Levenson%20AS%5BAuthor%5D&amp;cauthor=true&amp;cauthor_uid=9242427" TargetMode="External"/><Relationship Id="rId536" Type="http://schemas.openxmlformats.org/officeDocument/2006/relationships/hyperlink" Target="https://www.ncbi.nlm.nih.gov/pubmed/?term=Liu%20Z%5BAuthor%5D&amp;cauthor=true&amp;cauthor_uid=23377827" TargetMode="External"/><Relationship Id="rId701" Type="http://schemas.openxmlformats.org/officeDocument/2006/relationships/hyperlink" Target="https://www.ncbi.nlm.nih.gov/pubmed/?term=Cikman%20O%5BAuthor%5D&amp;cauthor=true&amp;cauthor_uid=12415567" TargetMode="External"/><Relationship Id="rId939" Type="http://schemas.openxmlformats.org/officeDocument/2006/relationships/hyperlink" Target="https://www.ncbi.nlm.nih.gov/pubmed/?term=Hirschey%20MD%5BAuthor%5D&amp;cauthor=true&amp;cauthor_uid=24725594" TargetMode="External"/><Relationship Id="rId68" Type="http://schemas.openxmlformats.org/officeDocument/2006/relationships/chart" Target="charts/chart3.xml"/><Relationship Id="rId133" Type="http://schemas.openxmlformats.org/officeDocument/2006/relationships/image" Target="media/image47.jpeg"/><Relationship Id="rId175" Type="http://schemas.openxmlformats.org/officeDocument/2006/relationships/hyperlink" Target="https://www.ncbi.nlm.nih.gov/pubmed/?term=Bellinger%20G%5BAuthor%5D&amp;cauthor=true&amp;cauthor_uid=22052977" TargetMode="External"/><Relationship Id="rId340" Type="http://schemas.openxmlformats.org/officeDocument/2006/relationships/hyperlink" Target="https://www.ncbi.nlm.nih.gov/pubmed/?term=Koch%20CJ%5BAuthor%5D&amp;cauthor=true&amp;cauthor_uid=8538748" TargetMode="External"/><Relationship Id="rId578" Type="http://schemas.openxmlformats.org/officeDocument/2006/relationships/hyperlink" Target="https://www.ncbi.nlm.nih.gov/pubmed/?term=Pedersen%20PL%5BAuthor%5D&amp;cauthor=true&amp;cauthor_uid=16892090" TargetMode="External"/><Relationship Id="rId743" Type="http://schemas.openxmlformats.org/officeDocument/2006/relationships/hyperlink" Target="https://www.ncbi.nlm.nih.gov/pubmed/?term=Murbarti%C3%A1n%20J%5BAuthor%5D&amp;cauthor=true&amp;cauthor_uid=19109946" TargetMode="External"/><Relationship Id="rId785" Type="http://schemas.openxmlformats.org/officeDocument/2006/relationships/hyperlink" Target="https://www.ncbi.nlm.nih.gov/pubmed/?term=Feldser%20D%5BAuthor%5D&amp;cauthor=true&amp;cauthor_uid=11727934" TargetMode="External"/><Relationship Id="rId950" Type="http://schemas.openxmlformats.org/officeDocument/2006/relationships/hyperlink" Target="https://www.ncbi.nlm.nih.gov/pubmed/?term=Wetterling%20M%5BAuthor%5D&amp;cauthor=true&amp;cauthor_uid=10706105" TargetMode="External"/><Relationship Id="rId992" Type="http://schemas.openxmlformats.org/officeDocument/2006/relationships/hyperlink" Target="https://www.ncbi.nlm.nih.gov/pubmed/?term=Yaligar%20J%5BAuthor%5D&amp;cauthor=true&amp;cauthor_uid=21618306" TargetMode="External"/><Relationship Id="rId1026" Type="http://schemas.openxmlformats.org/officeDocument/2006/relationships/hyperlink" Target="https://www.ncbi.nlm.nih.gov/pubmed/?term=Meyer%20S%5BAuthor%5D&amp;cauthor=true&amp;cauthor_uid=19895274" TargetMode="External"/><Relationship Id="rId200" Type="http://schemas.openxmlformats.org/officeDocument/2006/relationships/hyperlink" Target="https://www.ncbi.nlm.nih.gov/pubmed/?term=Ralser%20M%5BAuthor%5D&amp;cauthor=true&amp;cauthor_uid=21789790" TargetMode="External"/><Relationship Id="rId382" Type="http://schemas.openxmlformats.org/officeDocument/2006/relationships/hyperlink" Target="https://www.ncbi.nlm.nih.gov/pubmed/?term=Zhang%20C%5BAuthor%5D&amp;cauthor=true&amp;cauthor_uid=23693134" TargetMode="External"/><Relationship Id="rId438" Type="http://schemas.openxmlformats.org/officeDocument/2006/relationships/hyperlink" Target="https://www.ncbi.nlm.nih.gov/pubmed/?term=Kurhanewicz%20J%5BAuthor%5D&amp;cauthor=true&amp;cauthor_uid=23532911" TargetMode="External"/><Relationship Id="rId603" Type="http://schemas.openxmlformats.org/officeDocument/2006/relationships/hyperlink" Target="https://www.ncbi.nlm.nih.gov/pubmed/?term=Pires%20MM%5BAuthor%5D&amp;cauthor=true&amp;cauthor_uid=23258846" TargetMode="External"/><Relationship Id="rId645" Type="http://schemas.openxmlformats.org/officeDocument/2006/relationships/hyperlink" Target="https://www.ncbi.nlm.nih.gov/pubmed/?term=Sahu%20AK%5BAuthor%5D&amp;cauthor=true&amp;cauthor_uid=26073543" TargetMode="External"/><Relationship Id="rId687" Type="http://schemas.openxmlformats.org/officeDocument/2006/relationships/hyperlink" Target="https://www.ncbi.nlm.nih.gov/pubmed/?term=Baltazar%20F%5BAuthor%5D&amp;cauthor=true&amp;cauthor_uid=22407107" TargetMode="External"/><Relationship Id="rId810" Type="http://schemas.openxmlformats.org/officeDocument/2006/relationships/hyperlink" Target="https://www.ncbi.nlm.nih.gov/pubmed/?term=Dalla-Favera%20R%5BAuthor%5D&amp;cauthor=true&amp;cauthor_uid=9192621" TargetMode="External"/><Relationship Id="rId852" Type="http://schemas.openxmlformats.org/officeDocument/2006/relationships/hyperlink" Target="https://www.ncbi.nlm.nih.gov/pubmed/?term=Talasniemi%20JP%5BAuthor%5D&amp;cauthor=true&amp;cauthor_uid=18638467" TargetMode="External"/><Relationship Id="rId908" Type="http://schemas.openxmlformats.org/officeDocument/2006/relationships/hyperlink" Target="https://www.ncbi.nlm.nih.gov/pubmed/?term=Hansen%20U%5BAuthor%5D&amp;cauthor=true&amp;cauthor_uid=10440855" TargetMode="External"/><Relationship Id="rId1068" Type="http://schemas.openxmlformats.org/officeDocument/2006/relationships/hyperlink" Target="https://www.ncbi.nlm.nih.gov/pubmed/?term=Sola-Penna%20M%5BAuthor%5D&amp;cauthor=true&amp;cauthor_uid=20483646" TargetMode="External"/><Relationship Id="rId242" Type="http://schemas.openxmlformats.org/officeDocument/2006/relationships/hyperlink" Target="https://www.ncbi.nlm.nih.gov/pubmed/?term=He%20SH%5BAuthor%5D&amp;cauthor=true&amp;cauthor_uid=28193910" TargetMode="External"/><Relationship Id="rId284" Type="http://schemas.openxmlformats.org/officeDocument/2006/relationships/hyperlink" Target="https://www.ncbi.nlm.nih.gov/pubmed/?term=Feng%20Y%5BAuthor%5D&amp;cauthor=true&amp;cauthor_uid=27217331" TargetMode="External"/><Relationship Id="rId491" Type="http://schemas.openxmlformats.org/officeDocument/2006/relationships/hyperlink" Target="https://www.ncbi.nlm.nih.gov/pubmed/?term=Qian%20W%5BAuthor%5D&amp;cauthor=true&amp;cauthor_uid=30455857" TargetMode="External"/><Relationship Id="rId505" Type="http://schemas.openxmlformats.org/officeDocument/2006/relationships/hyperlink" Target="https://www.ncbi.nlm.nih.gov/pubmed/?term=Liberti%20MV%5BAuthor%5D&amp;cauthor=true&amp;cauthor_uid=26778478" TargetMode="External"/><Relationship Id="rId712" Type="http://schemas.openxmlformats.org/officeDocument/2006/relationships/hyperlink" Target="https://www.ncbi.nlm.nih.gov/pubmed/?term=Dal%20Bello%20MG%5BAuthor%5D&amp;cauthor=true&amp;cauthor_uid=23988223" TargetMode="External"/><Relationship Id="rId894" Type="http://schemas.openxmlformats.org/officeDocument/2006/relationships/hyperlink" Target="https://www.ncbi.nlm.nih.gov/pubmed/?term=Yang%20D%5BAuthor%5D&amp;cauthor=true&amp;cauthor_uid=17118889" TargetMode="External"/><Relationship Id="rId37" Type="http://schemas.openxmlformats.org/officeDocument/2006/relationships/hyperlink" Target="https://www.ncbi.nlm.nih.gov/pmc/articles/PMC4112277/" TargetMode="External"/><Relationship Id="rId79" Type="http://schemas.openxmlformats.org/officeDocument/2006/relationships/chart" Target="charts/chart13.xml"/><Relationship Id="rId102" Type="http://schemas.openxmlformats.org/officeDocument/2006/relationships/chart" Target="charts/chart36.xml"/><Relationship Id="rId144" Type="http://schemas.openxmlformats.org/officeDocument/2006/relationships/image" Target="media/image58.jpeg"/><Relationship Id="rId547" Type="http://schemas.openxmlformats.org/officeDocument/2006/relationships/hyperlink" Target="https://www.ncbi.nlm.nih.gov/pubmed/?term=Sundqvist%20KG%5BAuthor%5D&amp;cauthor=true&amp;cauthor_uid=23377827" TargetMode="External"/><Relationship Id="rId589" Type="http://schemas.openxmlformats.org/officeDocument/2006/relationships/hyperlink" Target="https://www.ncbi.nlm.nih.gov/pubmed/?term=Boschek%20CB%5BAuthor%5D&amp;cauthor=true&amp;cauthor_uid=11895152" TargetMode="External"/><Relationship Id="rId754" Type="http://schemas.openxmlformats.org/officeDocument/2006/relationships/hyperlink" Target="https://www.ncbi.nlm.nih.gov/pubmed/?term=Jin%20D%5BAuthor%5D&amp;cauthor=true&amp;cauthor_uid=23404405" TargetMode="External"/><Relationship Id="rId796" Type="http://schemas.openxmlformats.org/officeDocument/2006/relationships/hyperlink" Target="https://www.ncbi.nlm.nih.gov/pubmed/?term=Cluntun%20AA%5BAuthor%5D&amp;cauthor=true&amp;cauthor_uid=25009227" TargetMode="External"/><Relationship Id="rId961" Type="http://schemas.openxmlformats.org/officeDocument/2006/relationships/hyperlink" Target="https://www.ncbi.nlm.nih.gov/pubmed/?term=Liu%20Z%5BAuthor%5D&amp;cauthor=true&amp;cauthor_uid=29340090" TargetMode="External"/><Relationship Id="rId90" Type="http://schemas.openxmlformats.org/officeDocument/2006/relationships/chart" Target="charts/chart24.xml"/><Relationship Id="rId186" Type="http://schemas.openxmlformats.org/officeDocument/2006/relationships/hyperlink" Target="https://www.ncbi.nlm.nih.gov/pubmed/?term=Piras%20S%5BAuthor%5D&amp;cauthor=true&amp;cauthor_uid=10403541" TargetMode="External"/><Relationship Id="rId351" Type="http://schemas.openxmlformats.org/officeDocument/2006/relationships/hyperlink" Target="https://www.ncbi.nlm.nih.gov/pubmed/?term=Wysham%20WZ%5BAuthor%5D&amp;cauthor=true&amp;cauthor_uid=26135947" TargetMode="External"/><Relationship Id="rId393" Type="http://schemas.openxmlformats.org/officeDocument/2006/relationships/hyperlink" Target="https://www.ncbi.nlm.nih.gov/pubmed/?term=Jang%20C%5BAuthor%5D&amp;cauthor=true&amp;cauthor_uid=29045397" TargetMode="External"/><Relationship Id="rId407" Type="http://schemas.openxmlformats.org/officeDocument/2006/relationships/hyperlink" Target="https://www.ncbi.nlm.nih.gov/pubmed/?term=Ueno%20K%5BAuthor%5D&amp;cauthor=true&amp;cauthor_uid=8951178" TargetMode="External"/><Relationship Id="rId449" Type="http://schemas.openxmlformats.org/officeDocument/2006/relationships/hyperlink" Target="https://www.ncbi.nlm.nih.gov/pubmed/?term=Whitaker%20RS%5BAuthor%5D&amp;cauthor=true&amp;cauthor_uid=19795452" TargetMode="External"/><Relationship Id="rId614" Type="http://schemas.openxmlformats.org/officeDocument/2006/relationships/hyperlink" Target="https://www.ncbi.nlm.nih.gov/pubmed/?term=Shakibaei%20M%5BAuthor%5D&amp;cauthor=true&amp;cauthor_uid=16136514" TargetMode="External"/><Relationship Id="rId656" Type="http://schemas.openxmlformats.org/officeDocument/2006/relationships/hyperlink" Target="https://www.ncbi.nlm.nih.gov/pubmed/?term=Bok%20R%5BAuthor%5D&amp;cauthor=true&amp;cauthor_uid=20150380" TargetMode="External"/><Relationship Id="rId821" Type="http://schemas.openxmlformats.org/officeDocument/2006/relationships/hyperlink" Target="https://www.ncbi.nlm.nih.gov/pubmed/?term=Huang%20GN%5BAuthor%5D&amp;cauthor=true&amp;cauthor_uid=24641416" TargetMode="External"/><Relationship Id="rId863" Type="http://schemas.openxmlformats.org/officeDocument/2006/relationships/hyperlink" Target="https://www.ncbi.nlm.nih.gov/pubmed/?term=Moln%26%23x000e1%3Br%20E%5BAuthor%5D&amp;cauthor=true&amp;cauthor_uid=28562340" TargetMode="External"/><Relationship Id="rId1037" Type="http://schemas.openxmlformats.org/officeDocument/2006/relationships/hyperlink" Target="https://www.ncbi.nlm.nih.gov/pubmed/?term=Thompson%20CB%5BAuthor%5D&amp;cauthor=true&amp;cauthor_uid=22509023" TargetMode="External"/><Relationship Id="rId1079" Type="http://schemas.openxmlformats.org/officeDocument/2006/relationships/hyperlink" Target="https://www.ncbi.nlm.nih.gov/pubmed/?term=Loscalzo%20J%5BAuthor%5D&amp;cauthor=true&amp;cauthor_uid=20032314" TargetMode="External"/><Relationship Id="rId211" Type="http://schemas.openxmlformats.org/officeDocument/2006/relationships/hyperlink" Target="https://www.ncbi.nlm.nih.gov/pubmed/?term=Zancan%20P%5BAuthor%5D&amp;cauthor=true&amp;cauthor_uid=27791266" TargetMode="External"/><Relationship Id="rId253" Type="http://schemas.openxmlformats.org/officeDocument/2006/relationships/hyperlink" Target="https://www.ncbi.nlm.nih.gov/pubmed/?term=Yang%20XH%5BAuthor%5D&amp;cauthor=true&amp;cauthor_uid=28193910" TargetMode="External"/><Relationship Id="rId295" Type="http://schemas.openxmlformats.org/officeDocument/2006/relationships/hyperlink" Target="https://www.ncbi.nlm.nih.gov/entrez/eutils/elink.fcgi?dbfrom=pubmed&amp;retmode=ref&amp;cmd=prlinks&amp;id=28985563" TargetMode="External"/><Relationship Id="rId309" Type="http://schemas.openxmlformats.org/officeDocument/2006/relationships/hyperlink" Target="https://www.ncbi.nlm.nih.gov/pubmed/?term=Shan%20Z%5BAuthor%5D&amp;cauthor=true&amp;cauthor_uid=23846818" TargetMode="External"/><Relationship Id="rId460" Type="http://schemas.openxmlformats.org/officeDocument/2006/relationships/hyperlink" Target="https://www.ncbi.nlm.nih.gov/pubmed/?term=Oh%20S%5BAuthor%5D&amp;cauthor=true&amp;cauthor_uid=25892225" TargetMode="External"/><Relationship Id="rId516" Type="http://schemas.openxmlformats.org/officeDocument/2006/relationships/hyperlink" Target="https://www.ncbi.nlm.nih.gov/pubmed/?term=Savaraj%20N%5BAuthor%5D&amp;cauthor=true&amp;cauthor_uid=11331019" TargetMode="External"/><Relationship Id="rId698" Type="http://schemas.openxmlformats.org/officeDocument/2006/relationships/hyperlink" Target="https://www.ncbi.nlm.nih.gov/pubmed/?term=Polat%20MF%5BAuthor%5D&amp;cauthor=true&amp;cauthor_uid=12415567" TargetMode="External"/><Relationship Id="rId919" Type="http://schemas.openxmlformats.org/officeDocument/2006/relationships/hyperlink" Target="https://www.ncbi.nlm.nih.gov/pubmed/?term=Wahl%20SA%5BAuthor%5D&amp;cauthor=true&amp;cauthor_uid=24436182" TargetMode="External"/><Relationship Id="rId48" Type="http://schemas.openxmlformats.org/officeDocument/2006/relationships/image" Target="media/image21.jpeg"/><Relationship Id="rId113" Type="http://schemas.openxmlformats.org/officeDocument/2006/relationships/chart" Target="charts/chart47.xml"/><Relationship Id="rId320" Type="http://schemas.openxmlformats.org/officeDocument/2006/relationships/hyperlink" Target="https://www.ncbi.nlm.nih.gov/pubmed/?term=Hoves%20S%5BAuthor%5D&amp;cauthor=true&amp;cauthor_uid=17255361" TargetMode="External"/><Relationship Id="rId558" Type="http://schemas.openxmlformats.org/officeDocument/2006/relationships/hyperlink" Target="https://www.ncbi.nlm.nih.gov/pubmed/?term=Mar%C3%ADn-Hern%C3%A1ndez%20A%5BAuthor%5D&amp;cauthor=true&amp;cauthor_uid=21110941" TargetMode="External"/><Relationship Id="rId723" Type="http://schemas.openxmlformats.org/officeDocument/2006/relationships/hyperlink" Target="https://www.ncbi.nlm.nih.gov/pubmed/?term=Deng%20LF%5BAuthor%5D&amp;cauthor=true&amp;cauthor_uid=17983831" TargetMode="External"/><Relationship Id="rId765" Type="http://schemas.openxmlformats.org/officeDocument/2006/relationships/hyperlink" Target="https://www.ncbi.nlm.nih.gov/pubmed/?term=Saraswathy%20S%5BAuthor%5D&amp;cauthor=true&amp;cauthor_uid=18810326" TargetMode="External"/><Relationship Id="rId930" Type="http://schemas.openxmlformats.org/officeDocument/2006/relationships/hyperlink" Target="https://www.ncbi.nlm.nih.gov/pubmed/?term=Dubois%20LG%5BAuthor%5D&amp;cauthor=true&amp;cauthor_uid=28380375" TargetMode="External"/><Relationship Id="rId972" Type="http://schemas.openxmlformats.org/officeDocument/2006/relationships/hyperlink" Target="https://www.ncbi.nlm.nih.gov/pubmed/?term=Yang%20DP%5BAuthor%5D&amp;cauthor=true&amp;cauthor_uid=21452021" TargetMode="External"/><Relationship Id="rId1006" Type="http://schemas.openxmlformats.org/officeDocument/2006/relationships/hyperlink" Target="https://www.ncbi.nlm.nih.gov/pubmed/?term=Seino%20Y%5BAuthor%5D&amp;cauthor=true&amp;cauthor_uid=2372287" TargetMode="External"/><Relationship Id="rId155" Type="http://schemas.openxmlformats.org/officeDocument/2006/relationships/image" Target="media/image69.jpeg"/><Relationship Id="rId197" Type="http://schemas.openxmlformats.org/officeDocument/2006/relationships/hyperlink" Target="https://www.ncbi.nlm.nih.gov/pubmed/?term=Feichtinger%20RG%5BAuthor%5D&amp;cauthor=true&amp;cauthor_uid=21789790" TargetMode="External"/><Relationship Id="rId362" Type="http://schemas.openxmlformats.org/officeDocument/2006/relationships/hyperlink" Target="https://www.ncbi.nlm.nih.gov/pubmed/?term=Ma%20G%5BAuthor%5D&amp;cauthor=true&amp;cauthor_uid=22087246" TargetMode="External"/><Relationship Id="rId418" Type="http://schemas.openxmlformats.org/officeDocument/2006/relationships/hyperlink" Target="https://www.ncbi.nlm.nih.gov/pubmed/?term=Semenza%20GL%5BAuthor%5D&amp;cauthor=true&amp;cauthor_uid=9436976" TargetMode="External"/><Relationship Id="rId625" Type="http://schemas.openxmlformats.org/officeDocument/2006/relationships/hyperlink" Target="https://www.ncbi.nlm.nih.gov/pubmed/?term=Noguchi%20Y%5BAuthor%5D&amp;cauthor=true&amp;cauthor_uid=25713368" TargetMode="External"/><Relationship Id="rId832" Type="http://schemas.openxmlformats.org/officeDocument/2006/relationships/hyperlink" Target="https://www.ncbi.nlm.nih.gov/pubmed/?term=Diepart%20C%5BAuthor%5D&amp;cauthor=true&amp;cauthor_uid=19033663" TargetMode="External"/><Relationship Id="rId1048" Type="http://schemas.openxmlformats.org/officeDocument/2006/relationships/hyperlink" Target="https://www.ncbi.nlm.nih.gov/pubmed/?term=Mullarky%20E%5BAuthor%5D&amp;cauthor=true&amp;cauthor_uid=26541605" TargetMode="External"/><Relationship Id="rId222" Type="http://schemas.openxmlformats.org/officeDocument/2006/relationships/hyperlink" Target="https://www.ncbi.nlm.nih.gov/pubmed/?term=Wang%20Z%5BAuthor%5D&amp;cauthor=true&amp;cauthor_uid=31241439" TargetMode="External"/><Relationship Id="rId264" Type="http://schemas.openxmlformats.org/officeDocument/2006/relationships/hyperlink" Target="https://www.ncbi.nlm.nih.gov/pubmed/?term=Ibrahim-Hashim%20A%5BAuthor%5D&amp;cauthor=true&amp;cauthor_uid=23288510" TargetMode="External"/><Relationship Id="rId471" Type="http://schemas.openxmlformats.org/officeDocument/2006/relationships/hyperlink" Target="https://www.ncbi.nlm.nih.gov/pubmed/?term=Kim%20DM%5BAuthor%5D&amp;cauthor=true&amp;cauthor_uid=25892225" TargetMode="External"/><Relationship Id="rId667" Type="http://schemas.openxmlformats.org/officeDocument/2006/relationships/hyperlink" Target="https://www.ncbi.nlm.nih.gov/pubmed/?term=Silva%20J%5BAuthor%5D&amp;cauthor=true&amp;cauthor_uid=21787388" TargetMode="External"/><Relationship Id="rId874" Type="http://schemas.openxmlformats.org/officeDocument/2006/relationships/hyperlink" Target="https://www.ncbi.nlm.nih.gov/pubmed/?term=Chao%20KS%5BAuthor%5D&amp;cauthor=true&amp;cauthor_uid=17118889" TargetMode="External"/><Relationship Id="rId17" Type="http://schemas.openxmlformats.org/officeDocument/2006/relationships/hyperlink" Target="https://www.sciencedirect.com/topics/biochemistry-genetics-and-molecular-biology/dihydroxyacetone-phosphate" TargetMode="External"/><Relationship Id="rId59" Type="http://schemas.openxmlformats.org/officeDocument/2006/relationships/image" Target="media/image32.jpeg"/><Relationship Id="rId124" Type="http://schemas.openxmlformats.org/officeDocument/2006/relationships/chart" Target="charts/chart58.xml"/><Relationship Id="rId527" Type="http://schemas.openxmlformats.org/officeDocument/2006/relationships/hyperlink" Target="https://www.ncbi.nlm.nih.gov/pubmed/?term=Zhou%20J%5BAuthor%5D&amp;cauthor=true&amp;cauthor_uid=25514599" TargetMode="External"/><Relationship Id="rId569" Type="http://schemas.openxmlformats.org/officeDocument/2006/relationships/hyperlink" Target="https://www.ncbi.nlm.nih.gov/pubmed/?term=Moreno-S%C3%A1nchez%20R%5BAuthor%5D&amp;cauthor=true&amp;cauthor_uid=24912776" TargetMode="External"/><Relationship Id="rId734" Type="http://schemas.openxmlformats.org/officeDocument/2006/relationships/hyperlink" Target="https://www.ncbi.nlm.nih.gov/pubmed/?term=Riganti%20C%5BAuthor%5D&amp;cauthor=true&amp;cauthor_uid=22580150" TargetMode="External"/><Relationship Id="rId776" Type="http://schemas.openxmlformats.org/officeDocument/2006/relationships/hyperlink" Target="https://www.ncbi.nlm.nih.gov/pubmed/?term=Knapp%20M%5BAuthor%5D&amp;cauthor=true&amp;cauthor_uid=11313469" TargetMode="External"/><Relationship Id="rId941" Type="http://schemas.openxmlformats.org/officeDocument/2006/relationships/hyperlink" Target="https://www.ncbi.nlm.nih.gov/pubmed/?term=Mueller-Klieser%20WF%5BAuthor%5D&amp;cauthor=true&amp;cauthor_uid=15254870" TargetMode="External"/><Relationship Id="rId983" Type="http://schemas.openxmlformats.org/officeDocument/2006/relationships/hyperlink" Target="https://www.ncbi.nlm.nih.gov/pubmed/?term=Bechmann%20I%5BAuthor%5D&amp;cauthor=true&amp;cauthor_uid=12490539" TargetMode="External"/><Relationship Id="rId70" Type="http://schemas.openxmlformats.org/officeDocument/2006/relationships/chart" Target="charts/chart5.xml"/><Relationship Id="rId166" Type="http://schemas.openxmlformats.org/officeDocument/2006/relationships/image" Target="media/image80.jpeg"/><Relationship Id="rId331" Type="http://schemas.openxmlformats.org/officeDocument/2006/relationships/hyperlink" Target="https://www.ncbi.nlm.nih.gov/pubmed/?term=L%C3%B3pez-Barneo%20J%5BAuthor%5D&amp;cauthor=true&amp;cauthor_uid=15225644" TargetMode="External"/><Relationship Id="rId373" Type="http://schemas.openxmlformats.org/officeDocument/2006/relationships/hyperlink" Target="https://www.ncbi.nlm.nih.gov/pubmed/?term=Berndt%20C%5BAuthor%5D&amp;cauthor=true&amp;cauthor_uid=25581756" TargetMode="External"/><Relationship Id="rId429" Type="http://schemas.openxmlformats.org/officeDocument/2006/relationships/hyperlink" Target="https://www.ncbi.nlm.nih.gov/pubmed/?term=Noh%20DY%5BAuthor%5D&amp;cauthor=true&amp;cauthor_uid=27184798" TargetMode="External"/><Relationship Id="rId580" Type="http://schemas.openxmlformats.org/officeDocument/2006/relationships/hyperlink" Target="https://www.ncbi.nlm.nih.gov/pubmed/?term=Rempel%20A%5BAuthor%5D&amp;cauthor=true&amp;cauthor_uid=11557773" TargetMode="External"/><Relationship Id="rId636" Type="http://schemas.openxmlformats.org/officeDocument/2006/relationships/hyperlink" Target="https://www.ncbi.nlm.nih.gov/pubmed/?term=Nakagawa%20K%5BAuthor%5D&amp;cauthor=true&amp;cauthor_uid=17651733" TargetMode="External"/><Relationship Id="rId801" Type="http://schemas.openxmlformats.org/officeDocument/2006/relationships/hyperlink" Target="https://www.ncbi.nlm.nih.gov/pubmed/?term=Yellen%20G%5BAuthor%5D&amp;cauthor=true&amp;cauthor_uid=25009227" TargetMode="External"/><Relationship Id="rId1017" Type="http://schemas.openxmlformats.org/officeDocument/2006/relationships/hyperlink" Target="https://www.ncbi.nlm.nih.gov/pubmed/?term=Eriksson%20UJ%5BAuthor%5D&amp;cauthor=true&amp;cauthor_uid=9038867" TargetMode="External"/><Relationship Id="rId1059" Type="http://schemas.openxmlformats.org/officeDocument/2006/relationships/hyperlink" Target="https://www.ncbi.nlm.nih.gov/pubmed/?term=Paik%20J%5BAuthor%5D&amp;cauthor=true&amp;cauthor_uid=26541605" TargetMode="External"/><Relationship Id="rId1" Type="http://schemas.openxmlformats.org/officeDocument/2006/relationships/customXml" Target="../customXml/item1.xml"/><Relationship Id="rId233" Type="http://schemas.openxmlformats.org/officeDocument/2006/relationships/hyperlink" Target="https://www.ncbi.nlm.nih.gov/pubmed/?term=Woods%20HF%5BAuthor%5D&amp;cauthor=true&amp;cauthor_uid=6651225" TargetMode="External"/><Relationship Id="rId440" Type="http://schemas.openxmlformats.org/officeDocument/2006/relationships/hyperlink" Target="https://www.ncbi.nlm.nih.gov/pubmed/?term=Uetake%20H%5BAuthor%5D&amp;cauthor=true&amp;cauthor_uid=18521687" TargetMode="External"/><Relationship Id="rId678" Type="http://schemas.openxmlformats.org/officeDocument/2006/relationships/hyperlink" Target="https://www.ncbi.nlm.nih.gov/pubmed/?term=Dufloth%20R%5BAuthor%5D&amp;cauthor=true&amp;cauthor_uid=20636790" TargetMode="External"/><Relationship Id="rId843" Type="http://schemas.openxmlformats.org/officeDocument/2006/relationships/hyperlink" Target="https://www.ncbi.nlm.nih.gov/pubmed/?term=Mazurek%20S%5BAuthor%5D&amp;cauthor=true&amp;cauthor_uid=19563799" TargetMode="External"/><Relationship Id="rId885" Type="http://schemas.openxmlformats.org/officeDocument/2006/relationships/hyperlink" Target="https://www.ncbi.nlm.nih.gov/pubmed/?term=Melillo%20G%5BAuthor%5D&amp;cauthor=true&amp;cauthor_uid=17118889" TargetMode="External"/><Relationship Id="rId1070" Type="http://schemas.openxmlformats.org/officeDocument/2006/relationships/hyperlink" Target="https://www.ncbi.nlm.nih.gov/pubmed/?term=Da%20Silva%20D%5BAuthor%5D&amp;cauthor=true&amp;cauthor_uid=20483646" TargetMode="External"/><Relationship Id="rId28" Type="http://schemas.openxmlformats.org/officeDocument/2006/relationships/hyperlink" Target="https://www.ncbi.nlm.nih.gov/pubmed/?term=Rodr%C3%ADguez-Enr%C3%ADquez%20S%5BAuthor%5D&amp;cauthor=true&amp;cauthor_uid=11298771" TargetMode="External"/><Relationship Id="rId275" Type="http://schemas.openxmlformats.org/officeDocument/2006/relationships/hyperlink" Target="https://www.ncbi.nlm.nih.gov/pubmed/?term=Casadei%20Gardini%20A%5BAuthor%5D&amp;cauthor=true&amp;cauthor_uid=27314036" TargetMode="External"/><Relationship Id="rId300" Type="http://schemas.openxmlformats.org/officeDocument/2006/relationships/hyperlink" Target="https://www.ncbi.nlm.nih.gov/pubmed/?term=Bartsch%20H%5BAuthor%5D&amp;cauthor=true&amp;cauthor_uid=11909700" TargetMode="External"/><Relationship Id="rId482" Type="http://schemas.openxmlformats.org/officeDocument/2006/relationships/hyperlink" Target="https://www.ncbi.nlm.nih.gov/pubmed/?term=Li%20H%5BAuthor%5D&amp;cauthor=true&amp;cauthor_uid=31000383" TargetMode="External"/><Relationship Id="rId538" Type="http://schemas.openxmlformats.org/officeDocument/2006/relationships/hyperlink" Target="https://www.ncbi.nlm.nih.gov/pubmed/?term=Duan%20Y%5BAuthor%5D&amp;cauthor=true&amp;cauthor_uid=23377827" TargetMode="External"/><Relationship Id="rId703" Type="http://schemas.openxmlformats.org/officeDocument/2006/relationships/hyperlink" Target="https://www.ncbi.nlm.nih.gov/pubmed/?term=Bakan%20E%5BAuthor%5D&amp;cauthor=true&amp;cauthor_uid=12415567" TargetMode="External"/><Relationship Id="rId745" Type="http://schemas.openxmlformats.org/officeDocument/2006/relationships/hyperlink" Target="https://www.ncbi.nlm.nih.gov/pubmed/?term=Mar%C3%ADn-Hern%C3%A1ndez%20A%5BAuthor%5D&amp;cauthor=true&amp;cauthor_uid=24912776" TargetMode="External"/><Relationship Id="rId910" Type="http://schemas.openxmlformats.org/officeDocument/2006/relationships/hyperlink" Target="https://www.ncbi.nlm.nih.gov/pubmed/?term=Van%20Noorden%20CJ%5BAuthor%5D&amp;cauthor=true&amp;cauthor_uid=10440855" TargetMode="External"/><Relationship Id="rId952" Type="http://schemas.openxmlformats.org/officeDocument/2006/relationships/hyperlink" Target="https://www.ncbi.nlm.nih.gov/pubmed/?term=Schwickert%20G%5BAuthor%5D&amp;cauthor=true&amp;cauthor_uid=10706105" TargetMode="External"/><Relationship Id="rId81" Type="http://schemas.openxmlformats.org/officeDocument/2006/relationships/chart" Target="charts/chart15.xml"/><Relationship Id="rId135" Type="http://schemas.openxmlformats.org/officeDocument/2006/relationships/image" Target="media/image49.jpeg"/><Relationship Id="rId177" Type="http://schemas.openxmlformats.org/officeDocument/2006/relationships/hyperlink" Target="https://www.ncbi.nlm.nih.gov/pubmed/?term=Locasale%20JW%5BAuthor%5D&amp;cauthor=true&amp;cauthor_uid=22052977" TargetMode="External"/><Relationship Id="rId342" Type="http://schemas.openxmlformats.org/officeDocument/2006/relationships/hyperlink" Target="https://www.ncbi.nlm.nih.gov/pubmed/?term=Giaccia%20AJ%5BAuthor%5D&amp;cauthor=true&amp;cauthor_uid=8538748" TargetMode="External"/><Relationship Id="rId384" Type="http://schemas.openxmlformats.org/officeDocument/2006/relationships/hyperlink" Target="https://www.ncbi.nlm.nih.gov/pubmed/?term=Su%20Y%5BAuthor%5D&amp;cauthor=true&amp;cauthor_uid=23693134" TargetMode="External"/><Relationship Id="rId591" Type="http://schemas.openxmlformats.org/officeDocument/2006/relationships/hyperlink" Target="https://www.ncbi.nlm.nih.gov/pubmed/?term=Eigenbrodt%20E%5BAuthor%5D&amp;cauthor=true&amp;cauthor_uid=11895152" TargetMode="External"/><Relationship Id="rId605" Type="http://schemas.openxmlformats.org/officeDocument/2006/relationships/hyperlink" Target="https://www.ncbi.nlm.nih.gov/pubmed/?term=Cordeiro%20M%5BAuthor%5D&amp;cauthor=true&amp;cauthor_uid=23258846" TargetMode="External"/><Relationship Id="rId787" Type="http://schemas.openxmlformats.org/officeDocument/2006/relationships/hyperlink" Target="https://www.ncbi.nlm.nih.gov/pubmed/?term=Ravi%20R%5BAuthor%5D&amp;cauthor=true&amp;cauthor_uid=11727934" TargetMode="External"/><Relationship Id="rId812" Type="http://schemas.openxmlformats.org/officeDocument/2006/relationships/hyperlink" Target="https://www.ncbi.nlm.nih.gov/pubmed/?term=Sola-Penna%20M%5BAuthor%5D&amp;cauthor=true&amp;cauthor_uid=21117169" TargetMode="External"/><Relationship Id="rId994" Type="http://schemas.openxmlformats.org/officeDocument/2006/relationships/hyperlink" Target="https://www.ncbi.nlm.nih.gov/pubmed/?term=Bokacheva%20L%5BAuthor%5D&amp;cauthor=true&amp;cauthor_uid=21618306" TargetMode="External"/><Relationship Id="rId1028" Type="http://schemas.openxmlformats.org/officeDocument/2006/relationships/hyperlink" Target="https://www.ncbi.nlm.nih.gov/pubmed/?term=Walenta%20S%5BAuthor%5D&amp;cauthor=true&amp;cauthor_uid=19895274" TargetMode="External"/><Relationship Id="rId202" Type="http://schemas.openxmlformats.org/officeDocument/2006/relationships/hyperlink" Target="https://www.ncbi.nlm.nih.gov/pubmed/?term=Wahl%20RL%5BAuthor%5D&amp;cauthor=true&amp;cauthor_uid=8221565" TargetMode="External"/><Relationship Id="rId244" Type="http://schemas.openxmlformats.org/officeDocument/2006/relationships/hyperlink" Target="https://www.ncbi.nlm.nih.gov/pubmed/?term=Chen%20TR%5BAuthor%5D&amp;cauthor=true&amp;cauthor_uid=28193910" TargetMode="External"/><Relationship Id="rId647" Type="http://schemas.openxmlformats.org/officeDocument/2006/relationships/hyperlink" Target="https://www.ncbi.nlm.nih.gov/pubmed/?term=Najjar%20R%5BAuthor%5D&amp;cauthor=true&amp;cauthor_uid=26073543" TargetMode="External"/><Relationship Id="rId689" Type="http://schemas.openxmlformats.org/officeDocument/2006/relationships/hyperlink" Target="https://www.ncbi.nlm.nih.gov/pubmed/?term=Longatto-Filho%20A%5BAuthor%5D&amp;cauthor=true&amp;cauthor_uid=18753962" TargetMode="External"/><Relationship Id="rId854" Type="http://schemas.openxmlformats.org/officeDocument/2006/relationships/hyperlink" Target="https://www.ncbi.nlm.nih.gov/pubmed/?term=Savolainen%20H%5BAuthor%5D&amp;cauthor=true&amp;cauthor_uid=18638467" TargetMode="External"/><Relationship Id="rId896" Type="http://schemas.openxmlformats.org/officeDocument/2006/relationships/hyperlink" Target="https://www.ncbi.nlm.nih.gov/pubmed/?term=Hoffman%20J%5BAuthor%5D&amp;cauthor=true&amp;cauthor_uid=17118889" TargetMode="External"/><Relationship Id="rId1081" Type="http://schemas.openxmlformats.org/officeDocument/2006/relationships/hyperlink" Target="http://koreascience.or.kr/journal/POCPA9.page" TargetMode="External"/><Relationship Id="rId39" Type="http://schemas.openxmlformats.org/officeDocument/2006/relationships/hyperlink" Target="https://www.ncbi.nlm.nih.gov/pmc/articles/PMC4112277/" TargetMode="External"/><Relationship Id="rId286" Type="http://schemas.openxmlformats.org/officeDocument/2006/relationships/hyperlink" Target="https://www.ncbi.nlm.nih.gov/pubmed/?term=Lin%20X%5BAuthor%5D&amp;cauthor=true&amp;cauthor_uid=27217331" TargetMode="External"/><Relationship Id="rId451" Type="http://schemas.openxmlformats.org/officeDocument/2006/relationships/hyperlink" Target="https://www.ncbi.nlm.nih.gov/pubmed/?term=Fujii%20S%5BAuthor%5D&amp;cauthor=true&amp;cauthor_uid=19795452" TargetMode="External"/><Relationship Id="rId493" Type="http://schemas.openxmlformats.org/officeDocument/2006/relationships/hyperlink" Target="https://www.ncbi.nlm.nih.gov/pubmed/?term=Yan%20B%5BAuthor%5D&amp;cauthor=true&amp;cauthor_uid=30455857" TargetMode="External"/><Relationship Id="rId507" Type="http://schemas.openxmlformats.org/officeDocument/2006/relationships/hyperlink" Target="https://www.ncbi.nlm.nih.gov/pubmed/?term=Lis%20P%5BAuthor%5D&amp;cauthor=true&amp;cauthor_uid=27983708" TargetMode="External"/><Relationship Id="rId549" Type="http://schemas.openxmlformats.org/officeDocument/2006/relationships/hyperlink" Target="https://www.ncbi.nlm.nih.gov/pubmed/?term=Wang%20F%5BAuthor%5D&amp;cauthor=true&amp;cauthor_uid=23377827" TargetMode="External"/><Relationship Id="rId714" Type="http://schemas.openxmlformats.org/officeDocument/2006/relationships/hyperlink" Target="https://www.ncbi.nlm.nih.gov/pubmed/?term=Genova%20C%5BAuthor%5D&amp;cauthor=true&amp;cauthor_uid=23988223" TargetMode="External"/><Relationship Id="rId756" Type="http://schemas.openxmlformats.org/officeDocument/2006/relationships/hyperlink" Target="https://www.ncbi.nlm.nih.gov/pubmed/?term=Lou%20W%5BAuthor%5D&amp;cauthor=true&amp;cauthor_uid=23404405" TargetMode="External"/><Relationship Id="rId921" Type="http://schemas.openxmlformats.org/officeDocument/2006/relationships/hyperlink" Target="https://www.ncbi.nlm.nih.gov/pubmed/?term=V%C3%A9gran%20F%5BAuthor%5D&amp;cauthor=true&amp;cauthor_uid=21300765" TargetMode="External"/><Relationship Id="rId50" Type="http://schemas.openxmlformats.org/officeDocument/2006/relationships/image" Target="media/image23.png"/><Relationship Id="rId104" Type="http://schemas.openxmlformats.org/officeDocument/2006/relationships/chart" Target="charts/chart38.xml"/><Relationship Id="rId146" Type="http://schemas.openxmlformats.org/officeDocument/2006/relationships/image" Target="media/image60.jpeg"/><Relationship Id="rId188" Type="http://schemas.openxmlformats.org/officeDocument/2006/relationships/hyperlink" Target="https://www.ncbi.nlm.nih.gov/pubmed/?term=Spano%20O%5BAuthor%5D&amp;cauthor=true&amp;cauthor_uid=10403541" TargetMode="External"/><Relationship Id="rId311" Type="http://schemas.openxmlformats.org/officeDocument/2006/relationships/hyperlink" Target="https://www.ncbi.nlm.nih.gov/pubmed/?term=Fischer%20K%5BAuthor%5D&amp;cauthor=true&amp;cauthor_uid=17255361" TargetMode="External"/><Relationship Id="rId353" Type="http://schemas.openxmlformats.org/officeDocument/2006/relationships/hyperlink" Target="https://www.ncbi.nlm.nih.gov/pubmed/?term=Willson%20AK%5BAuthor%5D&amp;cauthor=true&amp;cauthor_uid=26135947" TargetMode="External"/><Relationship Id="rId395" Type="http://schemas.openxmlformats.org/officeDocument/2006/relationships/hyperlink" Target="https://www.ncbi.nlm.nih.gov/pubmed/?term=Lu%20W%5BAuthor%5D&amp;cauthor=true&amp;cauthor_uid=29045397" TargetMode="External"/><Relationship Id="rId409" Type="http://schemas.openxmlformats.org/officeDocument/2006/relationships/hyperlink" Target="https://www.ncbi.nlm.nih.gov/pubmed/?term=Kotch%20LE%5BAuthor%5D&amp;cauthor=true&amp;cauthor_uid=9436976" TargetMode="External"/><Relationship Id="rId560" Type="http://schemas.openxmlformats.org/officeDocument/2006/relationships/hyperlink" Target="https://www.ncbi.nlm.nih.gov/pubmed/?term=Rodr%C3%ADguez-Enr%C3%ADquez%20S%5BAuthor%5D&amp;cauthor=true&amp;cauthor_uid=21110941" TargetMode="External"/><Relationship Id="rId798" Type="http://schemas.openxmlformats.org/officeDocument/2006/relationships/hyperlink" Target="https://www.ncbi.nlm.nih.gov/pubmed/?term=Huang%20L%5BAuthor%5D&amp;cauthor=true&amp;cauthor_uid=25009227" TargetMode="External"/><Relationship Id="rId963" Type="http://schemas.openxmlformats.org/officeDocument/2006/relationships/hyperlink" Target="https://www.ncbi.nlm.nih.gov/pubmed/?term=Hou%20J%5BAuthor%5D&amp;cauthor=true&amp;cauthor_uid=29340090" TargetMode="External"/><Relationship Id="rId1039" Type="http://schemas.openxmlformats.org/officeDocument/2006/relationships/hyperlink" Target="https://www.ncbi.nlm.nih.gov/pubmed/?term=Wei%20Y%5BAuthor%5D&amp;cauthor=true&amp;cauthor_uid=23289007" TargetMode="External"/><Relationship Id="rId92" Type="http://schemas.openxmlformats.org/officeDocument/2006/relationships/chart" Target="charts/chart26.xml"/><Relationship Id="rId213" Type="http://schemas.openxmlformats.org/officeDocument/2006/relationships/hyperlink" Target="https://www.ncbi.nlm.nih.gov/pubmed/?term=Gottlieb%20E%5BAuthor%5D&amp;cauthor=true&amp;cauthor_uid=22626471" TargetMode="External"/><Relationship Id="rId420" Type="http://schemas.openxmlformats.org/officeDocument/2006/relationships/hyperlink" Target="https://www.ncbi.nlm.nih.gov/pubmed/?term=Lee%20H%5BAuthor%5D&amp;cauthor=true&amp;cauthor_uid=27184798" TargetMode="External"/><Relationship Id="rId616" Type="http://schemas.openxmlformats.org/officeDocument/2006/relationships/hyperlink" Target="https://www.ncbi.nlm.nih.gov/pubmed/?term=Mukherjee%20J%5BAuthor%5D&amp;cauthor=true&amp;cauthor_uid=23451252" TargetMode="External"/><Relationship Id="rId658" Type="http://schemas.openxmlformats.org/officeDocument/2006/relationships/hyperlink" Target="https://www.ncbi.nlm.nih.gov/pubmed/?term=Kurhanewicz%20J%5BAuthor%5D&amp;cauthor=true&amp;cauthor_uid=20150380" TargetMode="External"/><Relationship Id="rId823" Type="http://schemas.openxmlformats.org/officeDocument/2006/relationships/hyperlink" Target="https://www.ncbi.nlm.nih.gov/pubmed/?term=Liu%20QF%5BAuthor%5D&amp;cauthor=true&amp;cauthor_uid=24641416" TargetMode="External"/><Relationship Id="rId865" Type="http://schemas.openxmlformats.org/officeDocument/2006/relationships/hyperlink" Target="https://www.ncbi.nlm.nih.gov/pubmed/?term=Heged%26%23x00171%3Bs%20Z%5BAuthor%5D&amp;cauthor=true&amp;cauthor_uid=28562340" TargetMode="External"/><Relationship Id="rId1050" Type="http://schemas.openxmlformats.org/officeDocument/2006/relationships/hyperlink" Target="https://www.ncbi.nlm.nih.gov/pubmed/?term=Bosch%20KN%5BAuthor%5D&amp;cauthor=true&amp;cauthor_uid=26541605" TargetMode="External"/><Relationship Id="rId255" Type="http://schemas.openxmlformats.org/officeDocument/2006/relationships/hyperlink" Target="https://www.ncbi.nlm.nih.gov/pubmed/?term=Wei%20HF%5BAuthor%5D&amp;cauthor=true&amp;cauthor_uid=28193910" TargetMode="External"/><Relationship Id="rId297" Type="http://schemas.openxmlformats.org/officeDocument/2006/relationships/hyperlink" Target="https://www.ncbi.nlm.nih.gov/pubmed/?term=Rockwood%20LD%5BAuthor%5D&amp;cauthor=true&amp;cauthor_uid=11909700" TargetMode="External"/><Relationship Id="rId462" Type="http://schemas.openxmlformats.org/officeDocument/2006/relationships/hyperlink" Target="https://www.ncbi.nlm.nih.gov/pubmed/?term=Lee%20KM%5BAuthor%5D&amp;cauthor=true&amp;cauthor_uid=25892225" TargetMode="External"/><Relationship Id="rId518" Type="http://schemas.openxmlformats.org/officeDocument/2006/relationships/hyperlink" Target="https://www.ncbi.nlm.nih.gov/pubmed/?term=Lampidis%20TJ%5BAuthor%5D&amp;cauthor=true&amp;cauthor_uid=11331019" TargetMode="External"/><Relationship Id="rId725" Type="http://schemas.openxmlformats.org/officeDocument/2006/relationships/hyperlink" Target="https://www.ncbi.nlm.nih.gov/pubmed/?term=Zhu%20YP%5BAuthor%5D&amp;cauthor=true&amp;cauthor_uid=17983831" TargetMode="External"/><Relationship Id="rId932" Type="http://schemas.openxmlformats.org/officeDocument/2006/relationships/hyperlink" Target="https://www.ncbi.nlm.nih.gov/pubmed/?term=Yang%20H%5BAuthor%5D&amp;cauthor=true&amp;cauthor_uid=28380375" TargetMode="External"/><Relationship Id="rId115" Type="http://schemas.openxmlformats.org/officeDocument/2006/relationships/chart" Target="charts/chart49.xml"/><Relationship Id="rId157" Type="http://schemas.openxmlformats.org/officeDocument/2006/relationships/image" Target="media/image71.jpeg"/><Relationship Id="rId322" Type="http://schemas.openxmlformats.org/officeDocument/2006/relationships/hyperlink" Target="https://www.ncbi.nlm.nih.gov/pubmed/?term=Timischl%20B%5BAuthor%5D&amp;cauthor=true&amp;cauthor_uid=17255361" TargetMode="External"/><Relationship Id="rId364" Type="http://schemas.openxmlformats.org/officeDocument/2006/relationships/hyperlink" Target="https://www.ncbi.nlm.nih.gov/pubmed/?term=Zhou%20S%5BAuthor%5D&amp;cauthor=true&amp;cauthor_uid=22087246" TargetMode="External"/><Relationship Id="rId767" Type="http://schemas.openxmlformats.org/officeDocument/2006/relationships/hyperlink" Target="https://www.ncbi.nlm.nih.gov/pubmed/?term=Lamborn%20KR%5BAuthor%5D&amp;cauthor=true&amp;cauthor_uid=18810326" TargetMode="External"/><Relationship Id="rId974" Type="http://schemas.openxmlformats.org/officeDocument/2006/relationships/hyperlink" Target="https://www.ncbi.nlm.nih.gov/pubmed/?term=Guan%20XY%5BAuthor%5D&amp;cauthor=true&amp;cauthor_uid=21452021" TargetMode="External"/><Relationship Id="rId1008" Type="http://schemas.openxmlformats.org/officeDocument/2006/relationships/hyperlink" Target="https://www.ncbi.nlm.nih.gov/pubmed/?term=Koh%20G%5BAuthor%5D&amp;cauthor=true&amp;cauthor_uid=2372287" TargetMode="External"/><Relationship Id="rId61" Type="http://schemas.microsoft.com/office/2007/relationships/hdphoto" Target="NULL"/><Relationship Id="rId199" Type="http://schemas.openxmlformats.org/officeDocument/2006/relationships/hyperlink" Target="https://www.ncbi.nlm.nih.gov/pubmed/?term=Kofler%20B%5BAuthor%5D&amp;cauthor=true&amp;cauthor_uid=21789790" TargetMode="External"/><Relationship Id="rId571" Type="http://schemas.openxmlformats.org/officeDocument/2006/relationships/hyperlink" Target="https://www.ncbi.nlm.nih.gov/pubmed/?term=Marinho-Carvalho%20MM%5BAuthor%5D&amp;cauthor=true&amp;cauthor_uid=19250982" TargetMode="External"/><Relationship Id="rId627" Type="http://schemas.openxmlformats.org/officeDocument/2006/relationships/hyperlink" Target="https://www.ncbi.nlm.nih.gov/pubmed/?term=Takamoto%20I%5BAuthor%5D&amp;cauthor=true&amp;cauthor_uid=25713368" TargetMode="External"/><Relationship Id="rId669" Type="http://schemas.openxmlformats.org/officeDocument/2006/relationships/hyperlink" Target="https://www.ncbi.nlm.nih.gov/pubmed/?term=Monteiro%20P%5BAuthor%5D&amp;cauthor=true&amp;cauthor_uid=21787388" TargetMode="External"/><Relationship Id="rId834" Type="http://schemas.openxmlformats.org/officeDocument/2006/relationships/hyperlink" Target="https://www.ncbi.nlm.nih.gov/pubmed/?term=Kelley%20MJ%5BAuthor%5D&amp;cauthor=true&amp;cauthor_uid=19033663" TargetMode="External"/><Relationship Id="rId876" Type="http://schemas.openxmlformats.org/officeDocument/2006/relationships/hyperlink" Target="https://www.ncbi.nlm.nih.gov/pubmed/?term=Eckelman%20WC%5BAuthor%5D&amp;cauthor=true&amp;cauthor_uid=17118889" TargetMode="External"/><Relationship Id="rId19" Type="http://schemas.openxmlformats.org/officeDocument/2006/relationships/hyperlink" Target="https://www.sciencedirect.com/topics/biochemistry-genetics-and-molecular-biology/adenosine-diphosphate" TargetMode="External"/><Relationship Id="rId224" Type="http://schemas.openxmlformats.org/officeDocument/2006/relationships/hyperlink" Target="https://www.ncbi.nlm.nih.gov/pubmed/?term=Ma%20Q%5BAuthor%5D&amp;cauthor=true&amp;cauthor_uid=31241439" TargetMode="External"/><Relationship Id="rId266" Type="http://schemas.openxmlformats.org/officeDocument/2006/relationships/hyperlink" Target="https://www.ncbi.nlm.nih.gov/pubmed/?term=Balagurunathan%20Y%5BAuthor%5D&amp;cauthor=true&amp;cauthor_uid=23288510" TargetMode="External"/><Relationship Id="rId431" Type="http://schemas.openxmlformats.org/officeDocument/2006/relationships/hyperlink" Target="https://www.ncbi.nlm.nih.gov/pubmed/?term=Keshari%20KR%5BAuthor%5D&amp;cauthor=true&amp;cauthor_uid=23532911" TargetMode="External"/><Relationship Id="rId473" Type="http://schemas.openxmlformats.org/officeDocument/2006/relationships/hyperlink" Target="https://www.ncbi.nlm.nih.gov/pubmed/?term=Yoo%20HS%5BAuthor%5D&amp;cauthor=true&amp;cauthor_uid=25892225" TargetMode="External"/><Relationship Id="rId529" Type="http://schemas.openxmlformats.org/officeDocument/2006/relationships/hyperlink" Target="https://www.ncbi.nlm.nih.gov/pubmed/?term=Dai%20Z%5BAuthor%5D&amp;cauthor=true&amp;cauthor_uid=25514599" TargetMode="External"/><Relationship Id="rId680" Type="http://schemas.openxmlformats.org/officeDocument/2006/relationships/hyperlink" Target="https://www.ncbi.nlm.nih.gov/pubmed/?term=Schmitt%20F%5BAuthor%5D&amp;cauthor=true&amp;cauthor_uid=20636790" TargetMode="External"/><Relationship Id="rId736" Type="http://schemas.openxmlformats.org/officeDocument/2006/relationships/hyperlink" Target="https://www.ncbi.nlm.nih.gov/pubmed/?term=Polimeni%20M%5BAuthor%5D&amp;cauthor=true&amp;cauthor_uid=22580150" TargetMode="External"/><Relationship Id="rId901" Type="http://schemas.openxmlformats.org/officeDocument/2006/relationships/hyperlink" Target="https://www.ncbi.nlm.nih.gov/pubmed/?term=Tr%C3%A9dan%20O%5BAuthor%5D&amp;cauthor=true&amp;cauthor_uid=17895480" TargetMode="External"/><Relationship Id="rId1061" Type="http://schemas.openxmlformats.org/officeDocument/2006/relationships/hyperlink" Target="https://www.ncbi.nlm.nih.gov/pubmed/?term=Chen%20Z%5BAuthor%5D&amp;cauthor=true&amp;cauthor_uid=26541605" TargetMode="External"/><Relationship Id="rId30" Type="http://schemas.openxmlformats.org/officeDocument/2006/relationships/image" Target="media/image6.png"/><Relationship Id="rId126" Type="http://schemas.openxmlformats.org/officeDocument/2006/relationships/image" Target="media/image40.jpeg"/><Relationship Id="rId168" Type="http://schemas.openxmlformats.org/officeDocument/2006/relationships/hyperlink" Target="https://www.ncbi.nlm.nih.gov/pubmed/?term=Feron%20O%5BAuthor%5D&amp;cauthor=true&amp;cauthor_uid=22065843" TargetMode="External"/><Relationship Id="rId333" Type="http://schemas.openxmlformats.org/officeDocument/2006/relationships/hyperlink" Target="https://www.ncbi.nlm.nih.gov/pubmed/?term=Ksiazkiewicz%20M%5BAuthor%5D&amp;cauthor=true&amp;cauthor_uid=21617859" TargetMode="External"/><Relationship Id="rId540" Type="http://schemas.openxmlformats.org/officeDocument/2006/relationships/hyperlink" Target="https://www.ncbi.nlm.nih.gov/pubmed/?term=Sundqvist%20KG%5BAuthor%5D&amp;cauthor=true&amp;cauthor_uid=23377827" TargetMode="External"/><Relationship Id="rId778" Type="http://schemas.openxmlformats.org/officeDocument/2006/relationships/hyperlink" Target="https://www.ncbi.nlm.nih.gov/pubmed/?term=Laderoute%20K%5BAuthor%5D&amp;cauthor=true&amp;cauthor_uid=11313469" TargetMode="External"/><Relationship Id="rId943" Type="http://schemas.openxmlformats.org/officeDocument/2006/relationships/hyperlink" Target="https://www.ncbi.nlm.nih.gov/pubmed/?term=Salameh%20A%5BAuthor%5D&amp;cauthor=true&amp;cauthor_uid=9033256" TargetMode="External"/><Relationship Id="rId985" Type="http://schemas.openxmlformats.org/officeDocument/2006/relationships/hyperlink" Target="https://www.ncbi.nlm.nih.gov/pubmed/?term=Pugh%20CW%5BAuthor%5D&amp;cauthor=true&amp;cauthor_uid=12490539" TargetMode="External"/><Relationship Id="rId1019" Type="http://schemas.openxmlformats.org/officeDocument/2006/relationships/hyperlink" Target="https://www.ncbi.nlm.nih.gov/pubmed/?term=Zhao%20T%5BAuthor%5D&amp;cauthor=true&amp;cauthor_uid=22961700" TargetMode="External"/><Relationship Id="rId72" Type="http://schemas.openxmlformats.org/officeDocument/2006/relationships/chart" Target="charts/chart7.xml"/><Relationship Id="rId375" Type="http://schemas.openxmlformats.org/officeDocument/2006/relationships/hyperlink" Target="https://www.ncbi.nlm.nih.gov/pubmed/?term=Scheibe%20R%5BAuthor%5D&amp;cauthor=true&amp;cauthor_uid=25581756" TargetMode="External"/><Relationship Id="rId582" Type="http://schemas.openxmlformats.org/officeDocument/2006/relationships/hyperlink" Target="https://www.ncbi.nlm.nih.gov/pubmed/?term=Mazurek%20S%5BAuthor%5D&amp;cauthor=true&amp;cauthor_uid=18225557" TargetMode="External"/><Relationship Id="rId638" Type="http://schemas.openxmlformats.org/officeDocument/2006/relationships/hyperlink" Target="https://www.ncbi.nlm.nih.gov/pubmed/?term=Asaka%20M%5BAuthor%5D&amp;cauthor=true&amp;cauthor_uid=17651733" TargetMode="External"/><Relationship Id="rId803" Type="http://schemas.openxmlformats.org/officeDocument/2006/relationships/hyperlink" Target="https://www.ncbi.nlm.nih.gov/pubmed/?term=Locasale%20JW%5BAuthor%5D&amp;cauthor=true&amp;cauthor_uid=25009227" TargetMode="External"/><Relationship Id="rId845" Type="http://schemas.openxmlformats.org/officeDocument/2006/relationships/hyperlink" Target="https://www.ncbi.nlm.nih.gov/pubmed/?term=Sumiyoshi%20Y%5BAuthor%5D&amp;cauthor=true&amp;cauthor_uid=16951228" TargetMode="External"/><Relationship Id="rId1030" Type="http://schemas.openxmlformats.org/officeDocument/2006/relationships/hyperlink" Target="https://www.ncbi.nlm.nih.gov/pubmed/?term=Baumann%20M%5BAuthor%5D&amp;cauthor=true&amp;cauthor_uid=19895274" TargetMode="External"/><Relationship Id="rId3" Type="http://schemas.openxmlformats.org/officeDocument/2006/relationships/styles" Target="styles.xml"/><Relationship Id="rId235" Type="http://schemas.openxmlformats.org/officeDocument/2006/relationships/hyperlink" Target="https://www.ncbi.nlm.nih.gov/pubmed/?term=Costa%20Leite%20T%5BAuthor%5D&amp;cauthor=true&amp;cauthor_uid=17666012" TargetMode="External"/><Relationship Id="rId277" Type="http://schemas.openxmlformats.org/officeDocument/2006/relationships/hyperlink" Target="https://www.ncbi.nlm.nih.gov/pubmed/?term=Bittoni%20A%5BAuthor%5D&amp;cauthor=true&amp;cauthor_uid=27314036" TargetMode="External"/><Relationship Id="rId400" Type="http://schemas.openxmlformats.org/officeDocument/2006/relationships/hyperlink" Target="https://www.ncbi.nlm.nih.gov/pubmed/?term=White%20E%5BAuthor%5D&amp;cauthor=true&amp;cauthor_uid=29045397" TargetMode="External"/><Relationship Id="rId442" Type="http://schemas.openxmlformats.org/officeDocument/2006/relationships/hyperlink" Target="https://www.ncbi.nlm.nih.gov/pubmed/?term=Sugihara%20K%5BAuthor%5D&amp;cauthor=true&amp;cauthor_uid=18521687" TargetMode="External"/><Relationship Id="rId484" Type="http://schemas.openxmlformats.org/officeDocument/2006/relationships/hyperlink" Target="https://www.ncbi.nlm.nih.gov/pubmed/?term=Xing%20R%5BAuthor%5D&amp;cauthor=true&amp;cauthor_uid=31000383" TargetMode="External"/><Relationship Id="rId705" Type="http://schemas.openxmlformats.org/officeDocument/2006/relationships/hyperlink" Target="https://www.ncbi.nlm.nih.gov/pubmed/?term=Prakasam%20G%5BAuthor%5D&amp;cauthor=true&amp;cauthor_uid=29468140" TargetMode="External"/><Relationship Id="rId887" Type="http://schemas.openxmlformats.org/officeDocument/2006/relationships/hyperlink" Target="https://www.ncbi.nlm.nih.gov/pubmed/?term=Powis%20G%5BAuthor%5D&amp;cauthor=true&amp;cauthor_uid=17118889" TargetMode="External"/><Relationship Id="rId1072" Type="http://schemas.openxmlformats.org/officeDocument/2006/relationships/hyperlink" Target="https://www.ncbi.nlm.nih.gov/pubmed/?term=Liew%20CW%5BAuthor%5D&amp;cauthor=true&amp;cauthor_uid=20032314" TargetMode="External"/><Relationship Id="rId137" Type="http://schemas.openxmlformats.org/officeDocument/2006/relationships/image" Target="media/image51.jpeg"/><Relationship Id="rId302" Type="http://schemas.openxmlformats.org/officeDocument/2006/relationships/hyperlink" Target="https://www.ncbi.nlm.nih.gov/pubmed/?term=Janz%20S%5BAuthor%5D&amp;cauthor=true&amp;cauthor_uid=11909700" TargetMode="External"/><Relationship Id="rId344" Type="http://schemas.openxmlformats.org/officeDocument/2006/relationships/hyperlink" Target="https://www.ncbi.nlm.nih.gov/pubmed/?term=Alexander%20D%5BAuthor%5D&amp;cauthor=true&amp;cauthor_uid=23184277" TargetMode="External"/><Relationship Id="rId691" Type="http://schemas.openxmlformats.org/officeDocument/2006/relationships/hyperlink" Target="https://www.ncbi.nlm.nih.gov/pubmed/?term=Pereira%20SM%5BAuthor%5D&amp;cauthor=true&amp;cauthor_uid=18753962" TargetMode="External"/><Relationship Id="rId747" Type="http://schemas.openxmlformats.org/officeDocument/2006/relationships/hyperlink" Target="https://www.ncbi.nlm.nih.gov/pubmed/?term=Ju%C3%A1rez%20O%5BAuthor%5D&amp;cauthor=true&amp;cauthor_uid=11298771" TargetMode="External"/><Relationship Id="rId789" Type="http://schemas.openxmlformats.org/officeDocument/2006/relationships/hyperlink" Target="https://www.ncbi.nlm.nih.gov/pubmed/?term=Taghavi%20P%5BAuthor%5D&amp;cauthor=true&amp;cauthor_uid=11727934" TargetMode="External"/><Relationship Id="rId912" Type="http://schemas.openxmlformats.org/officeDocument/2006/relationships/hyperlink" Target="https://www.ncbi.nlm.nih.gov/pubmed/?term=Wortel%20MT%5BAuthor%5D&amp;cauthor=true&amp;cauthor_uid=24436182" TargetMode="External"/><Relationship Id="rId954" Type="http://schemas.openxmlformats.org/officeDocument/2006/relationships/hyperlink" Target="https://www.ncbi.nlm.nih.gov/pubmed/?term=Rofstad%20EK%5BAuthor%5D&amp;cauthor=true&amp;cauthor_uid=10706105" TargetMode="External"/><Relationship Id="rId996" Type="http://schemas.openxmlformats.org/officeDocument/2006/relationships/hyperlink" Target="https://www.ncbi.nlm.nih.gov/pubmed/?term=Thaler%20HT%5BAuthor%5D&amp;cauthor=true&amp;cauthor_uid=21618306" TargetMode="External"/><Relationship Id="rId41" Type="http://schemas.openxmlformats.org/officeDocument/2006/relationships/image" Target="media/image14.png"/><Relationship Id="rId83" Type="http://schemas.openxmlformats.org/officeDocument/2006/relationships/chart" Target="charts/chart17.xml"/><Relationship Id="rId179" Type="http://schemas.openxmlformats.org/officeDocument/2006/relationships/hyperlink" Target="https://www.ncbi.nlm.nih.gov/pubmed/?term=Thomas%20CJ%5BAuthor%5D&amp;cauthor=true&amp;cauthor_uid=22052977" TargetMode="External"/><Relationship Id="rId386" Type="http://schemas.openxmlformats.org/officeDocument/2006/relationships/hyperlink" Target="https://www.ncbi.nlm.nih.gov/pubmed/?term=Chen%20L%5BAuthor%5D&amp;cauthor=true&amp;cauthor_uid=23693134" TargetMode="External"/><Relationship Id="rId551" Type="http://schemas.openxmlformats.org/officeDocument/2006/relationships/hyperlink" Target="https://www.ncbi.nlm.nih.gov/pubmed/?term=Mar%C3%ADn-Hern%C3%A1ndez%20%C3%81%5BAuthor%5D&amp;cauthor=true&amp;cauthor_uid=27661776" TargetMode="External"/><Relationship Id="rId593" Type="http://schemas.openxmlformats.org/officeDocument/2006/relationships/hyperlink" Target="https://www.ncbi.nlm.nih.gov/pubmed/?term=Owen%20GI%5BAuthor%5D&amp;cauthor=true&amp;cauthor_uid=12125211" TargetMode="External"/><Relationship Id="rId607" Type="http://schemas.openxmlformats.org/officeDocument/2006/relationships/hyperlink" Target="https://www.ncbi.nlm.nih.gov/pubmed/?term=Costa%20P%5BAuthor%5D&amp;cauthor=true&amp;cauthor_uid=23258846" TargetMode="External"/><Relationship Id="rId649" Type="http://schemas.openxmlformats.org/officeDocument/2006/relationships/hyperlink" Target="https://www.ncbi.nlm.nih.gov/pubmed/?term=Hellerstein%20M%5BAuthor%5D&amp;cauthor=true&amp;cauthor_uid=26073543" TargetMode="External"/><Relationship Id="rId814" Type="http://schemas.openxmlformats.org/officeDocument/2006/relationships/hyperlink" Target="https://www.ncbi.nlm.nih.gov/pubmed/?term=Coelho%20WS%5BAuthor%5D&amp;cauthor=true&amp;cauthor_uid=21117169" TargetMode="External"/><Relationship Id="rId856" Type="http://schemas.openxmlformats.org/officeDocument/2006/relationships/hyperlink" Target="https://www.ncbi.nlm.nih.gov/pubmed/?term=Liesivuori%20J%5BAuthor%5D&amp;cauthor=true&amp;cauthor_uid=18638467" TargetMode="External"/><Relationship Id="rId190" Type="http://schemas.openxmlformats.org/officeDocument/2006/relationships/hyperlink" Target="https://www.ncbi.nlm.nih.gov/pubmed/?term=Broccia%20G%5BAuthor%5D&amp;cauthor=true&amp;cauthor_uid=10403541" TargetMode="External"/><Relationship Id="rId204" Type="http://schemas.openxmlformats.org/officeDocument/2006/relationships/hyperlink" Target="https://www.ncbi.nlm.nih.gov/pubmed/?term=Lehman%20JM%5BAuthor%5D&amp;cauthor=true&amp;cauthor_uid=167939" TargetMode="External"/><Relationship Id="rId246" Type="http://schemas.openxmlformats.org/officeDocument/2006/relationships/hyperlink" Target="https://www.ncbi.nlm.nih.gov/pubmed/?term=Chen%20DL%5BAuthor%5D&amp;cauthor=true&amp;cauthor_uid=28193910" TargetMode="External"/><Relationship Id="rId288" Type="http://schemas.openxmlformats.org/officeDocument/2006/relationships/hyperlink" Target="https://www.ncbi.nlm.nih.gov/pubmed/?term=Han%20L%5BAuthor%5D&amp;cauthor=true&amp;cauthor_uid=27217331" TargetMode="External"/><Relationship Id="rId411" Type="http://schemas.openxmlformats.org/officeDocument/2006/relationships/hyperlink" Target="https://www.ncbi.nlm.nih.gov/pubmed/?term=Leung%20SW%5BAuthor%5D&amp;cauthor=true&amp;cauthor_uid=9436976" TargetMode="External"/><Relationship Id="rId453" Type="http://schemas.openxmlformats.org/officeDocument/2006/relationships/hyperlink" Target="https://www.ncbi.nlm.nih.gov/pubmed/?term=Murphy%20SK%5BAuthor%5D&amp;cauthor=true&amp;cauthor_uid=19795452" TargetMode="External"/><Relationship Id="rId509" Type="http://schemas.openxmlformats.org/officeDocument/2006/relationships/hyperlink" Target="https://www.ncbi.nlm.nih.gov/pubmed/?term=Nied%C5%BAwiecka%20K%5BAuthor%5D&amp;cauthor=true&amp;cauthor_uid=27983708" TargetMode="External"/><Relationship Id="rId660" Type="http://schemas.openxmlformats.org/officeDocument/2006/relationships/hyperlink" Target="https://www.ncbi.nlm.nih.gov/pubmed/?term=Vandenberg%20SR%5BAuthor%5D&amp;cauthor=true&amp;cauthor_uid=20150380" TargetMode="External"/><Relationship Id="rId898" Type="http://schemas.openxmlformats.org/officeDocument/2006/relationships/hyperlink" Target="https://www.ncbi.nlm.nih.gov/pubmed/?term=Stone%20H%5BAuthor%5D&amp;cauthor=true&amp;cauthor_uid=17118889" TargetMode="External"/><Relationship Id="rId1041" Type="http://schemas.openxmlformats.org/officeDocument/2006/relationships/hyperlink" Target="https://www.ncbi.nlm.nih.gov/pubmed/?term=Xu%20YD%5BAuthor%5D&amp;cauthor=true&amp;cauthor_uid=23289007" TargetMode="External"/><Relationship Id="rId1083" Type="http://schemas.openxmlformats.org/officeDocument/2006/relationships/theme" Target="theme/theme1.xml"/><Relationship Id="rId106" Type="http://schemas.openxmlformats.org/officeDocument/2006/relationships/chart" Target="charts/chart40.xml"/><Relationship Id="rId313" Type="http://schemas.openxmlformats.org/officeDocument/2006/relationships/hyperlink" Target="https://www.ncbi.nlm.nih.gov/pubmed/?term=Voelkl%20S%5BAuthor%5D&amp;cauthor=true&amp;cauthor_uid=17255361" TargetMode="External"/><Relationship Id="rId495" Type="http://schemas.openxmlformats.org/officeDocument/2006/relationships/hyperlink" Target="https://www.ncbi.nlm.nih.gov/pubmed/?term=Xu%20Q%5BAuthor%5D&amp;cauthor=true&amp;cauthor_uid=30455857" TargetMode="External"/><Relationship Id="rId716" Type="http://schemas.openxmlformats.org/officeDocument/2006/relationships/hyperlink" Target="https://www.ncbi.nlm.nih.gov/pubmed/?term=Sini%20C%5BAuthor%5D&amp;cauthor=true&amp;cauthor_uid=23988223" TargetMode="External"/><Relationship Id="rId758" Type="http://schemas.openxmlformats.org/officeDocument/2006/relationships/hyperlink" Target="https://www.ncbi.nlm.nih.gov/pubmed/?term=Matsuno-Yagi%20A%5BAuthor%5D&amp;cauthor=true&amp;cauthor_uid=23426180" TargetMode="External"/><Relationship Id="rId923" Type="http://schemas.openxmlformats.org/officeDocument/2006/relationships/hyperlink" Target="https://www.ncbi.nlm.nih.gov/pubmed/?term=Michiels%20C%5BAuthor%5D&amp;cauthor=true&amp;cauthor_uid=21300765" TargetMode="External"/><Relationship Id="rId965" Type="http://schemas.openxmlformats.org/officeDocument/2006/relationships/hyperlink" Target="https://www.ncbi.nlm.nih.gov/pubmed/?term=Zhou%20X%5BAuthor%5D&amp;cauthor=true&amp;cauthor_uid=29340090" TargetMode="External"/><Relationship Id="rId10" Type="http://schemas.openxmlformats.org/officeDocument/2006/relationships/footer" Target="footer1.xml"/><Relationship Id="rId52" Type="http://schemas.openxmlformats.org/officeDocument/2006/relationships/image" Target="media/image25.jpeg"/><Relationship Id="rId94" Type="http://schemas.openxmlformats.org/officeDocument/2006/relationships/chart" Target="charts/chart28.xml"/><Relationship Id="rId148" Type="http://schemas.openxmlformats.org/officeDocument/2006/relationships/image" Target="media/image62.jpeg"/><Relationship Id="rId355" Type="http://schemas.openxmlformats.org/officeDocument/2006/relationships/hyperlink" Target="https://www.ncbi.nlm.nih.gov/pubmed/?term=Zhou%20C%5BAuthor%5D&amp;cauthor=true&amp;cauthor_uid=26135947" TargetMode="External"/><Relationship Id="rId397" Type="http://schemas.openxmlformats.org/officeDocument/2006/relationships/hyperlink" Target="https://www.ncbi.nlm.nih.gov/pubmed/?term=Reya%20T%5BAuthor%5D&amp;cauthor=true&amp;cauthor_uid=29045397" TargetMode="External"/><Relationship Id="rId520" Type="http://schemas.openxmlformats.org/officeDocument/2006/relationships/hyperlink" Target="https://www.ncbi.nlm.nih.gov/pubmed/?term=Yin%20H%5BAuthor%5D&amp;cauthor=true&amp;cauthor_uid=27878287" TargetMode="External"/><Relationship Id="rId562" Type="http://schemas.openxmlformats.org/officeDocument/2006/relationships/hyperlink" Target="https://www.ncbi.nlm.nih.gov/pubmed/?term=Moreno-S%C3%A1nchez%20R%5BAuthor%5D&amp;cauthor=true&amp;cauthor_uid=21110941" TargetMode="External"/><Relationship Id="rId618" Type="http://schemas.openxmlformats.org/officeDocument/2006/relationships/hyperlink" Target="https://www.ncbi.nlm.nih.gov/pubmed/?term=Zheng%20S%5BAuthor%5D&amp;cauthor=true&amp;cauthor_uid=23451252" TargetMode="External"/><Relationship Id="rId825" Type="http://schemas.openxmlformats.org/officeDocument/2006/relationships/hyperlink" Target="https://www.ncbi.nlm.nih.gov/pubmed/?term=V%C3%A9gran%20F%5BAuthor%5D&amp;cauthor=true&amp;cauthor_uid=19033663" TargetMode="External"/><Relationship Id="rId215" Type="http://schemas.openxmlformats.org/officeDocument/2006/relationships/hyperlink" Target="https://www.ncbi.nlm.nih.gov/pubmed/?term=Qin%20T%5BAuthor%5D&amp;cauthor=true&amp;cauthor_uid=31241439" TargetMode="External"/><Relationship Id="rId257" Type="http://schemas.openxmlformats.org/officeDocument/2006/relationships/hyperlink" Target="https://www.ncbi.nlm.nih.gov/pubmed/?term=Draoui%20N%5BAuthor%5D&amp;cauthor=true&amp;cauthor_uid=22065843" TargetMode="External"/><Relationship Id="rId422" Type="http://schemas.openxmlformats.org/officeDocument/2006/relationships/hyperlink" Target="https://www.ncbi.nlm.nih.gov/pubmed/?term=Chung%20YR%5BAuthor%5D&amp;cauthor=true&amp;cauthor_uid=27184798" TargetMode="External"/><Relationship Id="rId464" Type="http://schemas.openxmlformats.org/officeDocument/2006/relationships/hyperlink" Target="https://www.ncbi.nlm.nih.gov/pubmed/?term=Jang%20YJ%5BAuthor%5D&amp;cauthor=true&amp;cauthor_uid=25892225" TargetMode="External"/><Relationship Id="rId867" Type="http://schemas.openxmlformats.org/officeDocument/2006/relationships/hyperlink" Target="https://www.ncbi.nlm.nih.gov/pubmed/?term=Szak%26%23x000e1%3Bcs%20G%5BAuthor%5D&amp;cauthor=true&amp;cauthor_uid=28562340" TargetMode="External"/><Relationship Id="rId1010" Type="http://schemas.openxmlformats.org/officeDocument/2006/relationships/hyperlink" Target="https://www.ncbi.nlm.nih.gov/pubmed/?term=Inagaki%20N%5BAuthor%5D&amp;cauthor=true&amp;cauthor_uid=2372287" TargetMode="External"/><Relationship Id="rId1052" Type="http://schemas.openxmlformats.org/officeDocument/2006/relationships/hyperlink" Target="https://www.ncbi.nlm.nih.gov/pubmed/?term=Rivera%20K%5BAuthor%5D&amp;cauthor=true&amp;cauthor_uid=26541605" TargetMode="External"/><Relationship Id="rId299" Type="http://schemas.openxmlformats.org/officeDocument/2006/relationships/hyperlink" Target="https://www.ncbi.nlm.nih.gov/pubmed/?term=Nair%20J%5BAuthor%5D&amp;cauthor=true&amp;cauthor_uid=11909700" TargetMode="External"/><Relationship Id="rId727" Type="http://schemas.openxmlformats.org/officeDocument/2006/relationships/hyperlink" Target="https://www.ncbi.nlm.nih.gov/pubmed/?term=Zhou%20Q%5BAuthor%5D&amp;cauthor=true&amp;cauthor_uid=17983831" TargetMode="External"/><Relationship Id="rId934" Type="http://schemas.openxmlformats.org/officeDocument/2006/relationships/hyperlink" Target="https://www.ncbi.nlm.nih.gov/pubmed/?term=%22Ilkayeva%20OR%22%5BAuthor%5D&amp;cauthor=true&amp;cauthor_uid=28380375" TargetMode="External"/><Relationship Id="rId63" Type="http://schemas.openxmlformats.org/officeDocument/2006/relationships/image" Target="media/image35.jpeg"/><Relationship Id="rId159" Type="http://schemas.openxmlformats.org/officeDocument/2006/relationships/image" Target="media/image73.jpeg"/><Relationship Id="rId366" Type="http://schemas.openxmlformats.org/officeDocument/2006/relationships/hyperlink" Target="https://www.ncbi.nlm.nih.gov/pmc/articles/PMC3210779/" TargetMode="External"/><Relationship Id="rId573" Type="http://schemas.openxmlformats.org/officeDocument/2006/relationships/hyperlink" Target="https://www.ncbi.nlm.nih.gov/pubmed/?term=Spitz%20GA%5BAuthor%5D&amp;cauthor=true&amp;cauthor_uid=19250982" TargetMode="External"/><Relationship Id="rId780" Type="http://schemas.openxmlformats.org/officeDocument/2006/relationships/hyperlink" Target="https://www.ncbi.nlm.nih.gov/pubmed/?term=Semenza%20GL%5BAuthor%5D&amp;cauthor=true&amp;cauthor_uid=11727934" TargetMode="External"/><Relationship Id="rId226" Type="http://schemas.openxmlformats.org/officeDocument/2006/relationships/hyperlink" Target="https://www.ncbi.nlm.nih.gov/pubmed/?term=Coelho%20WS%5BAuthor%5D&amp;cauthor=true&amp;cauthor_uid=17720578" TargetMode="External"/><Relationship Id="rId433" Type="http://schemas.openxmlformats.org/officeDocument/2006/relationships/hyperlink" Target="https://www.ncbi.nlm.nih.gov/pubmed/?term=Van%20Criekinge%20M%5BAuthor%5D&amp;cauthor=true&amp;cauthor_uid=23532911" TargetMode="External"/><Relationship Id="rId878" Type="http://schemas.openxmlformats.org/officeDocument/2006/relationships/hyperlink" Target="https://www.ncbi.nlm.nih.gov/pubmed/?term=Giaccia%20AJ%5BAuthor%5D&amp;cauthor=true&amp;cauthor_uid=17118889" TargetMode="External"/><Relationship Id="rId1063" Type="http://schemas.openxmlformats.org/officeDocument/2006/relationships/hyperlink" Target="https://www.ncbi.nlm.nih.gov/pubmed/?term=Dow%20LE%5BAuthor%5D&amp;cauthor=true&amp;cauthor_uid=26541605" TargetMode="External"/><Relationship Id="rId640" Type="http://schemas.openxmlformats.org/officeDocument/2006/relationships/hyperlink" Target="https://www.ncbi.nlm.nih.gov/pubmed/?term=Kobayashi%20M%5BAuthor%5D&amp;cauthor=true&amp;cauthor_uid=17651733" TargetMode="External"/><Relationship Id="rId738" Type="http://schemas.openxmlformats.org/officeDocument/2006/relationships/hyperlink" Target="https://www.ncbi.nlm.nih.gov/pubmed/?term=Ghigo%20D%5BAuthor%5D&amp;cauthor=true&amp;cauthor_uid=22580150" TargetMode="External"/><Relationship Id="rId945" Type="http://schemas.openxmlformats.org/officeDocument/2006/relationships/hyperlink" Target="https://www.ncbi.nlm.nih.gov/pubmed/?term=Evensen%20JF%5BAuthor%5D&amp;cauthor=true&amp;cauthor_uid=9033256" TargetMode="External"/><Relationship Id="rId74" Type="http://schemas.openxmlformats.org/officeDocument/2006/relationships/chart" Target="charts/chart9.xml"/><Relationship Id="rId377" Type="http://schemas.openxmlformats.org/officeDocument/2006/relationships/hyperlink" Target="https://www.ncbi.nlm.nih.gov/pubmed/?term=Sattler%20UG%5BAuthor%5D&amp;cauthor=true&amp;cauthor_uid=22084445" TargetMode="External"/><Relationship Id="rId500" Type="http://schemas.openxmlformats.org/officeDocument/2006/relationships/hyperlink" Target="https://www.ncbi.nlm.nih.gov/pubmed/?term=Elemento%20O%5BAuthor%5D&amp;cauthor=true&amp;cauthor_uid=28918937" TargetMode="External"/><Relationship Id="rId584" Type="http://schemas.openxmlformats.org/officeDocument/2006/relationships/hyperlink" Target="https://www.ncbi.nlm.nih.gov/pubmed/?term=Troppmair%20J%5BAuthor%5D&amp;cauthor=true&amp;cauthor_uid=18225557" TargetMode="External"/><Relationship Id="rId805" Type="http://schemas.openxmlformats.org/officeDocument/2006/relationships/hyperlink" Target="https://www.ncbi.nlm.nih.gov/pubmed/?term=Dolde%20C%5BAuthor%5D&amp;cauthor=true&amp;cauthor_uid=9192621" TargetMode="External"/><Relationship Id="rId5" Type="http://schemas.openxmlformats.org/officeDocument/2006/relationships/settings" Target="settings.xml"/><Relationship Id="rId237" Type="http://schemas.openxmlformats.org/officeDocument/2006/relationships/hyperlink" Target="https://www.ncbi.nlm.nih.gov/pubmed/?term=Guimar%C3%A3es%20Coelho%20R%5BAuthor%5D&amp;cauthor=true&amp;cauthor_uid=17666012" TargetMode="External"/><Relationship Id="rId791" Type="http://schemas.openxmlformats.org/officeDocument/2006/relationships/hyperlink" Target="https://www.ncbi.nlm.nih.gov/pubmed/?term=Semenza%20GL%5BAuthor%5D&amp;cauthor=true&amp;cauthor_uid=21830968" TargetMode="External"/><Relationship Id="rId889" Type="http://schemas.openxmlformats.org/officeDocument/2006/relationships/hyperlink" Target="https://www.ncbi.nlm.nih.gov/pubmed/?term=Reba%20R%5BAuthor%5D&amp;cauthor=true&amp;cauthor_uid=17118889" TargetMode="External"/><Relationship Id="rId1074" Type="http://schemas.openxmlformats.org/officeDocument/2006/relationships/hyperlink" Target="https://www.ncbi.nlm.nih.gov/pubmed/?term=Zhang%20Y%5BAuthor%5D&amp;cauthor=true&amp;cauthor_uid=20032314" TargetMode="External"/><Relationship Id="rId444" Type="http://schemas.openxmlformats.org/officeDocument/2006/relationships/hyperlink" Target="https://www.ncbi.nlm.nih.gov/pubmed/?term=Mori%20S%5BAuthor%5D&amp;cauthor=true&amp;cauthor_uid=19795452" TargetMode="External"/><Relationship Id="rId651" Type="http://schemas.openxmlformats.org/officeDocument/2006/relationships/hyperlink" Target="https://www.ncbi.nlm.nih.gov/pubmed/?term=Verdin%20E%5BAuthor%5D&amp;cauthor=true&amp;cauthor_uid=26073543" TargetMode="External"/><Relationship Id="rId749" Type="http://schemas.openxmlformats.org/officeDocument/2006/relationships/hyperlink" Target="https://www.ncbi.nlm.nih.gov/pubmed/?term=Moreno-S%C3%A1nchez%20R%5BAuthor%5D&amp;cauthor=true&amp;cauthor_uid=11298771" TargetMode="External"/><Relationship Id="rId290" Type="http://schemas.openxmlformats.org/officeDocument/2006/relationships/hyperlink" Target="https://www.ncbi.nlm.nih.gov/pubmed/?term=Li%20H%5BAuthor%5D&amp;cauthor=true&amp;cauthor_uid=27217331" TargetMode="External"/><Relationship Id="rId304" Type="http://schemas.openxmlformats.org/officeDocument/2006/relationships/hyperlink" Target="https://www.ncbi.nlm.nih.gov/pubmed/?term=Gao%20Y%5BAuthor%5D&amp;cauthor=true&amp;cauthor_uid=23846818" TargetMode="External"/><Relationship Id="rId388" Type="http://schemas.openxmlformats.org/officeDocument/2006/relationships/hyperlink" Target="https://www.ncbi.nlm.nih.gov/pubmed/?term=Cai%20T%5BAuthor%5D&amp;cauthor=true&amp;cauthor_uid=23693134" TargetMode="External"/><Relationship Id="rId511" Type="http://schemas.openxmlformats.org/officeDocument/2006/relationships/hyperlink" Target="https://www.ncbi.nlm.nih.gov/pubmed/?term=Pedersen%20PL%5BAuthor%5D&amp;cauthor=true&amp;cauthor_uid=27983708" TargetMode="External"/><Relationship Id="rId609" Type="http://schemas.openxmlformats.org/officeDocument/2006/relationships/hyperlink" Target="https://www.ncbi.nlm.nih.gov/pubmed/?term=Reis%20RM%5BAuthor%5D&amp;cauthor=true&amp;cauthor_uid=23258846" TargetMode="External"/><Relationship Id="rId956" Type="http://schemas.openxmlformats.org/officeDocument/2006/relationships/hyperlink" Target="https://www.ncbi.nlm.nih.gov/pubmed/?term=Wang%20W%5BAuthor%5D&amp;cauthor=true&amp;cauthor_uid=29340090" TargetMode="External"/><Relationship Id="rId85" Type="http://schemas.openxmlformats.org/officeDocument/2006/relationships/chart" Target="charts/chart19.xml"/><Relationship Id="rId150" Type="http://schemas.openxmlformats.org/officeDocument/2006/relationships/image" Target="media/image64.jpeg"/><Relationship Id="rId595" Type="http://schemas.openxmlformats.org/officeDocument/2006/relationships/hyperlink" Target="https://www.ncbi.nlm.nih.gov/pubmed/?term=Sheng%20S%5BAuthor%5D&amp;cauthor=true&amp;cauthor_uid=24265197" TargetMode="External"/><Relationship Id="rId816" Type="http://schemas.openxmlformats.org/officeDocument/2006/relationships/hyperlink" Target="https://www.ncbi.nlm.nih.gov/pubmed/?term=Zancan%20P%5BAuthor%5D&amp;cauthor=true&amp;cauthor_uid=21117169" TargetMode="External"/><Relationship Id="rId1001" Type="http://schemas.openxmlformats.org/officeDocument/2006/relationships/hyperlink" Target="https://www.ncbi.nlm.nih.gov/pubmed/?term=Zakian%20KL%5BAuthor%5D&amp;cauthor=true&amp;cauthor_uid=21618306" TargetMode="External"/><Relationship Id="rId248" Type="http://schemas.openxmlformats.org/officeDocument/2006/relationships/hyperlink" Target="https://www.ncbi.nlm.nih.gov/pubmed/?term=Chen%20YM%5BAuthor%5D&amp;cauthor=true&amp;cauthor_uid=28193910" TargetMode="External"/><Relationship Id="rId455" Type="http://schemas.openxmlformats.org/officeDocument/2006/relationships/hyperlink" Target="https://www.ncbi.nlm.nih.gov/pubmed/?term=Kroemer%20G%5BAuthor%5D&amp;cauthor=true&amp;cauthor_uid=18538731" TargetMode="External"/><Relationship Id="rId662" Type="http://schemas.openxmlformats.org/officeDocument/2006/relationships/hyperlink" Target="https://www.ncbi.nlm.nih.gov/pubmed/?term=Nelson%20SJ%5BAuthor%5D&amp;cauthor=true&amp;cauthor_uid=20150380" TargetMode="External"/><Relationship Id="rId12" Type="http://schemas.openxmlformats.org/officeDocument/2006/relationships/image" Target="media/image1.png"/><Relationship Id="rId108" Type="http://schemas.openxmlformats.org/officeDocument/2006/relationships/chart" Target="charts/chart42.xml"/><Relationship Id="rId315" Type="http://schemas.openxmlformats.org/officeDocument/2006/relationships/hyperlink" Target="https://www.ncbi.nlm.nih.gov/pubmed/?term=Ammer%20J%5BAuthor%5D&amp;cauthor=true&amp;cauthor_uid=17255361" TargetMode="External"/><Relationship Id="rId522" Type="http://schemas.openxmlformats.org/officeDocument/2006/relationships/hyperlink" Target="https://www.ncbi.nlm.nih.gov/pubmed/?term=Jin%20L%5BAuthor%5D&amp;cauthor=true&amp;cauthor_uid=25514599" TargetMode="External"/><Relationship Id="rId967" Type="http://schemas.openxmlformats.org/officeDocument/2006/relationships/hyperlink" Target="https://www.ncbi.nlm.nih.gov/pubmed/?term=Wang%20ZY%5BAuthor%5D&amp;cauthor=true&amp;cauthor_uid=21452021" TargetMode="External"/><Relationship Id="rId96" Type="http://schemas.openxmlformats.org/officeDocument/2006/relationships/chart" Target="charts/chart30.xml"/><Relationship Id="rId161" Type="http://schemas.openxmlformats.org/officeDocument/2006/relationships/image" Target="media/image75.jpeg"/><Relationship Id="rId399" Type="http://schemas.openxmlformats.org/officeDocument/2006/relationships/hyperlink" Target="https://www.ncbi.nlm.nih.gov/pubmed/?term=Yanxiang%20Guo%20J%5BAuthor%5D&amp;cauthor=true&amp;cauthor_uid=29045397" TargetMode="External"/><Relationship Id="rId827" Type="http://schemas.openxmlformats.org/officeDocument/2006/relationships/hyperlink" Target="https://www.ncbi.nlm.nih.gov/pubmed/?term=Wergin%20MC%5BAuthor%5D&amp;cauthor=true&amp;cauthor_uid=19033663" TargetMode="External"/><Relationship Id="rId1012" Type="http://schemas.openxmlformats.org/officeDocument/2006/relationships/hyperlink" Target="https://www.ncbi.nlm.nih.gov/pubmed/?term=Inoue%20K%5BAuthor%5D&amp;cauthor=true&amp;cauthor_uid=2372287" TargetMode="External"/><Relationship Id="rId259" Type="http://schemas.openxmlformats.org/officeDocument/2006/relationships/hyperlink" Target="https://www.ncbi.nlm.nih.gov/pubmed/?term=Estrella%20V%5BAuthor%5D&amp;cauthor=true&amp;cauthor_uid=23288510" TargetMode="External"/><Relationship Id="rId466" Type="http://schemas.openxmlformats.org/officeDocument/2006/relationships/hyperlink" Target="https://www.ncbi.nlm.nih.gov/pubmed/?term=Hong%20YK%5BAuthor%5D&amp;cauthor=true&amp;cauthor_uid=25892225" TargetMode="External"/><Relationship Id="rId673" Type="http://schemas.openxmlformats.org/officeDocument/2006/relationships/hyperlink" Target="https://www.ncbi.nlm.nih.gov/pubmed/?term=Baltazar%20F%5BAuthor%5D&amp;cauthor=true&amp;cauthor_uid=21787388" TargetMode="External"/><Relationship Id="rId880" Type="http://schemas.openxmlformats.org/officeDocument/2006/relationships/hyperlink" Target="https://www.ncbi.nlm.nih.gov/pubmed/?term=Koch%20CJ%5BAuthor%5D&amp;cauthor=true&amp;cauthor_uid=17118889" TargetMode="External"/><Relationship Id="rId23" Type="http://schemas.openxmlformats.org/officeDocument/2006/relationships/hyperlink" Target="https://www.sciencedirect.com/topics/biochemistry-genetics-and-molecular-biology/dehydrogenase" TargetMode="External"/><Relationship Id="rId119" Type="http://schemas.openxmlformats.org/officeDocument/2006/relationships/chart" Target="charts/chart53.xml"/><Relationship Id="rId326" Type="http://schemas.openxmlformats.org/officeDocument/2006/relationships/hyperlink" Target="https://www.ncbi.nlm.nih.gov/pubmed/?term=Krause%20SW%5BAuthor%5D&amp;cauthor=true&amp;cauthor_uid=17255361" TargetMode="External"/><Relationship Id="rId533" Type="http://schemas.openxmlformats.org/officeDocument/2006/relationships/hyperlink" Target="https://www.ncbi.nlm.nih.gov/pubmed/?term=Liu%20XS%5BAuthor%5D&amp;cauthor=true&amp;cauthor_uid=25784656" TargetMode="External"/><Relationship Id="rId978" Type="http://schemas.openxmlformats.org/officeDocument/2006/relationships/hyperlink" Target="https://www.ncbi.nlm.nih.gov/pubmed/?term=Rosenberger%20C%5BAuthor%5D&amp;cauthor=true&amp;cauthor_uid=12490539" TargetMode="External"/><Relationship Id="rId740" Type="http://schemas.openxmlformats.org/officeDocument/2006/relationships/hyperlink" Target="https://www.ncbi.nlm.nih.gov/pubmed/?term=Herrejon-Abreu%20EB%5BAuthor%5D&amp;cauthor=true&amp;cauthor_uid=19109946" TargetMode="External"/><Relationship Id="rId838" Type="http://schemas.openxmlformats.org/officeDocument/2006/relationships/hyperlink" Target="https://www.ncbi.nlm.nih.gov/pubmed/?term=Dewhirst%20MW%5BAuthor%5D&amp;cauthor=true&amp;cauthor_uid=19033663" TargetMode="External"/><Relationship Id="rId1023" Type="http://schemas.openxmlformats.org/officeDocument/2006/relationships/hyperlink" Target="https://www.ncbi.nlm.nih.gov/pubmed/?term=Yaromina%20A%5BAuthor%5D&amp;cauthor=true&amp;cauthor_uid=19895274" TargetMode="External"/><Relationship Id="rId172" Type="http://schemas.openxmlformats.org/officeDocument/2006/relationships/hyperlink" Target="https://www.ncbi.nlm.nih.gov/pubmed/?term=Boxer%20MB%5BAuthor%5D&amp;cauthor=true&amp;cauthor_uid=22052977" TargetMode="External"/><Relationship Id="rId477" Type="http://schemas.openxmlformats.org/officeDocument/2006/relationships/hyperlink" Target="https://www.ncbi.nlm.nih.gov/pubmed/?term=Leontieva%20OV%5BAuthor%5D&amp;cauthor=true&amp;cauthor_uid=24810050" TargetMode="External"/><Relationship Id="rId600" Type="http://schemas.openxmlformats.org/officeDocument/2006/relationships/hyperlink" Target="https://www.ncbi.nlm.nih.gov/pubmed/?term=Honavar%20M%5BAuthor%5D&amp;cauthor=true&amp;cauthor_uid=23258846" TargetMode="External"/><Relationship Id="rId684" Type="http://schemas.openxmlformats.org/officeDocument/2006/relationships/hyperlink" Target="https://www.ncbi.nlm.nih.gov/pubmed/?term=Azevedo-Silva%20J%5BAuthor%5D&amp;cauthor=true&amp;cauthor_uid=22407107" TargetMode="External"/><Relationship Id="rId337" Type="http://schemas.openxmlformats.org/officeDocument/2006/relationships/hyperlink" Target="https://www.ncbi.nlm.nih.gov/pubmed/?term=Osmanian%20C%5BAuthor%5D&amp;cauthor=true&amp;cauthor_uid=8538748" TargetMode="External"/><Relationship Id="rId891" Type="http://schemas.openxmlformats.org/officeDocument/2006/relationships/hyperlink" Target="https://www.ncbi.nlm.nih.gov/pubmed/?term=Semenza%20GL%5BAuthor%5D&amp;cauthor=true&amp;cauthor_uid=17118889" TargetMode="External"/><Relationship Id="rId905" Type="http://schemas.openxmlformats.org/officeDocument/2006/relationships/hyperlink" Target="https://www.ncbi.nlm.nih.gov/pubmed/?term=Van%20Driel%20BE%5BAuthor%5D&amp;cauthor=true&amp;cauthor_uid=10440855" TargetMode="External"/><Relationship Id="rId989" Type="http://schemas.openxmlformats.org/officeDocument/2006/relationships/hyperlink" Target="https://www.ncbi.nlm.nih.gov/pubmed/?term=Eckardt%20KU%5BAuthor%5D&amp;cauthor=true&amp;cauthor_uid=12490539" TargetMode="External"/><Relationship Id="rId34" Type="http://schemas.openxmlformats.org/officeDocument/2006/relationships/image" Target="media/image10.png"/><Relationship Id="rId544" Type="http://schemas.openxmlformats.org/officeDocument/2006/relationships/hyperlink" Target="https://www.ncbi.nlm.nih.gov/pubmed/?term=Jia%20X%5BAuthor%5D&amp;cauthor=true&amp;cauthor_uid=23377827" TargetMode="External"/><Relationship Id="rId751" Type="http://schemas.openxmlformats.org/officeDocument/2006/relationships/hyperlink" Target="https://www.ncbi.nlm.nih.gov/pubmed/?term=Wu%20W%5BAuthor%5D&amp;cauthor=true&amp;cauthor_uid=23404405" TargetMode="External"/><Relationship Id="rId849" Type="http://schemas.openxmlformats.org/officeDocument/2006/relationships/hyperlink" Target="https://www.ncbi.nlm.nih.gov/pubmed/?term=Orita%20H%5BAuthor%5D&amp;cauthor=true&amp;cauthor_uid=16951228" TargetMode="External"/><Relationship Id="rId183" Type="http://schemas.openxmlformats.org/officeDocument/2006/relationships/hyperlink" Target="https://www.ncbi.nlm.nih.gov/pubmed/?term=Pulisci%20D%5BAuthor%5D&amp;cauthor=true&amp;cauthor_uid=10403541" TargetMode="External"/><Relationship Id="rId390" Type="http://schemas.openxmlformats.org/officeDocument/2006/relationships/hyperlink" Target="https://www.ncbi.nlm.nih.gov/pubmed/?term=Hui%20S%5BAuthor%5D&amp;cauthor=true&amp;cauthor_uid=29045397" TargetMode="External"/><Relationship Id="rId404" Type="http://schemas.openxmlformats.org/officeDocument/2006/relationships/hyperlink" Target="https://www.ncbi.nlm.nih.gov/pubmed/?term=Shiga%20M%5BAuthor%5D&amp;cauthor=true&amp;cauthor_uid=8951178" TargetMode="External"/><Relationship Id="rId611" Type="http://schemas.openxmlformats.org/officeDocument/2006/relationships/hyperlink" Target="https://www.ncbi.nlm.nih.gov/pubmed/?term=Mobasheri%20A%5BAuthor%5D&amp;cauthor=true&amp;cauthor_uid=16136514" TargetMode="External"/><Relationship Id="rId1034" Type="http://schemas.openxmlformats.org/officeDocument/2006/relationships/hyperlink" Target="https://www.ncbi.nlm.nih.gov/pubmed/?term=Ward%20PS%5BAuthor%5D&amp;cauthor=true&amp;cauthor_uid=22509023" TargetMode="External"/><Relationship Id="rId250" Type="http://schemas.openxmlformats.org/officeDocument/2006/relationships/hyperlink" Target="https://www.ncbi.nlm.nih.gov/pubmed/?term=Wang%20J%5BAuthor%5D&amp;cauthor=true&amp;cauthor_uid=28193910" TargetMode="External"/><Relationship Id="rId488" Type="http://schemas.openxmlformats.org/officeDocument/2006/relationships/hyperlink" Target="https://www.ncbi.nlm.nih.gov/pubmed/?term=Lu%20Y%5BAuthor%5D&amp;cauthor=true&amp;cauthor_uid=31000383" TargetMode="External"/><Relationship Id="rId695" Type="http://schemas.openxmlformats.org/officeDocument/2006/relationships/hyperlink" Target="https://www.ncbi.nlm.nih.gov/pubmed/?term=Queiroz%20GS%5BAuthor%5D&amp;cauthor=true&amp;cauthor_uid=18753962" TargetMode="External"/><Relationship Id="rId709" Type="http://schemas.openxmlformats.org/officeDocument/2006/relationships/hyperlink" Target="https://www.ncbi.nlm.nih.gov/pubmed/?term=Puzone%20R%5BAuthor%5D&amp;cauthor=true&amp;cauthor_uid=23988223" TargetMode="External"/><Relationship Id="rId916" Type="http://schemas.openxmlformats.org/officeDocument/2006/relationships/hyperlink" Target="https://www.ncbi.nlm.nih.gov/pubmed/?term=Planqu%C3%A9%20R%5BAuthor%5D&amp;cauthor=true&amp;cauthor_uid=24436182" TargetMode="External"/><Relationship Id="rId45" Type="http://schemas.openxmlformats.org/officeDocument/2006/relationships/image" Target="media/image18.png"/><Relationship Id="rId110" Type="http://schemas.openxmlformats.org/officeDocument/2006/relationships/chart" Target="charts/chart44.xml"/><Relationship Id="rId348" Type="http://schemas.openxmlformats.org/officeDocument/2006/relationships/hyperlink" Target="https://www.ncbi.nlm.nih.gov/pubmed/?term=Han%20J%5BAuthor%5D&amp;cauthor=true&amp;cauthor_uid=26135947" TargetMode="External"/><Relationship Id="rId555" Type="http://schemas.openxmlformats.org/officeDocument/2006/relationships/hyperlink" Target="https://www.ncbi.nlm.nih.gov/pubmed/?term=Robledo-Cadena%20DX%5BAuthor%5D&amp;cauthor=true&amp;cauthor_uid=27661776" TargetMode="External"/><Relationship Id="rId762" Type="http://schemas.openxmlformats.org/officeDocument/2006/relationships/hyperlink" Target="https://www.ncbi.nlm.nih.gov/pubmed/?term=Gay%20LJ%5BAuthor%5D&amp;cauthor=true&amp;cauthor_uid=23426180" TargetMode="External"/><Relationship Id="rId194" Type="http://schemas.openxmlformats.org/officeDocument/2006/relationships/hyperlink" Target="https://www.ncbi.nlm.nih.gov/pubmed/?term=Illsley%20NP%5BAuthor%5D&amp;cauthor=true&amp;cauthor_uid=17442736" TargetMode="External"/><Relationship Id="rId208" Type="http://schemas.openxmlformats.org/officeDocument/2006/relationships/hyperlink" Target="https://www.ncbi.nlm.nih.gov/pubmed/?term=Marette%20A%5BAuthor%5D&amp;cauthor=true&amp;cauthor_uid=27791266" TargetMode="External"/><Relationship Id="rId415" Type="http://schemas.openxmlformats.org/officeDocument/2006/relationships/hyperlink" Target="https://www.ncbi.nlm.nih.gov/pubmed/?term=Gearhart%20JD%5BAuthor%5D&amp;cauthor=true&amp;cauthor_uid=9436976" TargetMode="External"/><Relationship Id="rId622" Type="http://schemas.openxmlformats.org/officeDocument/2006/relationships/hyperlink" Target="https://www.ncbi.nlm.nih.gov/pubmed/?term=Nakatsu%20D%5BAuthor%5D&amp;cauthor=true&amp;cauthor_uid=25713368" TargetMode="External"/><Relationship Id="rId1045" Type="http://schemas.openxmlformats.org/officeDocument/2006/relationships/hyperlink" Target="https://www.ncbi.nlm.nih.gov/pubmed/?term=Kim%20SS%5BAuthor%5D&amp;cauthor=true&amp;cauthor_uid=15640157" TargetMode="External"/><Relationship Id="rId261" Type="http://schemas.openxmlformats.org/officeDocument/2006/relationships/hyperlink" Target="https://www.ncbi.nlm.nih.gov/pubmed/?term=Lloyd%20M%5BAuthor%5D&amp;cauthor=true&amp;cauthor_uid=23288510" TargetMode="External"/><Relationship Id="rId499" Type="http://schemas.openxmlformats.org/officeDocument/2006/relationships/hyperlink" Target="https://www.ncbi.nlm.nih.gov/pubmed/?term=Chio%20IIC%5BAuthor%5D&amp;cauthor=true&amp;cauthor_uid=28918937" TargetMode="External"/><Relationship Id="rId927" Type="http://schemas.openxmlformats.org/officeDocument/2006/relationships/hyperlink" Target="https://www.ncbi.nlm.nih.gov/pubmed/?term=Bhatt%20DP%5BAuthor%5D&amp;cauthor=true&amp;cauthor_uid=28380375" TargetMode="External"/><Relationship Id="rId56" Type="http://schemas.openxmlformats.org/officeDocument/2006/relationships/image" Target="media/image29.png"/><Relationship Id="rId359" Type="http://schemas.openxmlformats.org/officeDocument/2006/relationships/hyperlink" Target="https://www.ncbi.nlm.nih.gov/pubmed/?term=Li%20J%5BAuthor%5D&amp;cauthor=true&amp;cauthor_uid=22087246" TargetMode="External"/><Relationship Id="rId566" Type="http://schemas.openxmlformats.org/officeDocument/2006/relationships/hyperlink" Target="https://www.ncbi.nlm.nih.gov/pubmed/?term=Del%20Mazo-Monsalvo%20I%5BAuthor%5D&amp;cauthor=true&amp;cauthor_uid=24912776" TargetMode="External"/><Relationship Id="rId773" Type="http://schemas.openxmlformats.org/officeDocument/2006/relationships/hyperlink" Target="https://www.ncbi.nlm.nih.gov/pubmed/?term=Ryan%20HE%5BAuthor%5D&amp;cauthor=true&amp;cauthor_uid=11313469" TargetMode="External"/><Relationship Id="rId121" Type="http://schemas.openxmlformats.org/officeDocument/2006/relationships/chart" Target="charts/chart55.xml"/><Relationship Id="rId219" Type="http://schemas.openxmlformats.org/officeDocument/2006/relationships/hyperlink" Target="https://www.ncbi.nlm.nih.gov/pubmed/?term=Li%20X%5BAuthor%5D&amp;cauthor=true&amp;cauthor_uid=31241439" TargetMode="External"/><Relationship Id="rId426" Type="http://schemas.openxmlformats.org/officeDocument/2006/relationships/hyperlink" Target="https://www.ncbi.nlm.nih.gov/pubmed/?term=Han%20W%5BAuthor%5D&amp;cauthor=true&amp;cauthor_uid=27184798" TargetMode="External"/><Relationship Id="rId633" Type="http://schemas.openxmlformats.org/officeDocument/2006/relationships/hyperlink" Target="https://www.ncbi.nlm.nih.gov/pubmed/?term=Suhara%20W%5BAuthor%5D&amp;cauthor=true&amp;cauthor_uid=17651733" TargetMode="External"/><Relationship Id="rId980" Type="http://schemas.openxmlformats.org/officeDocument/2006/relationships/hyperlink" Target="https://www.ncbi.nlm.nih.gov/pubmed/?term=H%C3%B6rstrup%20JH%5BAuthor%5D&amp;cauthor=true&amp;cauthor_uid=12490539" TargetMode="External"/><Relationship Id="rId1056" Type="http://schemas.openxmlformats.org/officeDocument/2006/relationships/hyperlink" Target="https://www.ncbi.nlm.nih.gov/pubmed/?term=Rago%20C%5BAuthor%5D&amp;cauthor=true&amp;cauthor_uid=26541605" TargetMode="External"/><Relationship Id="rId840" Type="http://schemas.openxmlformats.org/officeDocument/2006/relationships/hyperlink" Target="https://www.ncbi.nlm.nih.gov/pubmed/?term=Rostek%20U%5BAuthor%5D&amp;cauthor=true&amp;cauthor_uid=19563799" TargetMode="External"/><Relationship Id="rId938" Type="http://schemas.openxmlformats.org/officeDocument/2006/relationships/hyperlink" Target="https://www.ncbi.nlm.nih.gov/pubmed/?term=Wagner%20GR%5BAuthor%5D&amp;cauthor=true&amp;cauthor_uid=24725594" TargetMode="External"/><Relationship Id="rId67" Type="http://schemas.openxmlformats.org/officeDocument/2006/relationships/chart" Target="charts/chart2.xml"/><Relationship Id="rId272" Type="http://schemas.openxmlformats.org/officeDocument/2006/relationships/hyperlink" Target="https://www.ncbi.nlm.nih.gov/pubmed/?term=Faloppi%20L%5BAuthor%5D&amp;cauthor=true&amp;cauthor_uid=27314036" TargetMode="External"/><Relationship Id="rId577" Type="http://schemas.openxmlformats.org/officeDocument/2006/relationships/hyperlink" Target="https://www.ncbi.nlm.nih.gov/pubmed/?term=Ko%20YH%5BAuthor%5D&amp;cauthor=true&amp;cauthor_uid=16892090" TargetMode="External"/><Relationship Id="rId700" Type="http://schemas.openxmlformats.org/officeDocument/2006/relationships/hyperlink" Target="https://www.ncbi.nlm.nih.gov/pubmed/?term=Gul%20M%5BAuthor%5D&amp;cauthor=true&amp;cauthor_uid=12415567" TargetMode="External"/><Relationship Id="rId132" Type="http://schemas.openxmlformats.org/officeDocument/2006/relationships/image" Target="media/image46.jpeg"/><Relationship Id="rId784" Type="http://schemas.openxmlformats.org/officeDocument/2006/relationships/hyperlink" Target="https://www.ncbi.nlm.nih.gov/pubmed/?term=Chiles%20K%5BAuthor%5D&amp;cauthor=true&amp;cauthor_uid=11727934" TargetMode="External"/><Relationship Id="rId991" Type="http://schemas.openxmlformats.org/officeDocument/2006/relationships/hyperlink" Target="https://www.ncbi.nlm.nih.gov/pubmed/?term=Hay%20MP%5BAuthor%5D&amp;cauthor=true&amp;cauthor_uid=21606941" TargetMode="External"/><Relationship Id="rId1067" Type="http://schemas.openxmlformats.org/officeDocument/2006/relationships/hyperlink" Target="https://www.ncbi.nlm.nih.gov/pubmed/?term=Zancan%20P%5BAuthor%5D&amp;cauthor=true&amp;cauthor_uid=20483646" TargetMode="External"/><Relationship Id="rId437" Type="http://schemas.openxmlformats.org/officeDocument/2006/relationships/hyperlink" Target="https://www.ncbi.nlm.nih.gov/pubmed/?term=Peehl%20DM%5BAuthor%5D&amp;cauthor=true&amp;cauthor_uid=23532911" TargetMode="External"/><Relationship Id="rId644" Type="http://schemas.openxmlformats.org/officeDocument/2006/relationships/hyperlink" Target="https://www.ncbi.nlm.nih.gov/pubmed/?term=He%20W%5BAuthor%5D&amp;cauthor=true&amp;cauthor_uid=26073543" TargetMode="External"/><Relationship Id="rId851" Type="http://schemas.openxmlformats.org/officeDocument/2006/relationships/hyperlink" Target="https://www.sciencedirect.com/science/journal/00052728" TargetMode="External"/><Relationship Id="rId283" Type="http://schemas.openxmlformats.org/officeDocument/2006/relationships/hyperlink" Target="https://www.ncbi.nlm.nih.gov/pubmed/?term=Jiang%20C%5BAuthor%5D&amp;cauthor=true&amp;cauthor_uid=27217331" TargetMode="External"/><Relationship Id="rId490" Type="http://schemas.openxmlformats.org/officeDocument/2006/relationships/hyperlink" Target="https://www.ncbi.nlm.nih.gov/pubmed/?term=Liu%20H%5BAuthor%5D&amp;cauthor=true&amp;cauthor_uid=30455857" TargetMode="External"/><Relationship Id="rId504" Type="http://schemas.openxmlformats.org/officeDocument/2006/relationships/hyperlink" Target="https://www.ncbi.nlm.nih.gov/pubmed/?term=Locasale%20JW%5BAuthor%5D&amp;cauthor=true&amp;cauthor_uid=28918937" TargetMode="External"/><Relationship Id="rId711" Type="http://schemas.openxmlformats.org/officeDocument/2006/relationships/hyperlink" Target="https://www.ncbi.nlm.nih.gov/pubmed/?term=Salvi%20S%5BAuthor%5D&amp;cauthor=true&amp;cauthor_uid=23988223" TargetMode="External"/><Relationship Id="rId949" Type="http://schemas.openxmlformats.org/officeDocument/2006/relationships/hyperlink" Target="https://www.ncbi.nlm.nih.gov/pubmed/?term=Walenta%20S%5BAuthor%5D&amp;cauthor=true&amp;cauthor_uid=10706105" TargetMode="External"/><Relationship Id="rId78" Type="http://schemas.openxmlformats.org/officeDocument/2006/relationships/image" Target="media/image38.png"/><Relationship Id="rId143" Type="http://schemas.openxmlformats.org/officeDocument/2006/relationships/image" Target="media/image57.jpeg"/><Relationship Id="rId350" Type="http://schemas.openxmlformats.org/officeDocument/2006/relationships/hyperlink" Target="https://www.ncbi.nlm.nih.gov/pubmed/?term=Guo%20H%5BAuthor%5D&amp;cauthor=true&amp;cauthor_uid=26135947" TargetMode="External"/><Relationship Id="rId588" Type="http://schemas.openxmlformats.org/officeDocument/2006/relationships/hyperlink" Target="https://www.ncbi.nlm.nih.gov/pubmed/?term=Grimm%20H%5BAuthor%5D&amp;cauthor=true&amp;cauthor_uid=11895152" TargetMode="External"/><Relationship Id="rId795" Type="http://schemas.openxmlformats.org/officeDocument/2006/relationships/hyperlink" Target="https://www.ncbi.nlm.nih.gov/pubmed/?term=Ser%20Z%5BAuthor%5D&amp;cauthor=true&amp;cauthor_uid=25009227" TargetMode="External"/><Relationship Id="rId809" Type="http://schemas.openxmlformats.org/officeDocument/2006/relationships/hyperlink" Target="https://www.ncbi.nlm.nih.gov/pubmed/?term=Jungmann%20RA%5BAuthor%5D&amp;cauthor=true&amp;cauthor_uid=9192621" TargetMode="External"/><Relationship Id="rId9" Type="http://schemas.openxmlformats.org/officeDocument/2006/relationships/header" Target="header1.xml"/><Relationship Id="rId210" Type="http://schemas.openxmlformats.org/officeDocument/2006/relationships/hyperlink" Target="https://www.ncbi.nlm.nih.gov/pubmed/?term=Sola-Penna%20M%5BAuthor%5D&amp;cauthor=true&amp;cauthor_uid=27791266" TargetMode="External"/><Relationship Id="rId448" Type="http://schemas.openxmlformats.org/officeDocument/2006/relationships/hyperlink" Target="https://www.ncbi.nlm.nih.gov/pubmed/?term=Cory%20Barnett%20J%5BAuthor%5D&amp;cauthor=true&amp;cauthor_uid=19795452" TargetMode="External"/><Relationship Id="rId655" Type="http://schemas.openxmlformats.org/officeDocument/2006/relationships/hyperlink" Target="https://www.ncbi.nlm.nih.gov/pubmed/?term=Hu%20S%5BAuthor%5D&amp;cauthor=true&amp;cauthor_uid=20150380" TargetMode="External"/><Relationship Id="rId862" Type="http://schemas.openxmlformats.org/officeDocument/2006/relationships/hyperlink" Target="https://www.ncbi.nlm.nih.gov/pubmed/?term=Heged%26%23x00171%3Bs%20B%5BAuthor%5D&amp;cauthor=true&amp;cauthor_uid=28562340" TargetMode="External"/><Relationship Id="rId1078" Type="http://schemas.openxmlformats.org/officeDocument/2006/relationships/hyperlink" Target="https://www.ncbi.nlm.nih.gov/pubmed/?term=Kulkarni%20RN%5BAuthor%5D&amp;cauthor=true&amp;cauthor_uid=20032314" TargetMode="External"/><Relationship Id="rId294" Type="http://schemas.openxmlformats.org/officeDocument/2006/relationships/hyperlink" Target="https://www.ncbi.nlm.nih.gov/pubmed/?term=DeBerardinis%20RJ%5BAuthor%5D&amp;cauthor=true&amp;cauthor_uid=28985563" TargetMode="External"/><Relationship Id="rId308" Type="http://schemas.openxmlformats.org/officeDocument/2006/relationships/hyperlink" Target="https://www.ncbi.nlm.nih.gov/pubmed/?term=Guan%20H%5BAuthor%5D&amp;cauthor=true&amp;cauthor_uid=23846818" TargetMode="External"/><Relationship Id="rId515" Type="http://schemas.openxmlformats.org/officeDocument/2006/relationships/hyperlink" Target="https://www.ncbi.nlm.nih.gov/pubmed/?term=Hu%20YP%5BAuthor%5D&amp;cauthor=true&amp;cauthor_uid=11331019" TargetMode="External"/><Relationship Id="rId722" Type="http://schemas.openxmlformats.org/officeDocument/2006/relationships/hyperlink" Target="https://www.ncbi.nlm.nih.gov/pubmed/?term=Ren%20BF%5BAuthor%5D&amp;cauthor=true&amp;cauthor_uid=17983831" TargetMode="External"/><Relationship Id="rId89" Type="http://schemas.openxmlformats.org/officeDocument/2006/relationships/chart" Target="charts/chart23.xml"/><Relationship Id="rId154" Type="http://schemas.openxmlformats.org/officeDocument/2006/relationships/image" Target="media/image68.jpeg"/><Relationship Id="rId361" Type="http://schemas.openxmlformats.org/officeDocument/2006/relationships/hyperlink" Target="https://www.ncbi.nlm.nih.gov/pubmed/?term=Li%20W%5BAuthor%5D&amp;cauthor=true&amp;cauthor_uid=22087246" TargetMode="External"/><Relationship Id="rId599" Type="http://schemas.openxmlformats.org/officeDocument/2006/relationships/hyperlink" Target="https://www.ncbi.nlm.nih.gov/pubmed/?term=Miranda-Gon%C3%A7alves%20V%5BAuthor%5D&amp;cauthor=true&amp;cauthor_uid=23258846" TargetMode="External"/><Relationship Id="rId1005" Type="http://schemas.openxmlformats.org/officeDocument/2006/relationships/hyperlink" Target="https://www.ncbi.nlm.nih.gov/pubmed/?term=Yamamoto%20T%5BAuthor%5D&amp;cauthor=true&amp;cauthor_uid=2372287" TargetMode="External"/><Relationship Id="rId459" Type="http://schemas.openxmlformats.org/officeDocument/2006/relationships/hyperlink" Target="https://www.ncbi.nlm.nih.gov/pubmed/?term=Park%20ZY%5BAuthor%5D&amp;cauthor=true&amp;cauthor_uid=25892225" TargetMode="External"/><Relationship Id="rId666" Type="http://schemas.openxmlformats.org/officeDocument/2006/relationships/hyperlink" Target="https://www.ncbi.nlm.nih.gov/pubmed/?term=Pinheiro%20C%5BAuthor%5D&amp;cauthor=true&amp;cauthor_uid=21787388" TargetMode="External"/><Relationship Id="rId873" Type="http://schemas.openxmlformats.org/officeDocument/2006/relationships/hyperlink" Target="https://www.ncbi.nlm.nih.gov/pubmed/?term=Brown%20JM%5BAuthor%5D&amp;cauthor=true&amp;cauthor_uid=17118889" TargetMode="External"/><Relationship Id="rId16" Type="http://schemas.openxmlformats.org/officeDocument/2006/relationships/hyperlink" Target="https://www.sciencedirect.com/topics/biochemistry-genetics-and-molecular-biology/fructose-1-6-bisphosphate" TargetMode="External"/><Relationship Id="rId221" Type="http://schemas.openxmlformats.org/officeDocument/2006/relationships/hyperlink" Target="https://www.ncbi.nlm.nih.gov/pubmed/?term=Li%20W%5BAuthor%5D&amp;cauthor=true&amp;cauthor_uid=31241439" TargetMode="External"/><Relationship Id="rId319" Type="http://schemas.openxmlformats.org/officeDocument/2006/relationships/hyperlink" Target="https://www.ncbi.nlm.nih.gov/pubmed/?term=Rothe%20G%5BAuthor%5D&amp;cauthor=true&amp;cauthor_uid=17255361" TargetMode="External"/><Relationship Id="rId526" Type="http://schemas.openxmlformats.org/officeDocument/2006/relationships/hyperlink" Target="https://www.ncbi.nlm.nih.gov/pubmed/?term=Gao%20DM%5BAuthor%5D&amp;cauthor=true&amp;cauthor_uid=25514599" TargetMode="External"/><Relationship Id="rId733" Type="http://schemas.openxmlformats.org/officeDocument/2006/relationships/hyperlink" Target="https://www.ncbi.nlm.nih.gov/pubmed/?term=Hue%20L%5BAuthor%5D&amp;cauthor=true&amp;cauthor_uid=15170386" TargetMode="External"/><Relationship Id="rId940" Type="http://schemas.openxmlformats.org/officeDocument/2006/relationships/hyperlink" Target="https://www.ncbi.nlm.nih.gov/pubmed/?term=Walenta%20S%5BAuthor%5D&amp;cauthor=true&amp;cauthor_uid=15254870" TargetMode="External"/><Relationship Id="rId1016" Type="http://schemas.openxmlformats.org/officeDocument/2006/relationships/hyperlink" Target="https://www.ncbi.nlm.nih.gov/pubmed/?term=Borg%20LA%5BAuthor%5D&amp;cauthor=true&amp;cauthor_uid=9038867" TargetMode="External"/><Relationship Id="rId165" Type="http://schemas.openxmlformats.org/officeDocument/2006/relationships/image" Target="media/image79.jpeg"/><Relationship Id="rId372" Type="http://schemas.openxmlformats.org/officeDocument/2006/relationships/hyperlink" Target="https://www.ncbi.nlm.nih.gov/pubmed/?term=Knuesting%20J%5BAuthor%5D&amp;cauthor=true&amp;cauthor_uid=25581756" TargetMode="External"/><Relationship Id="rId677" Type="http://schemas.openxmlformats.org/officeDocument/2006/relationships/hyperlink" Target="https://www.ncbi.nlm.nih.gov/pubmed/?term=Sousa%20B%5BAuthor%5D&amp;cauthor=true&amp;cauthor_uid=20636790" TargetMode="External"/><Relationship Id="rId800" Type="http://schemas.openxmlformats.org/officeDocument/2006/relationships/hyperlink" Target="https://www.ncbi.nlm.nih.gov/pubmed/?term=Le%20A%5BAuthor%5D&amp;cauthor=true&amp;cauthor_uid=25009227" TargetMode="External"/><Relationship Id="rId232" Type="http://schemas.openxmlformats.org/officeDocument/2006/relationships/hyperlink" Target="https://www.ncbi.nlm.nih.gov/pubmed/?term=Connor%20H%5BAuthor%5D&amp;cauthor=true&amp;cauthor_uid=6651225" TargetMode="External"/><Relationship Id="rId884" Type="http://schemas.openxmlformats.org/officeDocument/2006/relationships/hyperlink" Target="https://www.ncbi.nlm.nih.gov/pubmed/?term=Mason%20RP%5BAuthor%5D&amp;cauthor=true&amp;cauthor_uid=17118889" TargetMode="External"/><Relationship Id="rId27" Type="http://schemas.openxmlformats.org/officeDocument/2006/relationships/image" Target="media/image4.png"/><Relationship Id="rId537" Type="http://schemas.openxmlformats.org/officeDocument/2006/relationships/hyperlink" Target="https://www.ncbi.nlm.nih.gov/pubmed/?term=Jia%20X%5BAuthor%5D&amp;cauthor=true&amp;cauthor_uid=23377827" TargetMode="External"/><Relationship Id="rId744" Type="http://schemas.openxmlformats.org/officeDocument/2006/relationships/hyperlink" Target="https://www.ncbi.nlm.nih.gov/pubmed/?term=Granados-Soto%20V%5BAuthor%5D&amp;cauthor=true&amp;cauthor_uid=19109946" TargetMode="External"/><Relationship Id="rId951" Type="http://schemas.openxmlformats.org/officeDocument/2006/relationships/hyperlink" Target="https://www.ncbi.nlm.nih.gov/pubmed/?term=Lehrke%20M%5BAuthor%5D&amp;cauthor=true&amp;cauthor_uid=10706105" TargetMode="External"/><Relationship Id="rId80" Type="http://schemas.openxmlformats.org/officeDocument/2006/relationships/chart" Target="charts/chart14.xml"/><Relationship Id="rId176" Type="http://schemas.openxmlformats.org/officeDocument/2006/relationships/hyperlink" Target="https://www.ncbi.nlm.nih.gov/pubmed/?term=Sasaki%20AT%5BAuthor%5D&amp;cauthor=true&amp;cauthor_uid=22052977" TargetMode="External"/><Relationship Id="rId383" Type="http://schemas.openxmlformats.org/officeDocument/2006/relationships/hyperlink" Target="https://www.ncbi.nlm.nih.gov/pubmed/?term=Tang%20Q%5BAuthor%5D&amp;cauthor=true&amp;cauthor_uid=23693134" TargetMode="External"/><Relationship Id="rId590" Type="http://schemas.openxmlformats.org/officeDocument/2006/relationships/hyperlink" Target="https://www.ncbi.nlm.nih.gov/pubmed/?term=Vaupel%20P%5BAuthor%5D&amp;cauthor=true&amp;cauthor_uid=11895152" TargetMode="External"/><Relationship Id="rId604" Type="http://schemas.openxmlformats.org/officeDocument/2006/relationships/hyperlink" Target="https://www.ncbi.nlm.nih.gov/pubmed/?term=Pinheiro%20C%5BAuthor%5D&amp;cauthor=true&amp;cauthor_uid=23258846" TargetMode="External"/><Relationship Id="rId811" Type="http://schemas.openxmlformats.org/officeDocument/2006/relationships/hyperlink" Target="https://www.ncbi.nlm.nih.gov/pubmed/?term=Dang%20CV%5BAuthor%5D&amp;cauthor=true&amp;cauthor_uid=9192621" TargetMode="External"/><Relationship Id="rId1027" Type="http://schemas.openxmlformats.org/officeDocument/2006/relationships/hyperlink" Target="https://www.ncbi.nlm.nih.gov/pubmed/?term=Shakirin%20G%5BAuthor%5D&amp;cauthor=true&amp;cauthor_uid=19895274" TargetMode="External"/><Relationship Id="rId243" Type="http://schemas.openxmlformats.org/officeDocument/2006/relationships/hyperlink" Target="https://www.ncbi.nlm.nih.gov/pubmed/?term=Wu%20XD%5BAuthor%5D&amp;cauthor=true&amp;cauthor_uid=28193910" TargetMode="External"/><Relationship Id="rId450" Type="http://schemas.openxmlformats.org/officeDocument/2006/relationships/hyperlink" Target="https://www.ncbi.nlm.nih.gov/pubmed/?term=Konishi%20I%5BAuthor%5D&amp;cauthor=true&amp;cauthor_uid=19795452" TargetMode="External"/><Relationship Id="rId688" Type="http://schemas.openxmlformats.org/officeDocument/2006/relationships/hyperlink" Target="https://www.ncbi.nlm.nih.gov/pubmed/?term=Pinheiro%20C%5BAuthor%5D&amp;cauthor=true&amp;cauthor_uid=18753962" TargetMode="External"/><Relationship Id="rId895" Type="http://schemas.openxmlformats.org/officeDocument/2006/relationships/hyperlink" Target="https://www.ncbi.nlm.nih.gov/pubmed/?term=Croft%20B%5BAuthor%5D&amp;cauthor=true&amp;cauthor_uid=17118889" TargetMode="External"/><Relationship Id="rId909" Type="http://schemas.openxmlformats.org/officeDocument/2006/relationships/hyperlink" Target="https://www.ncbi.nlm.nih.gov/pubmed/?term=Song%20JY%5BAuthor%5D&amp;cauthor=true&amp;cauthor_uid=10440855" TargetMode="External"/><Relationship Id="rId1080" Type="http://schemas.openxmlformats.org/officeDocument/2006/relationships/hyperlink" Target="https://www.ncbi.nlm.nih.gov/pubmed/?term=Stanton%20RC%5BAuthor%5D&amp;cauthor=true&amp;cauthor_uid=20032314" TargetMode="External"/><Relationship Id="rId38" Type="http://schemas.openxmlformats.org/officeDocument/2006/relationships/hyperlink" Target="https://www.ncbi.nlm.nih.gov/pmc/articles/PMC4112277/" TargetMode="External"/><Relationship Id="rId103" Type="http://schemas.openxmlformats.org/officeDocument/2006/relationships/chart" Target="charts/chart37.xml"/><Relationship Id="rId310" Type="http://schemas.openxmlformats.org/officeDocument/2006/relationships/hyperlink" Target="https://www.ncbi.nlm.nih.gov/pubmed/?term=Teng%20W%5BAuthor%5D&amp;cauthor=true&amp;cauthor_uid=23846818" TargetMode="External"/><Relationship Id="rId548" Type="http://schemas.openxmlformats.org/officeDocument/2006/relationships/hyperlink" Target="https://www.ncbi.nlm.nih.gov/pubmed/?term=Permert%20J%5BAuthor%5D&amp;cauthor=true&amp;cauthor_uid=23377827" TargetMode="External"/><Relationship Id="rId755" Type="http://schemas.openxmlformats.org/officeDocument/2006/relationships/hyperlink" Target="https://www.ncbi.nlm.nih.gov/pubmed/?term=Wang%20D%5BAuthor%5D&amp;cauthor=true&amp;cauthor_uid=23404405" TargetMode="External"/><Relationship Id="rId962" Type="http://schemas.openxmlformats.org/officeDocument/2006/relationships/hyperlink" Target="https://www.ncbi.nlm.nih.gov/pubmed/?term=Lu%20Z%5BAuthor%5D&amp;cauthor=true&amp;cauthor_uid=29340090" TargetMode="External"/><Relationship Id="rId91" Type="http://schemas.openxmlformats.org/officeDocument/2006/relationships/chart" Target="charts/chart25.xml"/><Relationship Id="rId187" Type="http://schemas.openxmlformats.org/officeDocument/2006/relationships/hyperlink" Target="https://www.ncbi.nlm.nih.gov/pubmed/?term=Mulas%20MF%5BAuthor%5D&amp;cauthor=true&amp;cauthor_uid=10403541" TargetMode="External"/><Relationship Id="rId394" Type="http://schemas.openxmlformats.org/officeDocument/2006/relationships/hyperlink" Target="https://www.ncbi.nlm.nih.gov/pubmed/?term=Teng%20X%5BAuthor%5D&amp;cauthor=true&amp;cauthor_uid=29045397" TargetMode="External"/><Relationship Id="rId408" Type="http://schemas.openxmlformats.org/officeDocument/2006/relationships/hyperlink" Target="https://www.ncbi.nlm.nih.gov/pubmed/?term=Iyer%20NV%5BAuthor%5D&amp;cauthor=true&amp;cauthor_uid=9436976" TargetMode="External"/><Relationship Id="rId615" Type="http://schemas.openxmlformats.org/officeDocument/2006/relationships/hyperlink" Target="https://www.ncbi.nlm.nih.gov/pubmed/?term=Hoyland%20JA%5BAuthor%5D&amp;cauthor=true&amp;cauthor_uid=16136514" TargetMode="External"/><Relationship Id="rId822" Type="http://schemas.openxmlformats.org/officeDocument/2006/relationships/hyperlink" Target="https://www.ncbi.nlm.nih.gov/pubmed/?term=Song%20XL%5BAuthor%5D&amp;cauthor=true&amp;cauthor_uid=24641416" TargetMode="External"/><Relationship Id="rId1038" Type="http://schemas.openxmlformats.org/officeDocument/2006/relationships/hyperlink" Target="https://www.ncbi.nlm.nih.gov/pubmed/?term=Yin%20LM%5BAuthor%5D&amp;cauthor=true&amp;cauthor_uid=23289007" TargetMode="External"/><Relationship Id="rId254" Type="http://schemas.openxmlformats.org/officeDocument/2006/relationships/hyperlink" Target="https://www.ncbi.nlm.nih.gov/pubmed/?term=Liu%20T%5BAuthor%5D&amp;cauthor=true&amp;cauthor_uid=28193910" TargetMode="External"/><Relationship Id="rId699" Type="http://schemas.openxmlformats.org/officeDocument/2006/relationships/hyperlink" Target="https://www.ncbi.nlm.nih.gov/pubmed/?term=Taysi%20S%5BAuthor%5D&amp;cauthor=true&amp;cauthor_uid=12415567" TargetMode="External"/><Relationship Id="rId49" Type="http://schemas.openxmlformats.org/officeDocument/2006/relationships/image" Target="media/image22.jpeg"/><Relationship Id="rId114" Type="http://schemas.openxmlformats.org/officeDocument/2006/relationships/chart" Target="charts/chart48.xml"/><Relationship Id="rId461" Type="http://schemas.openxmlformats.org/officeDocument/2006/relationships/hyperlink" Target="https://www.ncbi.nlm.nih.gov/pubmed/?term=Kang%20YK%5BAuthor%5D&amp;cauthor=true&amp;cauthor_uid=25892225" TargetMode="External"/><Relationship Id="rId559" Type="http://schemas.openxmlformats.org/officeDocument/2006/relationships/hyperlink" Target="https://www.ncbi.nlm.nih.gov/pubmed/?term=Gallardo-P%C3%A9rez%20JC%5BAuthor%5D&amp;cauthor=true&amp;cauthor_uid=21110941" TargetMode="External"/><Relationship Id="rId766" Type="http://schemas.openxmlformats.org/officeDocument/2006/relationships/hyperlink" Target="https://www.ncbi.nlm.nih.gov/pubmed/?term=Crawford%20FW%5BAuthor%5D&amp;cauthor=true&amp;cauthor_uid=18810326" TargetMode="External"/><Relationship Id="rId198" Type="http://schemas.openxmlformats.org/officeDocument/2006/relationships/hyperlink" Target="https://www.ncbi.nlm.nih.gov/pubmed/?term=Lehrach%20H%5BAuthor%5D&amp;cauthor=true&amp;cauthor_uid=21789790" TargetMode="External"/><Relationship Id="rId321" Type="http://schemas.openxmlformats.org/officeDocument/2006/relationships/hyperlink" Target="https://www.ncbi.nlm.nih.gov/pubmed/?term=Renner%20K%5BAuthor%5D&amp;cauthor=true&amp;cauthor_uid=17255361" TargetMode="External"/><Relationship Id="rId419" Type="http://schemas.openxmlformats.org/officeDocument/2006/relationships/hyperlink" Target="https://www.ncbi.nlm.nih.gov/pubmed/?term=Jin%20MS%5BAuthor%5D&amp;cauthor=true&amp;cauthor_uid=27184798" TargetMode="External"/><Relationship Id="rId626" Type="http://schemas.openxmlformats.org/officeDocument/2006/relationships/hyperlink" Target="https://www.ncbi.nlm.nih.gov/pubmed/?term=Sugawara%20T%5BAuthor%5D&amp;cauthor=true&amp;cauthor_uid=25713368" TargetMode="External"/><Relationship Id="rId973" Type="http://schemas.openxmlformats.org/officeDocument/2006/relationships/hyperlink" Target="https://www.ncbi.nlm.nih.gov/pubmed/?term=Mo%20SL%5BAuthor%5D&amp;cauthor=true&amp;cauthor_uid=21452021" TargetMode="External"/><Relationship Id="rId1049" Type="http://schemas.openxmlformats.org/officeDocument/2006/relationships/hyperlink" Target="https://www.ncbi.nlm.nih.gov/pubmed/?term=Lu%20C%5BAuthor%5D&amp;cauthor=true&amp;cauthor_uid=26541605" TargetMode="External"/><Relationship Id="rId833" Type="http://schemas.openxmlformats.org/officeDocument/2006/relationships/hyperlink" Target="https://www.ncbi.nlm.nih.gov/pubmed/?term=Jordan%20BF%5BAuthor%5D&amp;cauthor=true&amp;cauthor_uid=19033663" TargetMode="External"/><Relationship Id="rId265" Type="http://schemas.openxmlformats.org/officeDocument/2006/relationships/hyperlink" Target="https://www.ncbi.nlm.nih.gov/pubmed/?term=Bailey%20K%5BAuthor%5D&amp;cauthor=true&amp;cauthor_uid=23288510" TargetMode="External"/><Relationship Id="rId472" Type="http://schemas.openxmlformats.org/officeDocument/2006/relationships/hyperlink" Target="https://www.ncbi.nlm.nih.gov/pubmed/?term=Chung%20SJ%5BAuthor%5D&amp;cauthor=true&amp;cauthor_uid=25892225" TargetMode="External"/><Relationship Id="rId900" Type="http://schemas.openxmlformats.org/officeDocument/2006/relationships/hyperlink" Target="https://www.ncbi.nlm.nih.gov/pubmed/?term=Timperley%20WR%5BAuthor%5D&amp;cauthor=true&amp;cauthor_uid=4330184" TargetMode="External"/><Relationship Id="rId125" Type="http://schemas.openxmlformats.org/officeDocument/2006/relationships/chart" Target="charts/chart59.xml"/><Relationship Id="rId332" Type="http://schemas.openxmlformats.org/officeDocument/2006/relationships/hyperlink" Target="https://www.ncbi.nlm.nih.gov/pubmed/?term=Walenta%20S%5BAuthor%5D&amp;cauthor=true&amp;cauthor_uid=21617859" TargetMode="External"/><Relationship Id="rId777" Type="http://schemas.openxmlformats.org/officeDocument/2006/relationships/hyperlink" Target="https://www.ncbi.nlm.nih.gov/pubmed/?term=Thibault%20P%5BAuthor%5D&amp;cauthor=true&amp;cauthor_uid=11313469" TargetMode="External"/><Relationship Id="rId984" Type="http://schemas.openxmlformats.org/officeDocument/2006/relationships/hyperlink" Target="https://www.ncbi.nlm.nih.gov/pubmed/?term=Frei%20UA%5BAuthor%5D&amp;cauthor=true&amp;cauthor_uid=12490539" TargetMode="External"/><Relationship Id="rId637" Type="http://schemas.openxmlformats.org/officeDocument/2006/relationships/hyperlink" Target="https://www.ncbi.nlm.nih.gov/pubmed/?term=Kondo%20T%5BAuthor%5D&amp;cauthor=true&amp;cauthor_uid=17651733" TargetMode="External"/><Relationship Id="rId844" Type="http://schemas.openxmlformats.org/officeDocument/2006/relationships/hyperlink" Target="https://www.ncbi.nlm.nih.gov/pubmed/?term=Zwerschke%20W%5BAuthor%5D&amp;cauthor=true&amp;cauthor_uid=19563799" TargetMode="External"/><Relationship Id="rId276" Type="http://schemas.openxmlformats.org/officeDocument/2006/relationships/hyperlink" Target="https://www.ncbi.nlm.nih.gov/pubmed/?term=Giampieri%20R%5BAuthor%5D&amp;cauthor=true&amp;cauthor_uid=27314036" TargetMode="External"/><Relationship Id="rId483" Type="http://schemas.openxmlformats.org/officeDocument/2006/relationships/hyperlink" Target="https://www.ncbi.nlm.nih.gov/pubmed/?term=Xu%20H%5BAuthor%5D&amp;cauthor=true&amp;cauthor_uid=31000383" TargetMode="External"/><Relationship Id="rId690" Type="http://schemas.openxmlformats.org/officeDocument/2006/relationships/hyperlink" Target="https://www.ncbi.nlm.nih.gov/pubmed/?term=Ferreira%20L%5BAuthor%5D&amp;cauthor=true&amp;cauthor_uid=18753962" TargetMode="External"/><Relationship Id="rId704" Type="http://schemas.openxmlformats.org/officeDocument/2006/relationships/hyperlink" Target="https://www.ncbi.nlm.nih.gov/pubmed/?term=Erdogan%20F%5BAuthor%5D&amp;cauthor=true&amp;cauthor_uid=12415567" TargetMode="External"/><Relationship Id="rId911" Type="http://schemas.openxmlformats.org/officeDocument/2006/relationships/hyperlink" Target="https://www.ncbi.nlm.nih.gov/pubmed/?term=van%20Heerden%20JH%5BAuthor%5D&amp;cauthor=true&amp;cauthor_uid=24436182" TargetMode="External"/><Relationship Id="rId40" Type="http://schemas.openxmlformats.org/officeDocument/2006/relationships/image" Target="media/image13.png"/><Relationship Id="rId136" Type="http://schemas.openxmlformats.org/officeDocument/2006/relationships/image" Target="media/image50.jpeg"/><Relationship Id="rId343" Type="http://schemas.openxmlformats.org/officeDocument/2006/relationships/hyperlink" Target="https://www.ncbi.nlm.nih.gov/pubmed/?term=Grimm%20M%5BAuthor%5D&amp;cauthor=true&amp;cauthor_uid=23184277" TargetMode="External"/><Relationship Id="rId550" Type="http://schemas.openxmlformats.org/officeDocument/2006/relationships/hyperlink" Target="https://www.sciencedirect.com/science/journal/03784347" TargetMode="External"/><Relationship Id="rId788" Type="http://schemas.openxmlformats.org/officeDocument/2006/relationships/hyperlink" Target="https://www.ncbi.nlm.nih.gov/pubmed/?term=Simons%20J%5BAuthor%5D&amp;cauthor=true&amp;cauthor_uid=11727934" TargetMode="External"/><Relationship Id="rId995" Type="http://schemas.openxmlformats.org/officeDocument/2006/relationships/hyperlink" Target="https://www.ncbi.nlm.nih.gov/pubmed/?term=Carlin%20S%5BAuthor%5D&amp;cauthor=true&amp;cauthor_uid=21618306"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rem\Desktop\tez%20sonu&#231;lar%20son%2011.2018\wst%20sonu&#231;lar&#305;%20istatistik%20i&#231;in%20y&#252;zdelik%20hesapland&#305;.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irem\Desktop\tez%20sonu&#231;lar%20son%2011.2018\ELISA%20SONU&#199;LAR%20SON.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irem\Desktop\tez%20sonu&#231;lar%20son%2011.2018\ELISA%20SONU&#199;LAR%20SON.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irem\Desktop\tez%20sonu&#231;lar%20son%2011.2018\ELISA%20SONU&#199;LAR%20S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irem\tez%20sonu&#231;lar%20son%2011.2018\ELISA%20SONU&#199;LAR%20SON%20(Otomatik%20kaydedild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irem\tez%20sonu&#231;lar%20son%2011.2018\ELISA%20SONU&#199;LAR%20SON%20(Otomatik%20kaydedild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irem\tez%20sonu&#231;lar%20son%2011.2018\ELISA%20SONU&#199;LAR%20SON%20(Otomatik%20kaydedild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irem\tez%20sonu&#231;lar%20son%2011.2018\ELISA%20SONU&#199;LAR%20SON%20(Otomatik%20kaydedildi).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irem\Desktop\tez%20sonu&#231;lar%20son%2011.2018\ELISA%20SONU&#199;LAR%20SON.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irem\Desktop\tez%20sonu&#231;lar%20son%2011.2018\ELISA%20SONU&#199;LAR%20SON.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irem\Desktop\tez%20sonu&#231;lar%20son%2011.2018\ELISA%20SONU&#199;LAR%20SO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rem\Desktop\tez%20sonu&#231;lar%20son%2011.2018\wst%20sonu&#231;lar&#305;%20istatistik%20i&#231;in%20y&#252;zdelik%20hesapland&#305;.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irem\Desktop\tez%20sonu&#231;lar%20son%2011.2018\ELISA%20SONU&#199;LAR%20SO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irem\Desktop\tez%20sonu&#231;lar%20son%2011.2018\ELISA%20SONU&#199;LAR%20SON.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irem\Desktop\tez%20sonu&#231;lar%20son%2011.2018\ELISA%20SONU&#199;LAR%20SON.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irem\Desktop\tez%20sonu&#231;lar%20son%2011.2018\ELISA%20SONU&#199;LAR%20SON.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irem\Desktop\tez%20sonu&#231;lar%20son%2011.2018\ELISA%20SONU&#199;LAR%20SO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rem\Desktop\tez%20sonu&#231;lar%20son%2011.2018\wst%20sonu&#231;lar&#305;%20istatistik%20i&#231;in%20y&#252;zdelik%20hesapland&#30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Lenovo\Desktop\tez%20sonu&#231;lar%20son%2011.2018\ELISA%20SONU&#199;LAR%20SON%20(Otomatik%20kaydedildi).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Lenovo\Desktop\tez%20sonu&#231;lar%20son%2011.2018\ELISA%20SONU&#199;LAR%20SON%20(Otomatik%20kaydedildi).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Lenovo\Desktop\tez%20sonu&#231;lar%20son%2011.2018\ELISA%20SONU&#199;LAR%20SON%20(Otomatik%20kaydedildi).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Lenovo\Desktop\tez%20sonu&#231;lar%20son%2011.2018\ELISA%20SONU&#199;LAR%20SON%20(Otomatik%20kaydedildi).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rem\Desktop\tez%20sonu&#231;lar%20son%2011.2018\wst%20sonu&#231;lar&#305;%20istatistik%20i&#231;in%20y&#252;zdelik%20hesapland&#30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Lenovo\Desktop\tez%20sonu&#231;lar%20son%2011.2018\ELISA%20SONU&#199;LAR%20SON%20(Otomatik%20kaydedildi).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Lenovo\Desktop\tez%20sonu&#231;lar%20son%2011.2018\ELISA%20SONU&#199;LAR%20SON%20(Otomatik%20kaydedildi).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Lenovo\Desktop\tez%20sonu&#231;lar%20son%2011.2018\ELISA%20SONU&#199;LAR%20SON%20(Otomatik%20kaydedildi).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Lenovo\Desktop\tez%20sonu&#231;lar%20son%2011.2018\ELISA%20SONU&#199;LAR%20SON%20(Otomatik%20kaydedildi).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E:\irem\tez%20sonu&#231;lar%20son%2011.2018\laktat%20son%20sonu&#231;%20k&#252;surats&#305;zzz.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irem\tez%20sonu&#231;lar%20son%2011.2018\laktat%20son%20sonu&#231;%20k&#252;surats&#305;zzz.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irem\tez%20sonu&#231;lar%20son%2011.2018\laktat%20son%20sonu&#231;%20k&#252;surats&#305;zzz.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irem\tez%20sonu&#231;lar%20son%2011.2018\laktat%20son%20sonu&#231;%20k&#252;surats&#305;zzz.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E:\irem\tez%20sonu&#231;lar%20son%2011.2018\laktat%20son%20sonu&#231;%20k&#252;surats&#305;zzz%20(Otomatik%20kaydedild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irem\tez%20sonu&#231;lar%20son%2011.2018\laktat%20son%20sonu&#231;%20k&#252;surats&#305;zzz%20(Otomatik%20kaydedildi).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E:\irem\tez%20sonu&#231;lar%20son%2011.2018\laktat%20son%20sonu&#231;%20k&#252;surats&#305;zzz%20(Otomatik%20kaydedildi).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E:\irem\tez%20sonu&#231;lar%20son%2011.2018\laktat%20son%20sonu&#231;%20k&#252;surats&#305;zzz%20(Otomatik%20kaydedildi).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E:\irem\tez%20sonu&#231;lar%20son%2011.2018\laktat%20son%20sonu&#231;%20k&#252;surats&#305;zzz%20(Otomatik%20kaydedildi).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E:\irem\tez%20sonu&#231;lar%20son%2011.2018\laktat%20son%20sonu&#231;%20k&#252;surats&#305;zzz%20(Otomatik%20kaydedildi).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E:\irem\tez%20sonu&#231;lar%20son%2011.2018\laktat%20son%20sonu&#231;%20k&#252;surats&#305;zzz%20(Otomatik%20kaydedildi).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E:\irem\tez%20sonu&#231;lar%20son%2011.2018\laktat%20son%20sonu&#231;%20k&#252;surats&#305;zzz%20(Otomatik%20kaydedildi).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E:\irem\tez%20sonu&#231;lar%20son%2011.2018\laktat%20son%20sonu&#231;%20k&#252;surats&#305;zzz%20(Otomatik%20kaydedildi).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Lenovo\Desktop\tez%20sonu&#231;lar%20son%2011.2018\wound%20healing%20grafikler.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Lenovo\Desktop\tez%20sonu&#231;lar%20son%2011.2018\wound%20healing%20grafikl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esktop\tez%20sonu&#231;lar%20son%2011.2018\ELISA%20SONU&#199;LAR%20SON%20(Otomatik%20kaydedildi).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irem\Desktop\tez%20sonu&#231;lar%20son%2011.2018\ELISA%20SONU&#199;LAR%20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manualLayout>
          <c:layoutTarget val="inner"/>
          <c:xMode val="edge"/>
          <c:yMode val="edge"/>
          <c:x val="0.1368923487671983"/>
          <c:y val="0.12301010816554506"/>
          <c:w val="0.73446098589902886"/>
          <c:h val="0.77465493283927833"/>
        </c:manualLayout>
      </c:layout>
      <c:barChart>
        <c:barDir val="col"/>
        <c:grouping val="clustered"/>
        <c:varyColors val="0"/>
        <c:ser>
          <c:idx val="0"/>
          <c:order val="0"/>
          <c:tx>
            <c:strRef>
              <c:f>'normoksi %canlılık'!$L$41</c:f>
              <c:strCache>
                <c:ptCount val="1"/>
                <c:pt idx="0">
                  <c:v>0 mM</c:v>
                </c:pt>
              </c:strCache>
            </c:strRef>
          </c:tx>
          <c:invertIfNegative val="0"/>
          <c:errBars>
            <c:errBarType val="both"/>
            <c:errValType val="percentage"/>
            <c:noEndCap val="0"/>
            <c:val val="5"/>
          </c:errBars>
          <c:cat>
            <c:strRef>
              <c:f>'normoksi %canlılık'!$K$42:$K$46</c:f>
              <c:strCache>
                <c:ptCount val="5"/>
                <c:pt idx="0">
                  <c:v>3.SAAT</c:v>
                </c:pt>
                <c:pt idx="1">
                  <c:v>6.SAAT</c:v>
                </c:pt>
                <c:pt idx="2">
                  <c:v>12.SAAT</c:v>
                </c:pt>
                <c:pt idx="3">
                  <c:v>24.SAAT</c:v>
                </c:pt>
                <c:pt idx="4">
                  <c:v>48.SAAT</c:v>
                </c:pt>
              </c:strCache>
            </c:strRef>
          </c:cat>
          <c:val>
            <c:numRef>
              <c:f>'normoksi %canlılık'!$L$42:$L$46</c:f>
              <c:numCache>
                <c:formatCode>General</c:formatCode>
                <c:ptCount val="5"/>
                <c:pt idx="0">
                  <c:v>100</c:v>
                </c:pt>
                <c:pt idx="1">
                  <c:v>93.003229278794393</c:v>
                </c:pt>
                <c:pt idx="2">
                  <c:v>136.92142088267346</c:v>
                </c:pt>
                <c:pt idx="3">
                  <c:v>122.87405812701815</c:v>
                </c:pt>
                <c:pt idx="4">
                  <c:v>154.79009687836381</c:v>
                </c:pt>
              </c:numCache>
            </c:numRef>
          </c:val>
          <c:extLst xmlns:c16r2="http://schemas.microsoft.com/office/drawing/2015/06/chart">
            <c:ext xmlns:c16="http://schemas.microsoft.com/office/drawing/2014/chart" uri="{C3380CC4-5D6E-409C-BE32-E72D297353CC}">
              <c16:uniqueId val="{00000000-5684-4D30-B657-CF3111DF4D6B}"/>
            </c:ext>
          </c:extLst>
        </c:ser>
        <c:ser>
          <c:idx val="1"/>
          <c:order val="1"/>
          <c:tx>
            <c:strRef>
              <c:f>'normoksi %canlılık'!$M$41</c:f>
              <c:strCache>
                <c:ptCount val="1"/>
                <c:pt idx="0">
                  <c:v>5.5 mM</c:v>
                </c:pt>
              </c:strCache>
            </c:strRef>
          </c:tx>
          <c:invertIfNegative val="0"/>
          <c:errBars>
            <c:errBarType val="both"/>
            <c:errValType val="percentage"/>
            <c:noEndCap val="0"/>
            <c:val val="5"/>
          </c:errBars>
          <c:cat>
            <c:strRef>
              <c:f>'normoksi %canlılık'!$K$42:$K$46</c:f>
              <c:strCache>
                <c:ptCount val="5"/>
                <c:pt idx="0">
                  <c:v>3.SAAT</c:v>
                </c:pt>
                <c:pt idx="1">
                  <c:v>6.SAAT</c:v>
                </c:pt>
                <c:pt idx="2">
                  <c:v>12.SAAT</c:v>
                </c:pt>
                <c:pt idx="3">
                  <c:v>24.SAAT</c:v>
                </c:pt>
                <c:pt idx="4">
                  <c:v>48.SAAT</c:v>
                </c:pt>
              </c:strCache>
            </c:strRef>
          </c:cat>
          <c:val>
            <c:numRef>
              <c:f>'normoksi %canlılık'!$M$42:$M$46</c:f>
              <c:numCache>
                <c:formatCode>General</c:formatCode>
                <c:ptCount val="5"/>
                <c:pt idx="0">
                  <c:v>100</c:v>
                </c:pt>
                <c:pt idx="1">
                  <c:v>88.13395976388388</c:v>
                </c:pt>
                <c:pt idx="2">
                  <c:v>96.566678713407057</c:v>
                </c:pt>
                <c:pt idx="3">
                  <c:v>88.953138176122067</c:v>
                </c:pt>
                <c:pt idx="4">
                  <c:v>152.07806288398987</c:v>
                </c:pt>
              </c:numCache>
            </c:numRef>
          </c:val>
          <c:extLst xmlns:c16r2="http://schemas.microsoft.com/office/drawing/2015/06/chart">
            <c:ext xmlns:c16="http://schemas.microsoft.com/office/drawing/2014/chart" uri="{C3380CC4-5D6E-409C-BE32-E72D297353CC}">
              <c16:uniqueId val="{00000001-5684-4D30-B657-CF3111DF4D6B}"/>
            </c:ext>
          </c:extLst>
        </c:ser>
        <c:ser>
          <c:idx val="2"/>
          <c:order val="2"/>
          <c:tx>
            <c:strRef>
              <c:f>'normoksi %canlılık'!$N$41</c:f>
              <c:strCache>
                <c:ptCount val="1"/>
                <c:pt idx="0">
                  <c:v>15 mM</c:v>
                </c:pt>
              </c:strCache>
            </c:strRef>
          </c:tx>
          <c:invertIfNegative val="0"/>
          <c:errBars>
            <c:errBarType val="both"/>
            <c:errValType val="percentage"/>
            <c:noEndCap val="0"/>
            <c:val val="5"/>
          </c:errBars>
          <c:cat>
            <c:strRef>
              <c:f>'normoksi %canlılık'!$K$42:$K$46</c:f>
              <c:strCache>
                <c:ptCount val="5"/>
                <c:pt idx="0">
                  <c:v>3.SAAT</c:v>
                </c:pt>
                <c:pt idx="1">
                  <c:v>6.SAAT</c:v>
                </c:pt>
                <c:pt idx="2">
                  <c:v>12.SAAT</c:v>
                </c:pt>
                <c:pt idx="3">
                  <c:v>24.SAAT</c:v>
                </c:pt>
                <c:pt idx="4">
                  <c:v>48.SAAT</c:v>
                </c:pt>
              </c:strCache>
            </c:strRef>
          </c:cat>
          <c:val>
            <c:numRef>
              <c:f>'normoksi %canlılık'!$N$42:$N$46</c:f>
              <c:numCache>
                <c:formatCode>General</c:formatCode>
                <c:ptCount val="5"/>
                <c:pt idx="0">
                  <c:v>100</c:v>
                </c:pt>
                <c:pt idx="1">
                  <c:v>90.302066772653475</c:v>
                </c:pt>
                <c:pt idx="2">
                  <c:v>123.94276629570822</c:v>
                </c:pt>
                <c:pt idx="3">
                  <c:v>112.11446740858504</c:v>
                </c:pt>
                <c:pt idx="4">
                  <c:v>143.78378378378378</c:v>
                </c:pt>
              </c:numCache>
            </c:numRef>
          </c:val>
          <c:extLst xmlns:c16r2="http://schemas.microsoft.com/office/drawing/2015/06/chart">
            <c:ext xmlns:c16="http://schemas.microsoft.com/office/drawing/2014/chart" uri="{C3380CC4-5D6E-409C-BE32-E72D297353CC}">
              <c16:uniqueId val="{00000002-5684-4D30-B657-CF3111DF4D6B}"/>
            </c:ext>
          </c:extLst>
        </c:ser>
        <c:ser>
          <c:idx val="3"/>
          <c:order val="3"/>
          <c:tx>
            <c:strRef>
              <c:f>'normoksi %canlılık'!$O$41</c:f>
              <c:strCache>
                <c:ptCount val="1"/>
                <c:pt idx="0">
                  <c:v>55 mM</c:v>
                </c:pt>
              </c:strCache>
            </c:strRef>
          </c:tx>
          <c:invertIfNegative val="0"/>
          <c:errBars>
            <c:errBarType val="both"/>
            <c:errValType val="percentage"/>
            <c:noEndCap val="0"/>
            <c:val val="5"/>
          </c:errBars>
          <c:cat>
            <c:strRef>
              <c:f>'normoksi %canlılık'!$K$42:$K$46</c:f>
              <c:strCache>
                <c:ptCount val="5"/>
                <c:pt idx="0">
                  <c:v>3.SAAT</c:v>
                </c:pt>
                <c:pt idx="1">
                  <c:v>6.SAAT</c:v>
                </c:pt>
                <c:pt idx="2">
                  <c:v>12.SAAT</c:v>
                </c:pt>
                <c:pt idx="3">
                  <c:v>24.SAAT</c:v>
                </c:pt>
                <c:pt idx="4">
                  <c:v>48.SAAT</c:v>
                </c:pt>
              </c:strCache>
            </c:strRef>
          </c:cat>
          <c:val>
            <c:numRef>
              <c:f>'normoksi %canlılık'!$O$42:$O$46</c:f>
              <c:numCache>
                <c:formatCode>General</c:formatCode>
                <c:ptCount val="5"/>
                <c:pt idx="0">
                  <c:v>100</c:v>
                </c:pt>
                <c:pt idx="1">
                  <c:v>99.062633148700471</c:v>
                </c:pt>
                <c:pt idx="2">
                  <c:v>173.83894333191517</c:v>
                </c:pt>
                <c:pt idx="3">
                  <c:v>173.11461440136054</c:v>
                </c:pt>
                <c:pt idx="4">
                  <c:v>257.13677034512125</c:v>
                </c:pt>
              </c:numCache>
            </c:numRef>
          </c:val>
          <c:extLst xmlns:c16r2="http://schemas.microsoft.com/office/drawing/2015/06/chart">
            <c:ext xmlns:c16="http://schemas.microsoft.com/office/drawing/2014/chart" uri="{C3380CC4-5D6E-409C-BE32-E72D297353CC}">
              <c16:uniqueId val="{00000003-5684-4D30-B657-CF3111DF4D6B}"/>
            </c:ext>
          </c:extLst>
        </c:ser>
        <c:dLbls>
          <c:showLegendKey val="0"/>
          <c:showVal val="0"/>
          <c:showCatName val="0"/>
          <c:showSerName val="0"/>
          <c:showPercent val="0"/>
          <c:showBubbleSize val="0"/>
        </c:dLbls>
        <c:gapWidth val="150"/>
        <c:axId val="279222912"/>
        <c:axId val="279236992"/>
      </c:barChart>
      <c:catAx>
        <c:axId val="27922291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tr-TR"/>
          </a:p>
        </c:txPr>
        <c:crossAx val="279236992"/>
        <c:crosses val="autoZero"/>
        <c:auto val="1"/>
        <c:lblAlgn val="ctr"/>
        <c:lblOffset val="100"/>
        <c:noMultiLvlLbl val="0"/>
      </c:catAx>
      <c:valAx>
        <c:axId val="279236992"/>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Hücre canlılığı %</a:t>
                </a:r>
              </a:p>
            </c:rich>
          </c:tx>
          <c:layout>
            <c:manualLayout>
              <c:xMode val="edge"/>
              <c:yMode val="edge"/>
              <c:x val="1.5055993587506875E-2"/>
              <c:y val="0.31059196644537085"/>
            </c:manualLayout>
          </c:layout>
          <c:overlay val="0"/>
        </c:title>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tr-TR"/>
          </a:p>
        </c:txPr>
        <c:crossAx val="279222912"/>
        <c:crosses val="autoZero"/>
        <c:crossBetween val="between"/>
      </c:valAx>
    </c:plotArea>
    <c:legend>
      <c:legendPos val="r"/>
      <c:layout>
        <c:manualLayout>
          <c:xMode val="edge"/>
          <c:yMode val="edge"/>
          <c:x val="0.87672627966038785"/>
          <c:y val="0.41552963048736558"/>
          <c:w val="0.12327372033961369"/>
          <c:h val="0.29547244094488412"/>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5,5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layout>
        <c:manualLayout>
          <c:xMode val="edge"/>
          <c:yMode val="edge"/>
          <c:x val="0.38544444444444825"/>
          <c:y val="4.6296296296296523E-2"/>
        </c:manualLayout>
      </c:layout>
      <c:overlay val="0"/>
    </c:title>
    <c:autoTitleDeleted val="0"/>
    <c:plotArea>
      <c:layout>
        <c:manualLayout>
          <c:layoutTarget val="inner"/>
          <c:xMode val="edge"/>
          <c:yMode val="edge"/>
          <c:x val="0.17781802274715691"/>
          <c:y val="0.16702573636628754"/>
          <c:w val="0.74440419947506553"/>
          <c:h val="0.54261555847185772"/>
        </c:manualLayout>
      </c:layout>
      <c:barChart>
        <c:barDir val="col"/>
        <c:grouping val="clustered"/>
        <c:varyColors val="0"/>
        <c:ser>
          <c:idx val="0"/>
          <c:order val="0"/>
          <c:tx>
            <c:v>normoksi</c:v>
          </c:tx>
          <c:invertIfNegative val="0"/>
          <c:errBars>
            <c:errBarType val="both"/>
            <c:errValType val="stdErr"/>
            <c:noEndCap val="0"/>
          </c:errBars>
          <c:cat>
            <c:strRef>
              <c:f>PKM!$P$50:$P$53</c:f>
              <c:strCache>
                <c:ptCount val="4"/>
                <c:pt idx="0">
                  <c:v>6.saat</c:v>
                </c:pt>
                <c:pt idx="1">
                  <c:v>12.saat</c:v>
                </c:pt>
                <c:pt idx="2">
                  <c:v>24.saat</c:v>
                </c:pt>
                <c:pt idx="3">
                  <c:v>48.saat</c:v>
                </c:pt>
              </c:strCache>
            </c:strRef>
          </c:cat>
          <c:val>
            <c:numRef>
              <c:f>'[ELISA SONUÇLAR SON.xlsx]PKM'!$C$38,'[ELISA SONUÇLAR SON.xlsx]PKM'!$C$51,'[ELISA SONUÇLAR SON.xlsx]PKM'!$C$67,'[ELISA SONUÇLAR SON.xlsx]PKM'!$C$87</c:f>
              <c:numCache>
                <c:formatCode>General</c:formatCode>
                <c:ptCount val="4"/>
                <c:pt idx="0">
                  <c:v>2.74</c:v>
                </c:pt>
                <c:pt idx="1">
                  <c:v>0.78</c:v>
                </c:pt>
                <c:pt idx="2">
                  <c:v>0.92</c:v>
                </c:pt>
                <c:pt idx="3">
                  <c:v>1.84</c:v>
                </c:pt>
              </c:numCache>
            </c:numRef>
          </c:val>
          <c:extLst xmlns:c16r2="http://schemas.microsoft.com/office/drawing/2015/06/chart">
            <c:ext xmlns:c16="http://schemas.microsoft.com/office/drawing/2014/chart" uri="{C3380CC4-5D6E-409C-BE32-E72D297353CC}">
              <c16:uniqueId val="{00000000-AF72-4EC8-88CA-107C50AA7652}"/>
            </c:ext>
          </c:extLst>
        </c:ser>
        <c:ser>
          <c:idx val="1"/>
          <c:order val="1"/>
          <c:tx>
            <c:v>hipoksi</c:v>
          </c:tx>
          <c:invertIfNegative val="0"/>
          <c:errBars>
            <c:errBarType val="both"/>
            <c:errValType val="stdErr"/>
            <c:noEndCap val="0"/>
          </c:errBars>
          <c:cat>
            <c:strRef>
              <c:f>PKM!$P$50:$P$53</c:f>
              <c:strCache>
                <c:ptCount val="4"/>
                <c:pt idx="0">
                  <c:v>6.saat</c:v>
                </c:pt>
                <c:pt idx="1">
                  <c:v>12.saat</c:v>
                </c:pt>
                <c:pt idx="2">
                  <c:v>24.saat</c:v>
                </c:pt>
                <c:pt idx="3">
                  <c:v>48.saat</c:v>
                </c:pt>
              </c:strCache>
            </c:strRef>
          </c:cat>
          <c:val>
            <c:numRef>
              <c:f>'[ELISA SONUÇLAR SON.xlsx]PKM'!$C$42,'[ELISA SONUÇLAR SON.xlsx]PKM'!$C$55,'[ELISA SONUÇLAR SON.xlsx]PKM'!$C$71,'[ELISA SONUÇLAR SON.xlsx]PKM'!$C$91</c:f>
              <c:numCache>
                <c:formatCode>General</c:formatCode>
                <c:ptCount val="4"/>
                <c:pt idx="0">
                  <c:v>1.21</c:v>
                </c:pt>
                <c:pt idx="1">
                  <c:v>0.9</c:v>
                </c:pt>
                <c:pt idx="2">
                  <c:v>0.5</c:v>
                </c:pt>
                <c:pt idx="3">
                  <c:v>0.17</c:v>
                </c:pt>
              </c:numCache>
            </c:numRef>
          </c:val>
          <c:extLst xmlns:c16r2="http://schemas.microsoft.com/office/drawing/2015/06/chart">
            <c:ext xmlns:c16="http://schemas.microsoft.com/office/drawing/2014/chart" uri="{C3380CC4-5D6E-409C-BE32-E72D297353CC}">
              <c16:uniqueId val="{00000001-AF72-4EC8-88CA-107C50AA7652}"/>
            </c:ext>
          </c:extLst>
        </c:ser>
        <c:dLbls>
          <c:showLegendKey val="0"/>
          <c:showVal val="0"/>
          <c:showCatName val="0"/>
          <c:showSerName val="0"/>
          <c:showPercent val="0"/>
          <c:showBubbleSize val="0"/>
        </c:dLbls>
        <c:gapWidth val="150"/>
        <c:axId val="387275776"/>
        <c:axId val="387289856"/>
      </c:barChart>
      <c:catAx>
        <c:axId val="387275776"/>
        <c:scaling>
          <c:orientation val="minMax"/>
        </c:scaling>
        <c:delete val="0"/>
        <c:axPos val="b"/>
        <c:numFmt formatCode="General" sourceLinked="0"/>
        <c:majorTickMark val="none"/>
        <c:minorTickMark val="none"/>
        <c:tickLblPos val="nextTo"/>
        <c:crossAx val="387289856"/>
        <c:crosses val="autoZero"/>
        <c:auto val="1"/>
        <c:lblAlgn val="ctr"/>
        <c:lblOffset val="100"/>
        <c:noMultiLvlLbl val="0"/>
      </c:catAx>
      <c:valAx>
        <c:axId val="387289856"/>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PKM2</a:t>
                </a:r>
                <a:r>
                  <a:rPr lang="tr-TR" sz="1000" baseline="0">
                    <a:latin typeface="Times New Roman" pitchFamily="18" charset="0"/>
                    <a:cs typeface="Times New Roman" pitchFamily="18" charset="0"/>
                  </a:rPr>
                  <a:t> ng/mL</a:t>
                </a:r>
                <a:endParaRPr lang="tr-TR" sz="1000">
                  <a:latin typeface="Times New Roman" pitchFamily="18" charset="0"/>
                  <a:cs typeface="Times New Roman" pitchFamily="18" charset="0"/>
                </a:endParaRPr>
              </a:p>
            </c:rich>
          </c:tx>
          <c:layout>
            <c:manualLayout>
              <c:xMode val="edge"/>
              <c:yMode val="edge"/>
              <c:x val="5.1477690288713913E-2"/>
              <c:y val="0.27379629629629626"/>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8727577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15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layout>
        <c:manualLayout>
          <c:xMode val="edge"/>
          <c:yMode val="edge"/>
          <c:x val="0.38974300087489322"/>
          <c:y val="6.0185185185185147E-2"/>
        </c:manualLayout>
      </c:layout>
      <c:overlay val="0"/>
    </c:title>
    <c:autoTitleDeleted val="0"/>
    <c:plotArea>
      <c:layout>
        <c:manualLayout>
          <c:layoutTarget val="inner"/>
          <c:xMode val="edge"/>
          <c:yMode val="edge"/>
          <c:x val="0.17781802274715691"/>
          <c:y val="0.17165536599591719"/>
          <c:w val="0.72218197725284361"/>
          <c:h val="0.54261555847185772"/>
        </c:manualLayout>
      </c:layout>
      <c:barChart>
        <c:barDir val="col"/>
        <c:grouping val="clustered"/>
        <c:varyColors val="0"/>
        <c:ser>
          <c:idx val="0"/>
          <c:order val="0"/>
          <c:tx>
            <c:v>normoksi</c:v>
          </c:tx>
          <c:invertIfNegative val="0"/>
          <c:errBars>
            <c:errBarType val="both"/>
            <c:errValType val="stdErr"/>
            <c:noEndCap val="0"/>
          </c:errBars>
          <c:cat>
            <c:strRef>
              <c:f>PKM!$P$50:$P$53</c:f>
              <c:strCache>
                <c:ptCount val="4"/>
                <c:pt idx="0">
                  <c:v>6.saat</c:v>
                </c:pt>
                <c:pt idx="1">
                  <c:v>12.saat</c:v>
                </c:pt>
                <c:pt idx="2">
                  <c:v>24.saat</c:v>
                </c:pt>
                <c:pt idx="3">
                  <c:v>48.saat</c:v>
                </c:pt>
              </c:strCache>
            </c:strRef>
          </c:cat>
          <c:val>
            <c:numRef>
              <c:f>'[ELISA SONUÇLAR SON.xlsx]PKM'!$C$39,'[ELISA SONUÇLAR SON.xlsx]PKM'!$C$52,'[ELISA SONUÇLAR SON.xlsx]PKM'!$C$68,'[ELISA SONUÇLAR SON.xlsx]PKM'!$C$88</c:f>
              <c:numCache>
                <c:formatCode>General</c:formatCode>
                <c:ptCount val="4"/>
                <c:pt idx="0">
                  <c:v>2.04</c:v>
                </c:pt>
                <c:pt idx="1">
                  <c:v>1.23</c:v>
                </c:pt>
                <c:pt idx="2">
                  <c:v>0.68</c:v>
                </c:pt>
                <c:pt idx="3">
                  <c:v>1.33</c:v>
                </c:pt>
              </c:numCache>
            </c:numRef>
          </c:val>
          <c:extLst xmlns:c16r2="http://schemas.microsoft.com/office/drawing/2015/06/chart">
            <c:ext xmlns:c16="http://schemas.microsoft.com/office/drawing/2014/chart" uri="{C3380CC4-5D6E-409C-BE32-E72D297353CC}">
              <c16:uniqueId val="{00000000-2741-47B5-AC5D-176E9B030518}"/>
            </c:ext>
          </c:extLst>
        </c:ser>
        <c:ser>
          <c:idx val="1"/>
          <c:order val="1"/>
          <c:tx>
            <c:v>hipoksi</c:v>
          </c:tx>
          <c:invertIfNegative val="0"/>
          <c:errBars>
            <c:errBarType val="both"/>
            <c:errValType val="stdErr"/>
            <c:noEndCap val="0"/>
          </c:errBars>
          <c:cat>
            <c:strRef>
              <c:f>PKM!$P$50:$P$53</c:f>
              <c:strCache>
                <c:ptCount val="4"/>
                <c:pt idx="0">
                  <c:v>6.saat</c:v>
                </c:pt>
                <c:pt idx="1">
                  <c:v>12.saat</c:v>
                </c:pt>
                <c:pt idx="2">
                  <c:v>24.saat</c:v>
                </c:pt>
                <c:pt idx="3">
                  <c:v>48.saat</c:v>
                </c:pt>
              </c:strCache>
            </c:strRef>
          </c:cat>
          <c:val>
            <c:numRef>
              <c:f>'[ELISA SONUÇLAR SON.xlsx]PKM'!$C$43,'[ELISA SONUÇLAR SON.xlsx]PKM'!$C$56,'[ELISA SONUÇLAR SON.xlsx]PKM'!$C$72,'[ELISA SONUÇLAR SON.xlsx]PKM'!$C$92</c:f>
              <c:numCache>
                <c:formatCode>General</c:formatCode>
                <c:ptCount val="4"/>
                <c:pt idx="0">
                  <c:v>1.8</c:v>
                </c:pt>
                <c:pt idx="1">
                  <c:v>0.3900000000000029</c:v>
                </c:pt>
                <c:pt idx="2">
                  <c:v>0.3900000000000029</c:v>
                </c:pt>
                <c:pt idx="3">
                  <c:v>0.8700000000000051</c:v>
                </c:pt>
              </c:numCache>
            </c:numRef>
          </c:val>
          <c:extLst xmlns:c16r2="http://schemas.microsoft.com/office/drawing/2015/06/chart">
            <c:ext xmlns:c16="http://schemas.microsoft.com/office/drawing/2014/chart" uri="{C3380CC4-5D6E-409C-BE32-E72D297353CC}">
              <c16:uniqueId val="{00000001-2741-47B5-AC5D-176E9B030518}"/>
            </c:ext>
          </c:extLst>
        </c:ser>
        <c:dLbls>
          <c:showLegendKey val="0"/>
          <c:showVal val="0"/>
          <c:showCatName val="0"/>
          <c:showSerName val="0"/>
          <c:showPercent val="0"/>
          <c:showBubbleSize val="0"/>
        </c:dLbls>
        <c:gapWidth val="150"/>
        <c:axId val="387344640"/>
        <c:axId val="387358720"/>
      </c:barChart>
      <c:catAx>
        <c:axId val="387344640"/>
        <c:scaling>
          <c:orientation val="minMax"/>
        </c:scaling>
        <c:delete val="0"/>
        <c:axPos val="b"/>
        <c:numFmt formatCode="General" sourceLinked="0"/>
        <c:majorTickMark val="none"/>
        <c:minorTickMark val="none"/>
        <c:tickLblPos val="nextTo"/>
        <c:crossAx val="387358720"/>
        <c:crosses val="autoZero"/>
        <c:auto val="1"/>
        <c:lblAlgn val="ctr"/>
        <c:lblOffset val="100"/>
        <c:noMultiLvlLbl val="0"/>
      </c:catAx>
      <c:valAx>
        <c:axId val="387358720"/>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PKM2 ng/mL</a:t>
                </a:r>
              </a:p>
            </c:rich>
          </c:tx>
          <c:layout>
            <c:manualLayout>
              <c:xMode val="edge"/>
              <c:yMode val="edge"/>
              <c:x val="4.9884951881014918E-2"/>
              <c:y val="0.27842592592592624"/>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8734464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400">
                <a:latin typeface="Times New Roman" pitchFamily="18" charset="0"/>
                <a:cs typeface="Times New Roman" pitchFamily="18" charset="0"/>
              </a:defRPr>
            </a:pPr>
            <a:r>
              <a:rPr lang="tr-TR" sz="1200" b="0">
                <a:latin typeface="Times New Roman" pitchFamily="18" charset="0"/>
                <a:cs typeface="Times New Roman" pitchFamily="18" charset="0"/>
              </a:rPr>
              <a:t>55 mM Glukoz</a:t>
            </a:r>
          </a:p>
        </c:rich>
      </c:tx>
      <c:layout>
        <c:manualLayout>
          <c:xMode val="edge"/>
          <c:yMode val="edge"/>
          <c:x val="0.4008541119860049"/>
          <c:y val="5.5555555555555455E-2"/>
        </c:manualLayout>
      </c:layout>
      <c:overlay val="0"/>
    </c:title>
    <c:autoTitleDeleted val="0"/>
    <c:plotArea>
      <c:layout>
        <c:manualLayout>
          <c:layoutTarget val="inner"/>
          <c:xMode val="edge"/>
          <c:yMode val="edge"/>
          <c:x val="0.17781802274715691"/>
          <c:y val="0.16702573636628754"/>
          <c:w val="0.74995975503062162"/>
          <c:h val="0.54261555847185772"/>
        </c:manualLayout>
      </c:layout>
      <c:barChart>
        <c:barDir val="col"/>
        <c:grouping val="clustered"/>
        <c:varyColors val="0"/>
        <c:ser>
          <c:idx val="0"/>
          <c:order val="0"/>
          <c:tx>
            <c:v>normoksi</c:v>
          </c:tx>
          <c:invertIfNegative val="0"/>
          <c:errBars>
            <c:errBarType val="both"/>
            <c:errValType val="stdErr"/>
            <c:noEndCap val="0"/>
          </c:errBars>
          <c:cat>
            <c:strRef>
              <c:f>PKM!$P$50:$P$53</c:f>
              <c:strCache>
                <c:ptCount val="4"/>
                <c:pt idx="0">
                  <c:v>6.saat</c:v>
                </c:pt>
                <c:pt idx="1">
                  <c:v>12.saat</c:v>
                </c:pt>
                <c:pt idx="2">
                  <c:v>24.saat</c:v>
                </c:pt>
                <c:pt idx="3">
                  <c:v>48.saat</c:v>
                </c:pt>
              </c:strCache>
            </c:strRef>
          </c:cat>
          <c:val>
            <c:numRef>
              <c:f>'[ELISA SONUÇLAR SON.xlsx]PKM'!$C$40,'[ELISA SONUÇLAR SON.xlsx]PKM'!$C$53,'[ELISA SONUÇLAR SON.xlsx]PKM'!$C$69,'[ELISA SONUÇLAR SON.xlsx]PKM'!$C$89</c:f>
              <c:numCache>
                <c:formatCode>General</c:formatCode>
                <c:ptCount val="4"/>
                <c:pt idx="0">
                  <c:v>1.86</c:v>
                </c:pt>
                <c:pt idx="1">
                  <c:v>1.01</c:v>
                </c:pt>
                <c:pt idx="2">
                  <c:v>0.72000000000000064</c:v>
                </c:pt>
                <c:pt idx="3">
                  <c:v>0.93</c:v>
                </c:pt>
              </c:numCache>
            </c:numRef>
          </c:val>
          <c:extLst xmlns:c16r2="http://schemas.microsoft.com/office/drawing/2015/06/chart">
            <c:ext xmlns:c16="http://schemas.microsoft.com/office/drawing/2014/chart" uri="{C3380CC4-5D6E-409C-BE32-E72D297353CC}">
              <c16:uniqueId val="{00000000-2335-4571-A92B-D56E578A1777}"/>
            </c:ext>
          </c:extLst>
        </c:ser>
        <c:ser>
          <c:idx val="1"/>
          <c:order val="1"/>
          <c:tx>
            <c:v>hipoksi</c:v>
          </c:tx>
          <c:invertIfNegative val="0"/>
          <c:errBars>
            <c:errBarType val="both"/>
            <c:errValType val="stdErr"/>
            <c:noEndCap val="0"/>
          </c:errBars>
          <c:cat>
            <c:strRef>
              <c:f>PKM!$P$50:$P$53</c:f>
              <c:strCache>
                <c:ptCount val="4"/>
                <c:pt idx="0">
                  <c:v>6.saat</c:v>
                </c:pt>
                <c:pt idx="1">
                  <c:v>12.saat</c:v>
                </c:pt>
                <c:pt idx="2">
                  <c:v>24.saat</c:v>
                </c:pt>
                <c:pt idx="3">
                  <c:v>48.saat</c:v>
                </c:pt>
              </c:strCache>
            </c:strRef>
          </c:cat>
          <c:val>
            <c:numRef>
              <c:f>'[ELISA SONUÇLAR SON.xlsx]PKM'!$C$44,'[ELISA SONUÇLAR SON.xlsx]PKM'!$C$57,'[ELISA SONUÇLAR SON.xlsx]PKM'!$C$73,'[ELISA SONUÇLAR SON.xlsx]PKM'!$C$93</c:f>
              <c:numCache>
                <c:formatCode>General</c:formatCode>
                <c:ptCount val="4"/>
                <c:pt idx="0">
                  <c:v>1.52</c:v>
                </c:pt>
                <c:pt idx="1">
                  <c:v>0.21000000000000021</c:v>
                </c:pt>
                <c:pt idx="2">
                  <c:v>0.5</c:v>
                </c:pt>
                <c:pt idx="3">
                  <c:v>0.98</c:v>
                </c:pt>
              </c:numCache>
            </c:numRef>
          </c:val>
          <c:extLst xmlns:c16r2="http://schemas.microsoft.com/office/drawing/2015/06/chart">
            <c:ext xmlns:c16="http://schemas.microsoft.com/office/drawing/2014/chart" uri="{C3380CC4-5D6E-409C-BE32-E72D297353CC}">
              <c16:uniqueId val="{00000001-2335-4571-A92B-D56E578A1777}"/>
            </c:ext>
          </c:extLst>
        </c:ser>
        <c:dLbls>
          <c:showLegendKey val="0"/>
          <c:showVal val="0"/>
          <c:showCatName val="0"/>
          <c:showSerName val="0"/>
          <c:showPercent val="0"/>
          <c:showBubbleSize val="0"/>
        </c:dLbls>
        <c:gapWidth val="150"/>
        <c:axId val="387532288"/>
        <c:axId val="387533824"/>
      </c:barChart>
      <c:catAx>
        <c:axId val="387532288"/>
        <c:scaling>
          <c:orientation val="minMax"/>
        </c:scaling>
        <c:delete val="0"/>
        <c:axPos val="b"/>
        <c:numFmt formatCode="General" sourceLinked="0"/>
        <c:majorTickMark val="none"/>
        <c:minorTickMark val="none"/>
        <c:tickLblPos val="nextTo"/>
        <c:crossAx val="387533824"/>
        <c:crosses val="autoZero"/>
        <c:auto val="1"/>
        <c:lblAlgn val="ctr"/>
        <c:lblOffset val="100"/>
        <c:noMultiLvlLbl val="0"/>
      </c:catAx>
      <c:valAx>
        <c:axId val="387533824"/>
        <c:scaling>
          <c:orientation val="minMax"/>
        </c:scaling>
        <c:delete val="0"/>
        <c:axPos val="l"/>
        <c:title>
          <c:tx>
            <c:rich>
              <a:bodyPr/>
              <a:lstStyle/>
              <a:p>
                <a:pPr>
                  <a:defRPr>
                    <a:latin typeface="Times New Roman" pitchFamily="18" charset="0"/>
                    <a:cs typeface="Times New Roman" pitchFamily="18" charset="0"/>
                  </a:defRPr>
                </a:pPr>
                <a:r>
                  <a:rPr lang="tr-TR" sz="1000" b="0">
                    <a:latin typeface="Times New Roman" pitchFamily="18" charset="0"/>
                    <a:cs typeface="Times New Roman" pitchFamily="18" charset="0"/>
                  </a:rPr>
                  <a:t>PKM2 ng/mL</a:t>
                </a:r>
                <a:endParaRPr lang="tr-TR" b="0">
                  <a:latin typeface="Times New Roman" pitchFamily="18" charset="0"/>
                  <a:cs typeface="Times New Roman" pitchFamily="18" charset="0"/>
                </a:endParaRPr>
              </a:p>
            </c:rich>
          </c:tx>
          <c:layout>
            <c:manualLayout>
              <c:xMode val="edge"/>
              <c:yMode val="edge"/>
              <c:x val="3.3051618547681551E-2"/>
              <c:y val="0.29568314377369498"/>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8753228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txPr>
    <a:bodyPr/>
    <a:lstStyle/>
    <a:p>
      <a:pPr>
        <a:defRPr>
          <a:ln>
            <a:solidFill>
              <a:schemeClr val="bg1"/>
            </a:solidFill>
          </a:ln>
        </a:defRPr>
      </a:pPr>
      <a:endParaRPr lang="tr-T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71367311480432"/>
          <c:y val="0.11621536891221944"/>
          <c:w val="0.71012088277697683"/>
          <c:h val="0.75192876932050223"/>
        </c:manualLayout>
      </c:layout>
      <c:lineChart>
        <c:grouping val="standard"/>
        <c:varyColors val="0"/>
        <c:ser>
          <c:idx val="0"/>
          <c:order val="0"/>
          <c:tx>
            <c:v>0 mM</c:v>
          </c:tx>
          <c:errBars>
            <c:errDir val="y"/>
            <c:errBarType val="both"/>
            <c:errValType val="stdErr"/>
            <c:noEndCap val="0"/>
          </c:errBars>
          <c:cat>
            <c:strRef>
              <c:f>LDHA!$T$7:$T$10</c:f>
              <c:strCache>
                <c:ptCount val="4"/>
                <c:pt idx="0">
                  <c:v>6.saat</c:v>
                </c:pt>
                <c:pt idx="1">
                  <c:v>12.saat</c:v>
                </c:pt>
                <c:pt idx="2">
                  <c:v>24.saat</c:v>
                </c:pt>
                <c:pt idx="3">
                  <c:v>48.saat</c:v>
                </c:pt>
              </c:strCache>
            </c:strRef>
          </c:cat>
          <c:val>
            <c:numRef>
              <c:f>(LDHA!$C$40,LDHA!$C$53,LDHA!$C$69,LDHA!$C$89)</c:f>
              <c:numCache>
                <c:formatCode>General</c:formatCode>
                <c:ptCount val="4"/>
                <c:pt idx="0">
                  <c:v>24.2</c:v>
                </c:pt>
                <c:pt idx="1">
                  <c:v>12.89</c:v>
                </c:pt>
                <c:pt idx="2">
                  <c:v>12.91</c:v>
                </c:pt>
                <c:pt idx="3">
                  <c:v>16.649999999999999</c:v>
                </c:pt>
              </c:numCache>
            </c:numRef>
          </c:val>
          <c:smooth val="0"/>
          <c:extLst xmlns:c16r2="http://schemas.microsoft.com/office/drawing/2015/06/chart">
            <c:ext xmlns:c16="http://schemas.microsoft.com/office/drawing/2014/chart" uri="{C3380CC4-5D6E-409C-BE32-E72D297353CC}">
              <c16:uniqueId val="{00000000-F27A-4F6C-8B61-4C932C2048EB}"/>
            </c:ext>
          </c:extLst>
        </c:ser>
        <c:ser>
          <c:idx val="1"/>
          <c:order val="1"/>
          <c:tx>
            <c:v>5,5 mM</c:v>
          </c:tx>
          <c:errBars>
            <c:errDir val="y"/>
            <c:errBarType val="both"/>
            <c:errValType val="stdErr"/>
            <c:noEndCap val="0"/>
          </c:errBars>
          <c:cat>
            <c:strRef>
              <c:f>LDHA!$T$7:$T$10</c:f>
              <c:strCache>
                <c:ptCount val="4"/>
                <c:pt idx="0">
                  <c:v>6.saat</c:v>
                </c:pt>
                <c:pt idx="1">
                  <c:v>12.saat</c:v>
                </c:pt>
                <c:pt idx="2">
                  <c:v>24.saat</c:v>
                </c:pt>
                <c:pt idx="3">
                  <c:v>48.saat</c:v>
                </c:pt>
              </c:strCache>
            </c:strRef>
          </c:cat>
          <c:val>
            <c:numRef>
              <c:f>(LDHA!$C$41,LDHA!$C$54,LDHA!$C$70,LDHA!$C$90)</c:f>
              <c:numCache>
                <c:formatCode>General</c:formatCode>
                <c:ptCount val="4"/>
                <c:pt idx="0">
                  <c:v>25.77</c:v>
                </c:pt>
                <c:pt idx="1">
                  <c:v>12.63</c:v>
                </c:pt>
                <c:pt idx="2">
                  <c:v>15.89</c:v>
                </c:pt>
                <c:pt idx="3">
                  <c:v>31.75</c:v>
                </c:pt>
              </c:numCache>
            </c:numRef>
          </c:val>
          <c:smooth val="0"/>
          <c:extLst xmlns:c16r2="http://schemas.microsoft.com/office/drawing/2015/06/chart">
            <c:ext xmlns:c16="http://schemas.microsoft.com/office/drawing/2014/chart" uri="{C3380CC4-5D6E-409C-BE32-E72D297353CC}">
              <c16:uniqueId val="{00000001-F27A-4F6C-8B61-4C932C2048EB}"/>
            </c:ext>
          </c:extLst>
        </c:ser>
        <c:ser>
          <c:idx val="2"/>
          <c:order val="2"/>
          <c:tx>
            <c:v>15 mM</c:v>
          </c:tx>
          <c:errBars>
            <c:errDir val="y"/>
            <c:errBarType val="both"/>
            <c:errValType val="stdErr"/>
            <c:noEndCap val="0"/>
          </c:errBars>
          <c:cat>
            <c:strRef>
              <c:f>LDHA!$T$7:$T$10</c:f>
              <c:strCache>
                <c:ptCount val="4"/>
                <c:pt idx="0">
                  <c:v>6.saat</c:v>
                </c:pt>
                <c:pt idx="1">
                  <c:v>12.saat</c:v>
                </c:pt>
                <c:pt idx="2">
                  <c:v>24.saat</c:v>
                </c:pt>
                <c:pt idx="3">
                  <c:v>48.saat</c:v>
                </c:pt>
              </c:strCache>
            </c:strRef>
          </c:cat>
          <c:val>
            <c:numRef>
              <c:f>(LDHA!$C$42,LDHA!$C$55,LDHA!$C$71,LDHA!$C$91)</c:f>
              <c:numCache>
                <c:formatCode>General</c:formatCode>
                <c:ptCount val="4"/>
                <c:pt idx="0">
                  <c:v>19.91</c:v>
                </c:pt>
                <c:pt idx="1">
                  <c:v>15.57</c:v>
                </c:pt>
                <c:pt idx="2">
                  <c:v>13.51</c:v>
                </c:pt>
                <c:pt idx="3">
                  <c:v>23.73</c:v>
                </c:pt>
              </c:numCache>
            </c:numRef>
          </c:val>
          <c:smooth val="0"/>
          <c:extLst xmlns:c16r2="http://schemas.microsoft.com/office/drawing/2015/06/chart">
            <c:ext xmlns:c16="http://schemas.microsoft.com/office/drawing/2014/chart" uri="{C3380CC4-5D6E-409C-BE32-E72D297353CC}">
              <c16:uniqueId val="{00000002-F27A-4F6C-8B61-4C932C2048EB}"/>
            </c:ext>
          </c:extLst>
        </c:ser>
        <c:ser>
          <c:idx val="3"/>
          <c:order val="3"/>
          <c:tx>
            <c:v>55 mM</c:v>
          </c:tx>
          <c:errBars>
            <c:errDir val="y"/>
            <c:errBarType val="both"/>
            <c:errValType val="stdErr"/>
            <c:noEndCap val="0"/>
          </c:errBars>
          <c:cat>
            <c:strRef>
              <c:f>LDHA!$T$7:$T$10</c:f>
              <c:strCache>
                <c:ptCount val="4"/>
                <c:pt idx="0">
                  <c:v>6.saat</c:v>
                </c:pt>
                <c:pt idx="1">
                  <c:v>12.saat</c:v>
                </c:pt>
                <c:pt idx="2">
                  <c:v>24.saat</c:v>
                </c:pt>
                <c:pt idx="3">
                  <c:v>48.saat</c:v>
                </c:pt>
              </c:strCache>
            </c:strRef>
          </c:cat>
          <c:val>
            <c:numRef>
              <c:f>(LDHA!$C$43,LDHA!$C$56,LDHA!$C$72,LDHA!$C$92)</c:f>
              <c:numCache>
                <c:formatCode>General</c:formatCode>
                <c:ptCount val="4"/>
                <c:pt idx="0">
                  <c:v>19.439999999999987</c:v>
                </c:pt>
                <c:pt idx="1">
                  <c:v>14.93</c:v>
                </c:pt>
                <c:pt idx="2">
                  <c:v>12.08</c:v>
                </c:pt>
                <c:pt idx="3">
                  <c:v>16.510000000000005</c:v>
                </c:pt>
              </c:numCache>
            </c:numRef>
          </c:val>
          <c:smooth val="0"/>
          <c:extLst xmlns:c16r2="http://schemas.microsoft.com/office/drawing/2015/06/chart">
            <c:ext xmlns:c16="http://schemas.microsoft.com/office/drawing/2014/chart" uri="{C3380CC4-5D6E-409C-BE32-E72D297353CC}">
              <c16:uniqueId val="{00000003-F27A-4F6C-8B61-4C932C2048EB}"/>
            </c:ext>
          </c:extLst>
        </c:ser>
        <c:dLbls>
          <c:showLegendKey val="0"/>
          <c:showVal val="0"/>
          <c:showCatName val="0"/>
          <c:showSerName val="0"/>
          <c:showPercent val="0"/>
          <c:showBubbleSize val="0"/>
        </c:dLbls>
        <c:marker val="1"/>
        <c:smooth val="0"/>
        <c:axId val="388124032"/>
        <c:axId val="388130304"/>
      </c:lineChart>
      <c:catAx>
        <c:axId val="388124032"/>
        <c:scaling>
          <c:orientation val="minMax"/>
        </c:scaling>
        <c:delete val="0"/>
        <c:axPos val="b"/>
        <c:title>
          <c:tx>
            <c:rich>
              <a:bodyPr/>
              <a:lstStyle/>
              <a:p>
                <a:pPr algn="l">
                  <a:defRPr sz="1000">
                    <a:latin typeface="Times New Roman" pitchFamily="18" charset="0"/>
                    <a:cs typeface="Times New Roman" pitchFamily="18" charset="0"/>
                  </a:defRPr>
                </a:pPr>
                <a:r>
                  <a:rPr lang="en-US" sz="1000">
                    <a:latin typeface="Times New Roman" pitchFamily="18" charset="0"/>
                    <a:cs typeface="Times New Roman" pitchFamily="18" charset="0"/>
                  </a:rPr>
                  <a:t>NORMOKSİ</a:t>
                </a:r>
              </a:p>
            </c:rich>
          </c:tx>
          <c:layout>
            <c:manualLayout>
              <c:xMode val="edge"/>
              <c:yMode val="edge"/>
              <c:x val="0.38473126102292782"/>
              <c:y val="3.1458151064450275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88130304"/>
        <c:crosses val="autoZero"/>
        <c:auto val="1"/>
        <c:lblAlgn val="ctr"/>
        <c:lblOffset val="100"/>
        <c:noMultiLvlLbl val="0"/>
      </c:catAx>
      <c:valAx>
        <c:axId val="388130304"/>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LDHA ng/mL</a:t>
                </a:r>
              </a:p>
            </c:rich>
          </c:tx>
          <c:layout>
            <c:manualLayout>
              <c:xMode val="edge"/>
              <c:yMode val="edge"/>
              <c:x val="9.4995167857539267E-3"/>
              <c:y val="0.33449438611840387"/>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88124032"/>
        <c:crosses val="autoZero"/>
        <c:crossBetween val="between"/>
      </c:valAx>
      <c:spPr>
        <a:solidFill>
          <a:sysClr val="window" lastClr="FFFFFF"/>
        </a:solidFill>
        <a:ln>
          <a:noFill/>
        </a:ln>
      </c:spPr>
    </c:plotArea>
    <c:legend>
      <c:legendPos val="r"/>
      <c:layout>
        <c:manualLayout>
          <c:xMode val="edge"/>
          <c:yMode val="edge"/>
          <c:x val="0.8265693350831147"/>
          <c:y val="0.33256561679790198"/>
          <c:w val="0.16481566564742794"/>
          <c:h val="0.33486876640420243"/>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spPr>
    <a:solidFill>
      <a:schemeClr val="bg1">
        <a:lumMod val="75000"/>
      </a:schemeClr>
    </a:solid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93289536412741"/>
          <c:y val="0.12547462817147856"/>
          <c:w val="0.6965317658645962"/>
          <c:h val="0.7426695100612426"/>
        </c:manualLayout>
      </c:layout>
      <c:lineChart>
        <c:grouping val="standard"/>
        <c:varyColors val="0"/>
        <c:ser>
          <c:idx val="0"/>
          <c:order val="0"/>
          <c:tx>
            <c:v>0 mM</c:v>
          </c:tx>
          <c:errBars>
            <c:errDir val="y"/>
            <c:errBarType val="both"/>
            <c:errValType val="stdErr"/>
            <c:noEndCap val="0"/>
          </c:errBars>
          <c:cat>
            <c:strRef>
              <c:f>LDHA!$T$7:$T$10</c:f>
              <c:strCache>
                <c:ptCount val="4"/>
                <c:pt idx="0">
                  <c:v>6.saat</c:v>
                </c:pt>
                <c:pt idx="1">
                  <c:v>12.saat</c:v>
                </c:pt>
                <c:pt idx="2">
                  <c:v>24.saat</c:v>
                </c:pt>
                <c:pt idx="3">
                  <c:v>48.saat</c:v>
                </c:pt>
              </c:strCache>
            </c:strRef>
          </c:cat>
          <c:val>
            <c:numRef>
              <c:f>(LDHA!$C$44,LDHA!$C$57,LDHA!$C$73,LDHA!$C$93)</c:f>
              <c:numCache>
                <c:formatCode>General</c:formatCode>
                <c:ptCount val="4"/>
                <c:pt idx="0">
                  <c:v>15.26</c:v>
                </c:pt>
                <c:pt idx="1">
                  <c:v>11.79</c:v>
                </c:pt>
                <c:pt idx="2">
                  <c:v>10.93</c:v>
                </c:pt>
                <c:pt idx="3">
                  <c:v>7.1599999999999975</c:v>
                </c:pt>
              </c:numCache>
            </c:numRef>
          </c:val>
          <c:smooth val="0"/>
          <c:extLst xmlns:c16r2="http://schemas.microsoft.com/office/drawing/2015/06/chart">
            <c:ext xmlns:c16="http://schemas.microsoft.com/office/drawing/2014/chart" uri="{C3380CC4-5D6E-409C-BE32-E72D297353CC}">
              <c16:uniqueId val="{00000000-E4EA-4491-8B92-6BE9B5F88062}"/>
            </c:ext>
          </c:extLst>
        </c:ser>
        <c:ser>
          <c:idx val="1"/>
          <c:order val="1"/>
          <c:tx>
            <c:v>5,5 mM</c:v>
          </c:tx>
          <c:errBars>
            <c:errDir val="y"/>
            <c:errBarType val="both"/>
            <c:errValType val="stdErr"/>
            <c:noEndCap val="0"/>
          </c:errBars>
          <c:cat>
            <c:strRef>
              <c:f>LDHA!$T$7:$T$10</c:f>
              <c:strCache>
                <c:ptCount val="4"/>
                <c:pt idx="0">
                  <c:v>6.saat</c:v>
                </c:pt>
                <c:pt idx="1">
                  <c:v>12.saat</c:v>
                </c:pt>
                <c:pt idx="2">
                  <c:v>24.saat</c:v>
                </c:pt>
                <c:pt idx="3">
                  <c:v>48.saat</c:v>
                </c:pt>
              </c:strCache>
            </c:strRef>
          </c:cat>
          <c:val>
            <c:numRef>
              <c:f>(LDHA!$C$45,LDHA!$C$58,LDHA!$C$74,LDHA!$C$94)</c:f>
              <c:numCache>
                <c:formatCode>General</c:formatCode>
                <c:ptCount val="4"/>
                <c:pt idx="0">
                  <c:v>20.459999999999987</c:v>
                </c:pt>
                <c:pt idx="1">
                  <c:v>16.87</c:v>
                </c:pt>
                <c:pt idx="2">
                  <c:v>11.51</c:v>
                </c:pt>
                <c:pt idx="3">
                  <c:v>4.55</c:v>
                </c:pt>
              </c:numCache>
            </c:numRef>
          </c:val>
          <c:smooth val="0"/>
          <c:extLst xmlns:c16r2="http://schemas.microsoft.com/office/drawing/2015/06/chart">
            <c:ext xmlns:c16="http://schemas.microsoft.com/office/drawing/2014/chart" uri="{C3380CC4-5D6E-409C-BE32-E72D297353CC}">
              <c16:uniqueId val="{00000001-E4EA-4491-8B92-6BE9B5F88062}"/>
            </c:ext>
          </c:extLst>
        </c:ser>
        <c:ser>
          <c:idx val="2"/>
          <c:order val="2"/>
          <c:tx>
            <c:v>15 mM</c:v>
          </c:tx>
          <c:errBars>
            <c:errDir val="y"/>
            <c:errBarType val="both"/>
            <c:errValType val="stdErr"/>
            <c:noEndCap val="0"/>
          </c:errBars>
          <c:cat>
            <c:strRef>
              <c:f>LDHA!$T$7:$T$10</c:f>
              <c:strCache>
                <c:ptCount val="4"/>
                <c:pt idx="0">
                  <c:v>6.saat</c:v>
                </c:pt>
                <c:pt idx="1">
                  <c:v>12.saat</c:v>
                </c:pt>
                <c:pt idx="2">
                  <c:v>24.saat</c:v>
                </c:pt>
                <c:pt idx="3">
                  <c:v>48.saat</c:v>
                </c:pt>
              </c:strCache>
            </c:strRef>
          </c:cat>
          <c:val>
            <c:numRef>
              <c:f>(LDHA!$C$46,LDHA!$C$59,LDHA!$C$75,LDHA!$C$95)</c:f>
              <c:numCache>
                <c:formatCode>General</c:formatCode>
                <c:ptCount val="4"/>
                <c:pt idx="0">
                  <c:v>44.24</c:v>
                </c:pt>
                <c:pt idx="1">
                  <c:v>16.630000000000031</c:v>
                </c:pt>
                <c:pt idx="2">
                  <c:v>14.48</c:v>
                </c:pt>
                <c:pt idx="3">
                  <c:v>7.06</c:v>
                </c:pt>
              </c:numCache>
            </c:numRef>
          </c:val>
          <c:smooth val="0"/>
          <c:extLst xmlns:c16r2="http://schemas.microsoft.com/office/drawing/2015/06/chart">
            <c:ext xmlns:c16="http://schemas.microsoft.com/office/drawing/2014/chart" uri="{C3380CC4-5D6E-409C-BE32-E72D297353CC}">
              <c16:uniqueId val="{00000002-E4EA-4491-8B92-6BE9B5F88062}"/>
            </c:ext>
          </c:extLst>
        </c:ser>
        <c:ser>
          <c:idx val="3"/>
          <c:order val="3"/>
          <c:tx>
            <c:v>55 mM</c:v>
          </c:tx>
          <c:errBars>
            <c:errDir val="y"/>
            <c:errBarType val="both"/>
            <c:errValType val="stdErr"/>
            <c:noEndCap val="0"/>
          </c:errBars>
          <c:cat>
            <c:strRef>
              <c:f>LDHA!$T$7:$T$10</c:f>
              <c:strCache>
                <c:ptCount val="4"/>
                <c:pt idx="0">
                  <c:v>6.saat</c:v>
                </c:pt>
                <c:pt idx="1">
                  <c:v>12.saat</c:v>
                </c:pt>
                <c:pt idx="2">
                  <c:v>24.saat</c:v>
                </c:pt>
                <c:pt idx="3">
                  <c:v>48.saat</c:v>
                </c:pt>
              </c:strCache>
            </c:strRef>
          </c:cat>
          <c:val>
            <c:numRef>
              <c:f>(LDHA!$C$47,LDHA!$C$60,LDHA!$C$76,LDHA!$C$96)</c:f>
              <c:numCache>
                <c:formatCode>General</c:formatCode>
                <c:ptCount val="4"/>
                <c:pt idx="0">
                  <c:v>24.419999999999987</c:v>
                </c:pt>
                <c:pt idx="1">
                  <c:v>8.2200000000000006</c:v>
                </c:pt>
                <c:pt idx="2">
                  <c:v>7.02</c:v>
                </c:pt>
                <c:pt idx="3">
                  <c:v>6.85</c:v>
                </c:pt>
              </c:numCache>
            </c:numRef>
          </c:val>
          <c:smooth val="0"/>
          <c:extLst xmlns:c16r2="http://schemas.microsoft.com/office/drawing/2015/06/chart">
            <c:ext xmlns:c16="http://schemas.microsoft.com/office/drawing/2014/chart" uri="{C3380CC4-5D6E-409C-BE32-E72D297353CC}">
              <c16:uniqueId val="{00000003-E4EA-4491-8B92-6BE9B5F88062}"/>
            </c:ext>
          </c:extLst>
        </c:ser>
        <c:dLbls>
          <c:showLegendKey val="0"/>
          <c:showVal val="0"/>
          <c:showCatName val="0"/>
          <c:showSerName val="0"/>
          <c:showPercent val="0"/>
          <c:showBubbleSize val="0"/>
        </c:dLbls>
        <c:marker val="1"/>
        <c:smooth val="0"/>
        <c:axId val="387783680"/>
        <c:axId val="387802240"/>
      </c:lineChart>
      <c:catAx>
        <c:axId val="387783680"/>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HİPOKSİ</a:t>
                </a:r>
              </a:p>
            </c:rich>
          </c:tx>
          <c:layout>
            <c:manualLayout>
              <c:xMode val="edge"/>
              <c:yMode val="edge"/>
              <c:x val="0.39580313051146382"/>
              <c:y val="3.6087780694079939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87802240"/>
        <c:crosses val="autoZero"/>
        <c:auto val="1"/>
        <c:lblAlgn val="ctr"/>
        <c:lblOffset val="100"/>
        <c:noMultiLvlLbl val="0"/>
      </c:catAx>
      <c:valAx>
        <c:axId val="387802240"/>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LDHA</a:t>
                </a:r>
                <a:r>
                  <a:rPr lang="tr-TR" sz="1000" baseline="0">
                    <a:latin typeface="Times New Roman" pitchFamily="18" charset="0"/>
                    <a:cs typeface="Times New Roman" pitchFamily="18" charset="0"/>
                  </a:rPr>
                  <a:t> ng/mL</a:t>
                </a:r>
                <a:endParaRPr lang="tr-TR"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87783680"/>
        <c:crosses val="autoZero"/>
        <c:crossBetween val="between"/>
      </c:valAx>
    </c:plotArea>
    <c:legend>
      <c:legendPos val="r"/>
      <c:layout>
        <c:manualLayout>
          <c:xMode val="edge"/>
          <c:yMode val="edge"/>
          <c:x val="0.82851619595454451"/>
          <c:y val="0.33256561679790198"/>
          <c:w val="0.16349977210932534"/>
          <c:h val="0.33486876640420243"/>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spPr>
    <a:solidFill>
      <a:schemeClr val="bg1">
        <a:lumMod val="75000"/>
      </a:schemeClr>
    </a:solid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1504396325459318"/>
          <c:y val="0.16714129483814524"/>
          <c:w val="0.73915179352581295"/>
          <c:h val="0.70100284339457652"/>
        </c:manualLayout>
      </c:layout>
      <c:barChart>
        <c:barDir val="col"/>
        <c:grouping val="clustered"/>
        <c:varyColors val="0"/>
        <c:ser>
          <c:idx val="0"/>
          <c:order val="0"/>
          <c:tx>
            <c:v>6.saat</c:v>
          </c:tx>
          <c:invertIfNegative val="0"/>
          <c:errBars>
            <c:errBarType val="both"/>
            <c:errValType val="stdErr"/>
            <c:noEndCap val="0"/>
          </c:errBars>
          <c:cat>
            <c:strRef>
              <c:f>LDHA!$T$14:$T$17</c:f>
              <c:strCache>
                <c:ptCount val="4"/>
                <c:pt idx="0">
                  <c:v> 0 mM </c:v>
                </c:pt>
                <c:pt idx="1">
                  <c:v> 5,5 mM </c:v>
                </c:pt>
                <c:pt idx="2">
                  <c:v> 15 mM </c:v>
                </c:pt>
                <c:pt idx="3">
                  <c:v>55 mM </c:v>
                </c:pt>
              </c:strCache>
            </c:strRef>
          </c:cat>
          <c:val>
            <c:numRef>
              <c:f>LDHA!$C$40:$C$43</c:f>
              <c:numCache>
                <c:formatCode>General</c:formatCode>
                <c:ptCount val="4"/>
                <c:pt idx="0">
                  <c:v>24.2</c:v>
                </c:pt>
                <c:pt idx="1">
                  <c:v>25.77</c:v>
                </c:pt>
                <c:pt idx="2">
                  <c:v>19.91</c:v>
                </c:pt>
                <c:pt idx="3">
                  <c:v>19.439999999999987</c:v>
                </c:pt>
              </c:numCache>
            </c:numRef>
          </c:val>
          <c:extLst xmlns:c16r2="http://schemas.microsoft.com/office/drawing/2015/06/chart">
            <c:ext xmlns:c16="http://schemas.microsoft.com/office/drawing/2014/chart" uri="{C3380CC4-5D6E-409C-BE32-E72D297353CC}">
              <c16:uniqueId val="{00000000-A356-49B0-9FD7-B6E637577269}"/>
            </c:ext>
          </c:extLst>
        </c:ser>
        <c:ser>
          <c:idx val="1"/>
          <c:order val="1"/>
          <c:tx>
            <c:v>12.saat</c:v>
          </c:tx>
          <c:invertIfNegative val="0"/>
          <c:errBars>
            <c:errBarType val="both"/>
            <c:errValType val="stdErr"/>
            <c:noEndCap val="0"/>
          </c:errBars>
          <c:cat>
            <c:strRef>
              <c:f>LDHA!$T$14:$T$17</c:f>
              <c:strCache>
                <c:ptCount val="4"/>
                <c:pt idx="0">
                  <c:v> 0 mM </c:v>
                </c:pt>
                <c:pt idx="1">
                  <c:v> 5,5 mM </c:v>
                </c:pt>
                <c:pt idx="2">
                  <c:v> 15 mM </c:v>
                </c:pt>
                <c:pt idx="3">
                  <c:v>55 mM </c:v>
                </c:pt>
              </c:strCache>
            </c:strRef>
          </c:cat>
          <c:val>
            <c:numRef>
              <c:f>LDHA!$C$53:$C$56</c:f>
              <c:numCache>
                <c:formatCode>General</c:formatCode>
                <c:ptCount val="4"/>
                <c:pt idx="0">
                  <c:v>12.89</c:v>
                </c:pt>
                <c:pt idx="1">
                  <c:v>12.63</c:v>
                </c:pt>
                <c:pt idx="2">
                  <c:v>15.57</c:v>
                </c:pt>
                <c:pt idx="3">
                  <c:v>14.93</c:v>
                </c:pt>
              </c:numCache>
            </c:numRef>
          </c:val>
          <c:extLst xmlns:c16r2="http://schemas.microsoft.com/office/drawing/2015/06/chart">
            <c:ext xmlns:c16="http://schemas.microsoft.com/office/drawing/2014/chart" uri="{C3380CC4-5D6E-409C-BE32-E72D297353CC}">
              <c16:uniqueId val="{00000001-A356-49B0-9FD7-B6E637577269}"/>
            </c:ext>
          </c:extLst>
        </c:ser>
        <c:ser>
          <c:idx val="2"/>
          <c:order val="2"/>
          <c:tx>
            <c:v>24.saat</c:v>
          </c:tx>
          <c:invertIfNegative val="0"/>
          <c:errBars>
            <c:errBarType val="both"/>
            <c:errValType val="stdErr"/>
            <c:noEndCap val="0"/>
          </c:errBars>
          <c:cat>
            <c:strRef>
              <c:f>LDHA!$T$14:$T$17</c:f>
              <c:strCache>
                <c:ptCount val="4"/>
                <c:pt idx="0">
                  <c:v> 0 mM </c:v>
                </c:pt>
                <c:pt idx="1">
                  <c:v> 5,5 mM </c:v>
                </c:pt>
                <c:pt idx="2">
                  <c:v> 15 mM </c:v>
                </c:pt>
                <c:pt idx="3">
                  <c:v>55 mM </c:v>
                </c:pt>
              </c:strCache>
            </c:strRef>
          </c:cat>
          <c:val>
            <c:numRef>
              <c:f>LDHA!$C$69:$C$72</c:f>
              <c:numCache>
                <c:formatCode>General</c:formatCode>
                <c:ptCount val="4"/>
                <c:pt idx="0">
                  <c:v>12.91</c:v>
                </c:pt>
                <c:pt idx="1">
                  <c:v>15.89</c:v>
                </c:pt>
                <c:pt idx="2">
                  <c:v>13.51</c:v>
                </c:pt>
                <c:pt idx="3">
                  <c:v>12.08</c:v>
                </c:pt>
              </c:numCache>
            </c:numRef>
          </c:val>
          <c:extLst xmlns:c16r2="http://schemas.microsoft.com/office/drawing/2015/06/chart">
            <c:ext xmlns:c16="http://schemas.microsoft.com/office/drawing/2014/chart" uri="{C3380CC4-5D6E-409C-BE32-E72D297353CC}">
              <c16:uniqueId val="{00000002-A356-49B0-9FD7-B6E637577269}"/>
            </c:ext>
          </c:extLst>
        </c:ser>
        <c:ser>
          <c:idx val="3"/>
          <c:order val="3"/>
          <c:tx>
            <c:v>48.saat</c:v>
          </c:tx>
          <c:invertIfNegative val="0"/>
          <c:errBars>
            <c:errBarType val="both"/>
            <c:errValType val="stdErr"/>
            <c:noEndCap val="0"/>
          </c:errBars>
          <c:cat>
            <c:strRef>
              <c:f>LDHA!$T$14:$T$17</c:f>
              <c:strCache>
                <c:ptCount val="4"/>
                <c:pt idx="0">
                  <c:v> 0 mM </c:v>
                </c:pt>
                <c:pt idx="1">
                  <c:v> 5,5 mM </c:v>
                </c:pt>
                <c:pt idx="2">
                  <c:v> 15 mM </c:v>
                </c:pt>
                <c:pt idx="3">
                  <c:v>55 mM </c:v>
                </c:pt>
              </c:strCache>
            </c:strRef>
          </c:cat>
          <c:val>
            <c:numRef>
              <c:f>LDHA!$C$89:$C$92</c:f>
              <c:numCache>
                <c:formatCode>General</c:formatCode>
                <c:ptCount val="4"/>
                <c:pt idx="0">
                  <c:v>16.649999999999999</c:v>
                </c:pt>
                <c:pt idx="1">
                  <c:v>31.75</c:v>
                </c:pt>
                <c:pt idx="2">
                  <c:v>23.73</c:v>
                </c:pt>
                <c:pt idx="3">
                  <c:v>16.510000000000005</c:v>
                </c:pt>
              </c:numCache>
            </c:numRef>
          </c:val>
          <c:extLst xmlns:c16r2="http://schemas.microsoft.com/office/drawing/2015/06/chart">
            <c:ext xmlns:c16="http://schemas.microsoft.com/office/drawing/2014/chart" uri="{C3380CC4-5D6E-409C-BE32-E72D297353CC}">
              <c16:uniqueId val="{00000003-A356-49B0-9FD7-B6E637577269}"/>
            </c:ext>
          </c:extLst>
        </c:ser>
        <c:dLbls>
          <c:showLegendKey val="0"/>
          <c:showVal val="0"/>
          <c:showCatName val="0"/>
          <c:showSerName val="0"/>
          <c:showPercent val="0"/>
          <c:showBubbleSize val="0"/>
        </c:dLbls>
        <c:gapWidth val="150"/>
        <c:axId val="387832448"/>
        <c:axId val="387838720"/>
      </c:barChart>
      <c:catAx>
        <c:axId val="387832448"/>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NORMOKSİ</a:t>
                </a:r>
              </a:p>
            </c:rich>
          </c:tx>
          <c:layout>
            <c:manualLayout>
              <c:xMode val="edge"/>
              <c:yMode val="edge"/>
              <c:x val="0.40219619422572178"/>
              <c:y val="5.9235928842228135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87838720"/>
        <c:crosses val="autoZero"/>
        <c:auto val="1"/>
        <c:lblAlgn val="ctr"/>
        <c:lblOffset val="100"/>
        <c:noMultiLvlLbl val="0"/>
      </c:catAx>
      <c:valAx>
        <c:axId val="387838720"/>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LDHA</a:t>
                </a:r>
                <a:r>
                  <a:rPr lang="tr-TR" sz="1000" baseline="0">
                    <a:latin typeface="Times New Roman" pitchFamily="18" charset="0"/>
                    <a:cs typeface="Times New Roman" pitchFamily="18" charset="0"/>
                  </a:rPr>
                  <a:t> ng/mL</a:t>
                </a:r>
                <a:endParaRPr lang="tr-TR" sz="1000">
                  <a:latin typeface="Times New Roman" pitchFamily="18" charset="0"/>
                  <a:cs typeface="Times New Roman" pitchFamily="18" charset="0"/>
                </a:endParaRPr>
              </a:p>
            </c:rich>
          </c:tx>
          <c:layout>
            <c:manualLayout>
              <c:xMode val="edge"/>
              <c:yMode val="edge"/>
              <c:x val="1.157760814249364E-2"/>
              <c:y val="0.28568642461358995"/>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87832448"/>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4127996500437445"/>
          <c:y val="0.13010425780110821"/>
          <c:w val="0.71970734908136458"/>
          <c:h val="0.72878062117235343"/>
        </c:manualLayout>
      </c:layout>
      <c:barChart>
        <c:barDir val="col"/>
        <c:grouping val="clustered"/>
        <c:varyColors val="0"/>
        <c:ser>
          <c:idx val="0"/>
          <c:order val="0"/>
          <c:tx>
            <c:v>6.saat</c:v>
          </c:tx>
          <c:invertIfNegative val="0"/>
          <c:errBars>
            <c:errBarType val="both"/>
            <c:errValType val="stdErr"/>
            <c:noEndCap val="0"/>
          </c:errBars>
          <c:cat>
            <c:strRef>
              <c:f>LDHA!$T$14:$T$17</c:f>
              <c:strCache>
                <c:ptCount val="4"/>
                <c:pt idx="0">
                  <c:v> 0 mM </c:v>
                </c:pt>
                <c:pt idx="1">
                  <c:v> 5,5 mM </c:v>
                </c:pt>
                <c:pt idx="2">
                  <c:v> 15 mM </c:v>
                </c:pt>
                <c:pt idx="3">
                  <c:v>55 mM </c:v>
                </c:pt>
              </c:strCache>
            </c:strRef>
          </c:cat>
          <c:val>
            <c:numRef>
              <c:f>LDHA!$C$44:$C$47</c:f>
              <c:numCache>
                <c:formatCode>General</c:formatCode>
                <c:ptCount val="4"/>
                <c:pt idx="0">
                  <c:v>15.26</c:v>
                </c:pt>
                <c:pt idx="1">
                  <c:v>20.459999999999987</c:v>
                </c:pt>
                <c:pt idx="2">
                  <c:v>44.24</c:v>
                </c:pt>
                <c:pt idx="3">
                  <c:v>24.419999999999987</c:v>
                </c:pt>
              </c:numCache>
            </c:numRef>
          </c:val>
          <c:extLst xmlns:c16r2="http://schemas.microsoft.com/office/drawing/2015/06/chart">
            <c:ext xmlns:c16="http://schemas.microsoft.com/office/drawing/2014/chart" uri="{C3380CC4-5D6E-409C-BE32-E72D297353CC}">
              <c16:uniqueId val="{00000000-DAFA-40C7-A0C1-EF355C433A38}"/>
            </c:ext>
          </c:extLst>
        </c:ser>
        <c:ser>
          <c:idx val="1"/>
          <c:order val="1"/>
          <c:tx>
            <c:v>12.saat</c:v>
          </c:tx>
          <c:invertIfNegative val="0"/>
          <c:errBars>
            <c:errBarType val="both"/>
            <c:errValType val="stdErr"/>
            <c:noEndCap val="0"/>
          </c:errBars>
          <c:cat>
            <c:strRef>
              <c:f>LDHA!$T$14:$T$17</c:f>
              <c:strCache>
                <c:ptCount val="4"/>
                <c:pt idx="0">
                  <c:v> 0 mM </c:v>
                </c:pt>
                <c:pt idx="1">
                  <c:v> 5,5 mM </c:v>
                </c:pt>
                <c:pt idx="2">
                  <c:v> 15 mM </c:v>
                </c:pt>
                <c:pt idx="3">
                  <c:v>55 mM </c:v>
                </c:pt>
              </c:strCache>
            </c:strRef>
          </c:cat>
          <c:val>
            <c:numRef>
              <c:f>LDHA!$C$57:$C$60</c:f>
              <c:numCache>
                <c:formatCode>General</c:formatCode>
                <c:ptCount val="4"/>
                <c:pt idx="0">
                  <c:v>11.79</c:v>
                </c:pt>
                <c:pt idx="1">
                  <c:v>16.87</c:v>
                </c:pt>
                <c:pt idx="2">
                  <c:v>16.630000000000031</c:v>
                </c:pt>
                <c:pt idx="3">
                  <c:v>8.2200000000000006</c:v>
                </c:pt>
              </c:numCache>
            </c:numRef>
          </c:val>
          <c:extLst xmlns:c16r2="http://schemas.microsoft.com/office/drawing/2015/06/chart">
            <c:ext xmlns:c16="http://schemas.microsoft.com/office/drawing/2014/chart" uri="{C3380CC4-5D6E-409C-BE32-E72D297353CC}">
              <c16:uniqueId val="{00000001-DAFA-40C7-A0C1-EF355C433A38}"/>
            </c:ext>
          </c:extLst>
        </c:ser>
        <c:ser>
          <c:idx val="2"/>
          <c:order val="2"/>
          <c:tx>
            <c:v>24.saat</c:v>
          </c:tx>
          <c:invertIfNegative val="0"/>
          <c:errBars>
            <c:errBarType val="both"/>
            <c:errValType val="stdErr"/>
            <c:noEndCap val="0"/>
          </c:errBars>
          <c:cat>
            <c:strRef>
              <c:f>LDHA!$T$14:$T$17</c:f>
              <c:strCache>
                <c:ptCount val="4"/>
                <c:pt idx="0">
                  <c:v> 0 mM </c:v>
                </c:pt>
                <c:pt idx="1">
                  <c:v> 5,5 mM </c:v>
                </c:pt>
                <c:pt idx="2">
                  <c:v> 15 mM </c:v>
                </c:pt>
                <c:pt idx="3">
                  <c:v>55 mM </c:v>
                </c:pt>
              </c:strCache>
            </c:strRef>
          </c:cat>
          <c:val>
            <c:numRef>
              <c:f>LDHA!$C$73:$C$76</c:f>
              <c:numCache>
                <c:formatCode>General</c:formatCode>
                <c:ptCount val="4"/>
                <c:pt idx="0">
                  <c:v>10.93</c:v>
                </c:pt>
                <c:pt idx="1">
                  <c:v>11.51</c:v>
                </c:pt>
                <c:pt idx="2">
                  <c:v>14.48</c:v>
                </c:pt>
                <c:pt idx="3">
                  <c:v>7.02</c:v>
                </c:pt>
              </c:numCache>
            </c:numRef>
          </c:val>
          <c:extLst xmlns:c16r2="http://schemas.microsoft.com/office/drawing/2015/06/chart">
            <c:ext xmlns:c16="http://schemas.microsoft.com/office/drawing/2014/chart" uri="{C3380CC4-5D6E-409C-BE32-E72D297353CC}">
              <c16:uniqueId val="{00000002-DAFA-40C7-A0C1-EF355C433A38}"/>
            </c:ext>
          </c:extLst>
        </c:ser>
        <c:ser>
          <c:idx val="3"/>
          <c:order val="3"/>
          <c:tx>
            <c:v>48.saat</c:v>
          </c:tx>
          <c:invertIfNegative val="0"/>
          <c:errBars>
            <c:errBarType val="both"/>
            <c:errValType val="stdErr"/>
            <c:noEndCap val="0"/>
          </c:errBars>
          <c:cat>
            <c:strRef>
              <c:f>LDHA!$T$14:$T$17</c:f>
              <c:strCache>
                <c:ptCount val="4"/>
                <c:pt idx="0">
                  <c:v> 0 mM </c:v>
                </c:pt>
                <c:pt idx="1">
                  <c:v> 5,5 mM </c:v>
                </c:pt>
                <c:pt idx="2">
                  <c:v> 15 mM </c:v>
                </c:pt>
                <c:pt idx="3">
                  <c:v>55 mM </c:v>
                </c:pt>
              </c:strCache>
            </c:strRef>
          </c:cat>
          <c:val>
            <c:numRef>
              <c:f>LDHA!$C$93:$C$96</c:f>
              <c:numCache>
                <c:formatCode>General</c:formatCode>
                <c:ptCount val="4"/>
                <c:pt idx="0">
                  <c:v>7.1599999999999975</c:v>
                </c:pt>
                <c:pt idx="1">
                  <c:v>4.55</c:v>
                </c:pt>
                <c:pt idx="2">
                  <c:v>7.06</c:v>
                </c:pt>
                <c:pt idx="3">
                  <c:v>6.85</c:v>
                </c:pt>
              </c:numCache>
            </c:numRef>
          </c:val>
          <c:extLst xmlns:c16r2="http://schemas.microsoft.com/office/drawing/2015/06/chart">
            <c:ext xmlns:c16="http://schemas.microsoft.com/office/drawing/2014/chart" uri="{C3380CC4-5D6E-409C-BE32-E72D297353CC}">
              <c16:uniqueId val="{00000003-DAFA-40C7-A0C1-EF355C433A38}"/>
            </c:ext>
          </c:extLst>
        </c:ser>
        <c:dLbls>
          <c:showLegendKey val="0"/>
          <c:showVal val="0"/>
          <c:showCatName val="0"/>
          <c:showSerName val="0"/>
          <c:showPercent val="0"/>
          <c:showBubbleSize val="0"/>
        </c:dLbls>
        <c:gapWidth val="150"/>
        <c:axId val="388397312"/>
        <c:axId val="388403584"/>
      </c:barChart>
      <c:catAx>
        <c:axId val="388397312"/>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HİPOKSİ</a:t>
                </a:r>
              </a:p>
            </c:rich>
          </c:tx>
          <c:layout>
            <c:manualLayout>
              <c:xMode val="edge"/>
              <c:yMode val="edge"/>
              <c:x val="0.41054418197725345"/>
              <c:y val="4.0717410323709596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88403584"/>
        <c:crosses val="autoZero"/>
        <c:auto val="1"/>
        <c:lblAlgn val="ctr"/>
        <c:lblOffset val="100"/>
        <c:noMultiLvlLbl val="0"/>
      </c:catAx>
      <c:valAx>
        <c:axId val="388403584"/>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LDHA</a:t>
                </a:r>
                <a:r>
                  <a:rPr lang="tr-TR" sz="1000" baseline="0">
                    <a:latin typeface="Times New Roman" pitchFamily="18" charset="0"/>
                    <a:cs typeface="Times New Roman" pitchFamily="18" charset="0"/>
                  </a:rPr>
                  <a:t> ng/mL</a:t>
                </a:r>
                <a:endParaRPr lang="tr-TR" sz="1000">
                  <a:latin typeface="Times New Roman" pitchFamily="18" charset="0"/>
                  <a:cs typeface="Times New Roman" pitchFamily="18" charset="0"/>
                </a:endParaRPr>
              </a:p>
            </c:rich>
          </c:tx>
          <c:layout>
            <c:manualLayout>
              <c:xMode val="edge"/>
              <c:yMode val="edge"/>
              <c:x val="7.6335877862595434E-3"/>
              <c:y val="0.31366105278506851"/>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88397312"/>
        <c:crosses val="autoZero"/>
        <c:crossBetween val="between"/>
      </c:valAx>
    </c:plotArea>
    <c:legend>
      <c:legendPos val="r"/>
      <c:layout>
        <c:manualLayout>
          <c:xMode val="edge"/>
          <c:yMode val="edge"/>
          <c:x val="0.8620496500437459"/>
          <c:y val="0.33719524642752979"/>
          <c:w val="0.11829396325459322"/>
          <c:h val="0.33486876640420243"/>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0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overlay val="0"/>
    </c:title>
    <c:autoTitleDeleted val="0"/>
    <c:plotArea>
      <c:layout>
        <c:manualLayout>
          <c:layoutTarget val="inner"/>
          <c:xMode val="edge"/>
          <c:yMode val="edge"/>
          <c:x val="0.17781802274715691"/>
          <c:y val="0.14850721784777113"/>
          <c:w val="0.77773753280840696"/>
          <c:h val="0.54261555847185772"/>
        </c:manualLayout>
      </c:layout>
      <c:barChart>
        <c:barDir val="col"/>
        <c:grouping val="clustered"/>
        <c:varyColors val="0"/>
        <c:ser>
          <c:idx val="0"/>
          <c:order val="0"/>
          <c:tx>
            <c:v>normoksi</c:v>
          </c:tx>
          <c:invertIfNegative val="0"/>
          <c:errBars>
            <c:errBarType val="both"/>
            <c:errValType val="stdErr"/>
            <c:noEndCap val="0"/>
          </c:errBars>
          <c:cat>
            <c:strRef>
              <c:f>LDHA!$T$7:$T$10</c:f>
              <c:strCache>
                <c:ptCount val="4"/>
                <c:pt idx="0">
                  <c:v>6.saat</c:v>
                </c:pt>
                <c:pt idx="1">
                  <c:v>12.saat</c:v>
                </c:pt>
                <c:pt idx="2">
                  <c:v>24.saat</c:v>
                </c:pt>
                <c:pt idx="3">
                  <c:v>48.saat</c:v>
                </c:pt>
              </c:strCache>
            </c:strRef>
          </c:cat>
          <c:val>
            <c:numRef>
              <c:f>'[ELISA SONUÇLAR SON.xlsx]LDHA'!$C$40,'[ELISA SONUÇLAR SON.xlsx]LDHA'!$C$53,'[ELISA SONUÇLAR SON.xlsx]LDHA'!$C$69,'[ELISA SONUÇLAR SON.xlsx]LDHA'!$C$89</c:f>
              <c:numCache>
                <c:formatCode>General</c:formatCode>
                <c:ptCount val="4"/>
                <c:pt idx="0">
                  <c:v>24.2</c:v>
                </c:pt>
                <c:pt idx="1">
                  <c:v>12.89</c:v>
                </c:pt>
                <c:pt idx="2">
                  <c:v>12.91</c:v>
                </c:pt>
                <c:pt idx="3">
                  <c:v>16.649999999999999</c:v>
                </c:pt>
              </c:numCache>
            </c:numRef>
          </c:val>
          <c:extLst xmlns:c16r2="http://schemas.microsoft.com/office/drawing/2015/06/chart">
            <c:ext xmlns:c16="http://schemas.microsoft.com/office/drawing/2014/chart" uri="{C3380CC4-5D6E-409C-BE32-E72D297353CC}">
              <c16:uniqueId val="{00000000-77A4-42B9-A4E9-A051EA0F4A7F}"/>
            </c:ext>
          </c:extLst>
        </c:ser>
        <c:ser>
          <c:idx val="1"/>
          <c:order val="1"/>
          <c:tx>
            <c:v>hipoksi</c:v>
          </c:tx>
          <c:invertIfNegative val="0"/>
          <c:errBars>
            <c:errBarType val="both"/>
            <c:errValType val="stdErr"/>
            <c:noEndCap val="0"/>
          </c:errBars>
          <c:cat>
            <c:strRef>
              <c:f>LDHA!$T$7:$T$10</c:f>
              <c:strCache>
                <c:ptCount val="4"/>
                <c:pt idx="0">
                  <c:v>6.saat</c:v>
                </c:pt>
                <c:pt idx="1">
                  <c:v>12.saat</c:v>
                </c:pt>
                <c:pt idx="2">
                  <c:v>24.saat</c:v>
                </c:pt>
                <c:pt idx="3">
                  <c:v>48.saat</c:v>
                </c:pt>
              </c:strCache>
            </c:strRef>
          </c:cat>
          <c:val>
            <c:numRef>
              <c:f>'[ELISA SONUÇLAR SON.xlsx]LDHA'!$C$44,'[ELISA SONUÇLAR SON.xlsx]LDHA'!$C$57,'[ELISA SONUÇLAR SON.xlsx]LDHA'!$C$73,'[ELISA SONUÇLAR SON.xlsx]LDHA'!$C$93</c:f>
              <c:numCache>
                <c:formatCode>General</c:formatCode>
                <c:ptCount val="4"/>
                <c:pt idx="0">
                  <c:v>15.26</c:v>
                </c:pt>
                <c:pt idx="1">
                  <c:v>11.79</c:v>
                </c:pt>
                <c:pt idx="2">
                  <c:v>10.93</c:v>
                </c:pt>
                <c:pt idx="3">
                  <c:v>7.1599999999999975</c:v>
                </c:pt>
              </c:numCache>
            </c:numRef>
          </c:val>
          <c:extLst xmlns:c16r2="http://schemas.microsoft.com/office/drawing/2015/06/chart">
            <c:ext xmlns:c16="http://schemas.microsoft.com/office/drawing/2014/chart" uri="{C3380CC4-5D6E-409C-BE32-E72D297353CC}">
              <c16:uniqueId val="{00000001-77A4-42B9-A4E9-A051EA0F4A7F}"/>
            </c:ext>
          </c:extLst>
        </c:ser>
        <c:dLbls>
          <c:showLegendKey val="0"/>
          <c:showVal val="0"/>
          <c:showCatName val="0"/>
          <c:showSerName val="0"/>
          <c:showPercent val="0"/>
          <c:showBubbleSize val="0"/>
        </c:dLbls>
        <c:gapWidth val="150"/>
        <c:axId val="388430464"/>
        <c:axId val="388829568"/>
      </c:barChart>
      <c:catAx>
        <c:axId val="388430464"/>
        <c:scaling>
          <c:orientation val="minMax"/>
        </c:scaling>
        <c:delete val="0"/>
        <c:axPos val="b"/>
        <c:numFmt formatCode="General" sourceLinked="0"/>
        <c:majorTickMark val="none"/>
        <c:minorTickMark val="none"/>
        <c:tickLblPos val="nextTo"/>
        <c:crossAx val="388829568"/>
        <c:crosses val="autoZero"/>
        <c:auto val="1"/>
        <c:lblAlgn val="ctr"/>
        <c:lblOffset val="100"/>
        <c:noMultiLvlLbl val="0"/>
      </c:catAx>
      <c:valAx>
        <c:axId val="388829568"/>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LDHA</a:t>
                </a:r>
                <a:r>
                  <a:rPr lang="tr-TR" sz="1000" baseline="0">
                    <a:latin typeface="Times New Roman" pitchFamily="18" charset="0"/>
                    <a:cs typeface="Times New Roman" pitchFamily="18" charset="0"/>
                  </a:rPr>
                  <a:t> ng/mL</a:t>
                </a:r>
                <a:endParaRPr lang="tr-TR" sz="1000">
                  <a:latin typeface="Times New Roman" pitchFamily="18" charset="0"/>
                  <a:cs typeface="Times New Roman" pitchFamily="18" charset="0"/>
                </a:endParaRPr>
              </a:p>
            </c:rich>
          </c:tx>
          <c:layout>
            <c:manualLayout>
              <c:xMode val="edge"/>
              <c:yMode val="edge"/>
              <c:x val="3.4593394575678046E-2"/>
              <c:y val="0.25383129192184362"/>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8843046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tr-TR" sz="1000"/>
              <a:t>5,5 mM Glukoz</a:t>
            </a:r>
          </a:p>
        </c:rich>
      </c:tx>
      <c:overlay val="0"/>
    </c:title>
    <c:autoTitleDeleted val="0"/>
    <c:plotArea>
      <c:layout>
        <c:manualLayout>
          <c:layoutTarget val="inner"/>
          <c:xMode val="edge"/>
          <c:yMode val="edge"/>
          <c:x val="0.17781802274715691"/>
          <c:y val="0.14387758821813937"/>
          <c:w val="0.77773753280840696"/>
          <c:h val="0.54261555847185772"/>
        </c:manualLayout>
      </c:layout>
      <c:barChart>
        <c:barDir val="col"/>
        <c:grouping val="clustered"/>
        <c:varyColors val="0"/>
        <c:ser>
          <c:idx val="0"/>
          <c:order val="0"/>
          <c:tx>
            <c:v>normoksi</c:v>
          </c:tx>
          <c:invertIfNegative val="0"/>
          <c:errBars>
            <c:errBarType val="both"/>
            <c:errValType val="stdErr"/>
            <c:noEndCap val="0"/>
          </c:errBars>
          <c:cat>
            <c:strRef>
              <c:f>LDHA!$T$7:$T$10</c:f>
              <c:strCache>
                <c:ptCount val="4"/>
                <c:pt idx="0">
                  <c:v>6.saat</c:v>
                </c:pt>
                <c:pt idx="1">
                  <c:v>12.saat</c:v>
                </c:pt>
                <c:pt idx="2">
                  <c:v>24.saat</c:v>
                </c:pt>
                <c:pt idx="3">
                  <c:v>48.saat</c:v>
                </c:pt>
              </c:strCache>
            </c:strRef>
          </c:cat>
          <c:val>
            <c:numRef>
              <c:f>'[ELISA SONUÇLAR SON.xlsx]LDHA'!$C$41,'[ELISA SONUÇLAR SON.xlsx]LDHA'!$C$54,'[ELISA SONUÇLAR SON.xlsx]LDHA'!$C$70,'[ELISA SONUÇLAR SON.xlsx]LDHA'!$C$90</c:f>
              <c:numCache>
                <c:formatCode>General</c:formatCode>
                <c:ptCount val="4"/>
                <c:pt idx="0">
                  <c:v>25.77</c:v>
                </c:pt>
                <c:pt idx="1">
                  <c:v>12.63</c:v>
                </c:pt>
                <c:pt idx="2">
                  <c:v>15.89</c:v>
                </c:pt>
                <c:pt idx="3">
                  <c:v>31.75</c:v>
                </c:pt>
              </c:numCache>
            </c:numRef>
          </c:val>
          <c:extLst xmlns:c16r2="http://schemas.microsoft.com/office/drawing/2015/06/chart">
            <c:ext xmlns:c16="http://schemas.microsoft.com/office/drawing/2014/chart" uri="{C3380CC4-5D6E-409C-BE32-E72D297353CC}">
              <c16:uniqueId val="{00000000-2245-43C9-81C8-A4E1B1C58D6F}"/>
            </c:ext>
          </c:extLst>
        </c:ser>
        <c:ser>
          <c:idx val="1"/>
          <c:order val="1"/>
          <c:tx>
            <c:v>hipoksi</c:v>
          </c:tx>
          <c:invertIfNegative val="0"/>
          <c:errBars>
            <c:errBarType val="both"/>
            <c:errValType val="stdErr"/>
            <c:noEndCap val="0"/>
          </c:errBars>
          <c:cat>
            <c:strRef>
              <c:f>LDHA!$T$7:$T$10</c:f>
              <c:strCache>
                <c:ptCount val="4"/>
                <c:pt idx="0">
                  <c:v>6.saat</c:v>
                </c:pt>
                <c:pt idx="1">
                  <c:v>12.saat</c:v>
                </c:pt>
                <c:pt idx="2">
                  <c:v>24.saat</c:v>
                </c:pt>
                <c:pt idx="3">
                  <c:v>48.saat</c:v>
                </c:pt>
              </c:strCache>
            </c:strRef>
          </c:cat>
          <c:val>
            <c:numRef>
              <c:f>'[ELISA SONUÇLAR SON.xlsx]LDHA'!$C$45,'[ELISA SONUÇLAR SON.xlsx]LDHA'!$C$58,'[ELISA SONUÇLAR SON.xlsx]LDHA'!$C$74,'[ELISA SONUÇLAR SON.xlsx]LDHA'!$C$94</c:f>
              <c:numCache>
                <c:formatCode>General</c:formatCode>
                <c:ptCount val="4"/>
                <c:pt idx="0">
                  <c:v>20.459999999999987</c:v>
                </c:pt>
                <c:pt idx="1">
                  <c:v>16.87</c:v>
                </c:pt>
                <c:pt idx="2">
                  <c:v>11.51</c:v>
                </c:pt>
                <c:pt idx="3">
                  <c:v>4.55</c:v>
                </c:pt>
              </c:numCache>
            </c:numRef>
          </c:val>
          <c:extLst xmlns:c16r2="http://schemas.microsoft.com/office/drawing/2015/06/chart">
            <c:ext xmlns:c16="http://schemas.microsoft.com/office/drawing/2014/chart" uri="{C3380CC4-5D6E-409C-BE32-E72D297353CC}">
              <c16:uniqueId val="{00000001-2245-43C9-81C8-A4E1B1C58D6F}"/>
            </c:ext>
          </c:extLst>
        </c:ser>
        <c:dLbls>
          <c:showLegendKey val="0"/>
          <c:showVal val="0"/>
          <c:showCatName val="0"/>
          <c:showSerName val="0"/>
          <c:showPercent val="0"/>
          <c:showBubbleSize val="0"/>
        </c:dLbls>
        <c:gapWidth val="150"/>
        <c:axId val="388962176"/>
        <c:axId val="388963712"/>
      </c:barChart>
      <c:catAx>
        <c:axId val="388962176"/>
        <c:scaling>
          <c:orientation val="minMax"/>
        </c:scaling>
        <c:delete val="0"/>
        <c:axPos val="b"/>
        <c:numFmt formatCode="General" sourceLinked="0"/>
        <c:majorTickMark val="none"/>
        <c:minorTickMark val="none"/>
        <c:tickLblPos val="nextTo"/>
        <c:crossAx val="388963712"/>
        <c:crosses val="autoZero"/>
        <c:auto val="1"/>
        <c:lblAlgn val="ctr"/>
        <c:lblOffset val="100"/>
        <c:noMultiLvlLbl val="0"/>
      </c:catAx>
      <c:valAx>
        <c:axId val="388963712"/>
        <c:scaling>
          <c:orientation val="minMax"/>
        </c:scaling>
        <c:delete val="0"/>
        <c:axPos val="l"/>
        <c:title>
          <c:tx>
            <c:rich>
              <a:bodyPr/>
              <a:lstStyle/>
              <a:p>
                <a:pPr>
                  <a:defRPr/>
                </a:pPr>
                <a:r>
                  <a:rPr lang="tr-TR"/>
                  <a:t>LDHA ng/mL</a:t>
                </a:r>
              </a:p>
            </c:rich>
          </c:tx>
          <c:layout>
            <c:manualLayout>
              <c:xMode val="edge"/>
              <c:yMode val="edge"/>
              <c:x val="3.6579615048119046E-2"/>
              <c:y val="0.26907407407407463"/>
            </c:manualLayout>
          </c:layout>
          <c:overlay val="0"/>
        </c:title>
        <c:numFmt formatCode="General" sourceLinked="1"/>
        <c:majorTickMark val="none"/>
        <c:minorTickMark val="none"/>
        <c:tickLblPos val="nextTo"/>
        <c:crossAx val="38896217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15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overlay val="0"/>
    </c:title>
    <c:autoTitleDeleted val="0"/>
    <c:plotArea>
      <c:layout>
        <c:manualLayout>
          <c:layoutTarget val="inner"/>
          <c:xMode val="edge"/>
          <c:yMode val="edge"/>
          <c:x val="0.17781802274715691"/>
          <c:y val="0.14700240594925634"/>
          <c:w val="0.77218197725284365"/>
          <c:h val="0.57652777777777753"/>
        </c:manualLayout>
      </c:layout>
      <c:barChart>
        <c:barDir val="col"/>
        <c:grouping val="clustered"/>
        <c:varyColors val="0"/>
        <c:ser>
          <c:idx val="0"/>
          <c:order val="0"/>
          <c:tx>
            <c:v>normoksi</c:v>
          </c:tx>
          <c:invertIfNegative val="0"/>
          <c:errBars>
            <c:errBarType val="both"/>
            <c:errValType val="stdErr"/>
            <c:noEndCap val="0"/>
          </c:errBars>
          <c:cat>
            <c:strRef>
              <c:f>LDHA!$T$7:$T$10</c:f>
              <c:strCache>
                <c:ptCount val="4"/>
                <c:pt idx="0">
                  <c:v>6.saat</c:v>
                </c:pt>
                <c:pt idx="1">
                  <c:v>12.saat</c:v>
                </c:pt>
                <c:pt idx="2">
                  <c:v>24.saat</c:v>
                </c:pt>
                <c:pt idx="3">
                  <c:v>48.saat</c:v>
                </c:pt>
              </c:strCache>
            </c:strRef>
          </c:cat>
          <c:val>
            <c:numRef>
              <c:f>'[ELISA SONUÇLAR SON.xlsx]LDHA'!$C$42,'[ELISA SONUÇLAR SON.xlsx]LDHA'!$C$55,'[ELISA SONUÇLAR SON.xlsx]LDHA'!$C$71,'[ELISA SONUÇLAR SON.xlsx]LDHA'!$C$91</c:f>
              <c:numCache>
                <c:formatCode>General</c:formatCode>
                <c:ptCount val="4"/>
                <c:pt idx="0">
                  <c:v>19.91</c:v>
                </c:pt>
                <c:pt idx="1">
                  <c:v>15.57</c:v>
                </c:pt>
                <c:pt idx="2">
                  <c:v>13.51</c:v>
                </c:pt>
                <c:pt idx="3">
                  <c:v>23.73</c:v>
                </c:pt>
              </c:numCache>
            </c:numRef>
          </c:val>
          <c:extLst xmlns:c16r2="http://schemas.microsoft.com/office/drawing/2015/06/chart">
            <c:ext xmlns:c16="http://schemas.microsoft.com/office/drawing/2014/chart" uri="{C3380CC4-5D6E-409C-BE32-E72D297353CC}">
              <c16:uniqueId val="{00000000-F17B-4447-BB03-22B5494FAD98}"/>
            </c:ext>
          </c:extLst>
        </c:ser>
        <c:ser>
          <c:idx val="1"/>
          <c:order val="1"/>
          <c:tx>
            <c:v>hipoksi</c:v>
          </c:tx>
          <c:invertIfNegative val="0"/>
          <c:errBars>
            <c:errBarType val="both"/>
            <c:errValType val="stdErr"/>
            <c:noEndCap val="0"/>
          </c:errBars>
          <c:cat>
            <c:strRef>
              <c:f>LDHA!$T$7:$T$10</c:f>
              <c:strCache>
                <c:ptCount val="4"/>
                <c:pt idx="0">
                  <c:v>6.saat</c:v>
                </c:pt>
                <c:pt idx="1">
                  <c:v>12.saat</c:v>
                </c:pt>
                <c:pt idx="2">
                  <c:v>24.saat</c:v>
                </c:pt>
                <c:pt idx="3">
                  <c:v>48.saat</c:v>
                </c:pt>
              </c:strCache>
            </c:strRef>
          </c:cat>
          <c:val>
            <c:numRef>
              <c:f>'[ELISA SONUÇLAR SON.xlsx]LDHA'!$C$46,'[ELISA SONUÇLAR SON.xlsx]LDHA'!$C$59,'[ELISA SONUÇLAR SON.xlsx]LDHA'!$C$75,'[ELISA SONUÇLAR SON.xlsx]LDHA'!$C$95</c:f>
              <c:numCache>
                <c:formatCode>General</c:formatCode>
                <c:ptCount val="4"/>
                <c:pt idx="0">
                  <c:v>44.24</c:v>
                </c:pt>
                <c:pt idx="1">
                  <c:v>16.630000000000031</c:v>
                </c:pt>
                <c:pt idx="2">
                  <c:v>14.48</c:v>
                </c:pt>
                <c:pt idx="3">
                  <c:v>7.06</c:v>
                </c:pt>
              </c:numCache>
            </c:numRef>
          </c:val>
          <c:extLst xmlns:c16r2="http://schemas.microsoft.com/office/drawing/2015/06/chart">
            <c:ext xmlns:c16="http://schemas.microsoft.com/office/drawing/2014/chart" uri="{C3380CC4-5D6E-409C-BE32-E72D297353CC}">
              <c16:uniqueId val="{00000001-F17B-4447-BB03-22B5494FAD98}"/>
            </c:ext>
          </c:extLst>
        </c:ser>
        <c:dLbls>
          <c:showLegendKey val="0"/>
          <c:showVal val="0"/>
          <c:showCatName val="0"/>
          <c:showSerName val="0"/>
          <c:showPercent val="0"/>
          <c:showBubbleSize val="0"/>
        </c:dLbls>
        <c:gapWidth val="150"/>
        <c:axId val="389006080"/>
        <c:axId val="389007616"/>
      </c:barChart>
      <c:catAx>
        <c:axId val="389006080"/>
        <c:scaling>
          <c:orientation val="minMax"/>
        </c:scaling>
        <c:delete val="0"/>
        <c:axPos val="b"/>
        <c:numFmt formatCode="General" sourceLinked="0"/>
        <c:majorTickMark val="none"/>
        <c:minorTickMark val="none"/>
        <c:tickLblPos val="nextTo"/>
        <c:crossAx val="389007616"/>
        <c:crosses val="autoZero"/>
        <c:auto val="1"/>
        <c:lblAlgn val="ctr"/>
        <c:lblOffset val="100"/>
        <c:noMultiLvlLbl val="0"/>
      </c:catAx>
      <c:valAx>
        <c:axId val="389007616"/>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LDHA ng/mL</a:t>
                </a:r>
              </a:p>
            </c:rich>
          </c:tx>
          <c:layout>
            <c:manualLayout>
              <c:xMode val="edge"/>
              <c:yMode val="edge"/>
              <c:x val="4.4912948381452315E-2"/>
              <c:y val="0.28915500145815104"/>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8900608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manualLayout>
          <c:layoutTarget val="inner"/>
          <c:xMode val="edge"/>
          <c:yMode val="edge"/>
          <c:x val="0.12765490387202574"/>
          <c:y val="0.13758914282056225"/>
          <c:w val="0.74343441112414199"/>
          <c:h val="0.77442014870092457"/>
        </c:manualLayout>
      </c:layout>
      <c:barChart>
        <c:barDir val="col"/>
        <c:grouping val="clustered"/>
        <c:varyColors val="0"/>
        <c:ser>
          <c:idx val="0"/>
          <c:order val="0"/>
          <c:tx>
            <c:strRef>
              <c:f>'hipoksi %canlılık-İREM'!$N$39</c:f>
              <c:strCache>
                <c:ptCount val="1"/>
                <c:pt idx="0">
                  <c:v>0 mM</c:v>
                </c:pt>
              </c:strCache>
            </c:strRef>
          </c:tx>
          <c:invertIfNegative val="0"/>
          <c:errBars>
            <c:errBarType val="both"/>
            <c:errValType val="percentage"/>
            <c:noEndCap val="0"/>
            <c:val val="5"/>
          </c:errBars>
          <c:cat>
            <c:strRef>
              <c:f>'hipoksi %canlılık-İREM'!$M$40:$M$44</c:f>
              <c:strCache>
                <c:ptCount val="5"/>
                <c:pt idx="0">
                  <c:v>3.SAAT</c:v>
                </c:pt>
                <c:pt idx="1">
                  <c:v>6.SAAT</c:v>
                </c:pt>
                <c:pt idx="2">
                  <c:v>12.SAAT</c:v>
                </c:pt>
                <c:pt idx="3">
                  <c:v>24.SAAT</c:v>
                </c:pt>
                <c:pt idx="4">
                  <c:v>48.SAAT</c:v>
                </c:pt>
              </c:strCache>
            </c:strRef>
          </c:cat>
          <c:val>
            <c:numRef>
              <c:f>'hipoksi %canlılık-İREM'!$N$40:$N$44</c:f>
              <c:numCache>
                <c:formatCode>General</c:formatCode>
                <c:ptCount val="5"/>
                <c:pt idx="0">
                  <c:v>100</c:v>
                </c:pt>
                <c:pt idx="1">
                  <c:v>128.77777777777752</c:v>
                </c:pt>
                <c:pt idx="2">
                  <c:v>169.77777777777752</c:v>
                </c:pt>
                <c:pt idx="3">
                  <c:v>193.40740740741001</c:v>
                </c:pt>
                <c:pt idx="4">
                  <c:v>262.55555555555554</c:v>
                </c:pt>
              </c:numCache>
            </c:numRef>
          </c:val>
          <c:extLst xmlns:c16r2="http://schemas.microsoft.com/office/drawing/2015/06/chart">
            <c:ext xmlns:c16="http://schemas.microsoft.com/office/drawing/2014/chart" uri="{C3380CC4-5D6E-409C-BE32-E72D297353CC}">
              <c16:uniqueId val="{00000000-F912-4DA7-90BE-4F3A3CDFB0EC}"/>
            </c:ext>
          </c:extLst>
        </c:ser>
        <c:ser>
          <c:idx val="1"/>
          <c:order val="1"/>
          <c:tx>
            <c:strRef>
              <c:f>'hipoksi %canlılık-İREM'!$O$39</c:f>
              <c:strCache>
                <c:ptCount val="1"/>
                <c:pt idx="0">
                  <c:v>5.5 mM</c:v>
                </c:pt>
              </c:strCache>
            </c:strRef>
          </c:tx>
          <c:invertIfNegative val="0"/>
          <c:errBars>
            <c:errBarType val="both"/>
            <c:errValType val="percentage"/>
            <c:noEndCap val="0"/>
            <c:val val="5"/>
          </c:errBars>
          <c:cat>
            <c:strRef>
              <c:f>'hipoksi %canlılık-İREM'!$M$40:$M$44</c:f>
              <c:strCache>
                <c:ptCount val="5"/>
                <c:pt idx="0">
                  <c:v>3.SAAT</c:v>
                </c:pt>
                <c:pt idx="1">
                  <c:v>6.SAAT</c:v>
                </c:pt>
                <c:pt idx="2">
                  <c:v>12.SAAT</c:v>
                </c:pt>
                <c:pt idx="3">
                  <c:v>24.SAAT</c:v>
                </c:pt>
                <c:pt idx="4">
                  <c:v>48.SAAT</c:v>
                </c:pt>
              </c:strCache>
            </c:strRef>
          </c:cat>
          <c:val>
            <c:numRef>
              <c:f>'hipoksi %canlılık-İREM'!$O$40:$O$44</c:f>
              <c:numCache>
                <c:formatCode>General</c:formatCode>
                <c:ptCount val="5"/>
                <c:pt idx="0">
                  <c:v>100</c:v>
                </c:pt>
                <c:pt idx="1">
                  <c:v>100.76502732240347</c:v>
                </c:pt>
                <c:pt idx="2">
                  <c:v>150.40983606557381</c:v>
                </c:pt>
                <c:pt idx="3">
                  <c:v>179.56284153005464</c:v>
                </c:pt>
                <c:pt idx="4">
                  <c:v>273.44262295081967</c:v>
                </c:pt>
              </c:numCache>
            </c:numRef>
          </c:val>
          <c:extLst xmlns:c16r2="http://schemas.microsoft.com/office/drawing/2015/06/chart">
            <c:ext xmlns:c16="http://schemas.microsoft.com/office/drawing/2014/chart" uri="{C3380CC4-5D6E-409C-BE32-E72D297353CC}">
              <c16:uniqueId val="{00000001-F912-4DA7-90BE-4F3A3CDFB0EC}"/>
            </c:ext>
          </c:extLst>
        </c:ser>
        <c:ser>
          <c:idx val="2"/>
          <c:order val="2"/>
          <c:tx>
            <c:strRef>
              <c:f>'hipoksi %canlılık-İREM'!$P$39</c:f>
              <c:strCache>
                <c:ptCount val="1"/>
                <c:pt idx="0">
                  <c:v>15 mM</c:v>
                </c:pt>
              </c:strCache>
            </c:strRef>
          </c:tx>
          <c:invertIfNegative val="0"/>
          <c:errBars>
            <c:errBarType val="both"/>
            <c:errValType val="percentage"/>
            <c:noEndCap val="0"/>
            <c:val val="5"/>
          </c:errBars>
          <c:cat>
            <c:strRef>
              <c:f>'hipoksi %canlılık-İREM'!$M$40:$M$44</c:f>
              <c:strCache>
                <c:ptCount val="5"/>
                <c:pt idx="0">
                  <c:v>3.SAAT</c:v>
                </c:pt>
                <c:pt idx="1">
                  <c:v>6.SAAT</c:v>
                </c:pt>
                <c:pt idx="2">
                  <c:v>12.SAAT</c:v>
                </c:pt>
                <c:pt idx="3">
                  <c:v>24.SAAT</c:v>
                </c:pt>
                <c:pt idx="4">
                  <c:v>48.SAAT</c:v>
                </c:pt>
              </c:strCache>
            </c:strRef>
          </c:cat>
          <c:val>
            <c:numRef>
              <c:f>'hipoksi %canlılık-İREM'!$P$40:$P$44</c:f>
              <c:numCache>
                <c:formatCode>General</c:formatCode>
                <c:ptCount val="5"/>
                <c:pt idx="0">
                  <c:v>100</c:v>
                </c:pt>
                <c:pt idx="1">
                  <c:v>118.01470588235293</c:v>
                </c:pt>
                <c:pt idx="2">
                  <c:v>153.01470588235134</c:v>
                </c:pt>
                <c:pt idx="3">
                  <c:v>178.97058823529414</c:v>
                </c:pt>
                <c:pt idx="4">
                  <c:v>269.70588235294201</c:v>
                </c:pt>
              </c:numCache>
            </c:numRef>
          </c:val>
          <c:extLst xmlns:c16r2="http://schemas.microsoft.com/office/drawing/2015/06/chart">
            <c:ext xmlns:c16="http://schemas.microsoft.com/office/drawing/2014/chart" uri="{C3380CC4-5D6E-409C-BE32-E72D297353CC}">
              <c16:uniqueId val="{00000002-F912-4DA7-90BE-4F3A3CDFB0EC}"/>
            </c:ext>
          </c:extLst>
        </c:ser>
        <c:ser>
          <c:idx val="3"/>
          <c:order val="3"/>
          <c:tx>
            <c:strRef>
              <c:f>'hipoksi %canlılık-İREM'!$Q$39</c:f>
              <c:strCache>
                <c:ptCount val="1"/>
                <c:pt idx="0">
                  <c:v>55 mM</c:v>
                </c:pt>
              </c:strCache>
            </c:strRef>
          </c:tx>
          <c:invertIfNegative val="0"/>
          <c:errBars>
            <c:errBarType val="both"/>
            <c:errValType val="percentage"/>
            <c:noEndCap val="0"/>
            <c:val val="5"/>
          </c:errBars>
          <c:cat>
            <c:strRef>
              <c:f>'hipoksi %canlılık-İREM'!$M$40:$M$44</c:f>
              <c:strCache>
                <c:ptCount val="5"/>
                <c:pt idx="0">
                  <c:v>3.SAAT</c:v>
                </c:pt>
                <c:pt idx="1">
                  <c:v>6.SAAT</c:v>
                </c:pt>
                <c:pt idx="2">
                  <c:v>12.SAAT</c:v>
                </c:pt>
                <c:pt idx="3">
                  <c:v>24.SAAT</c:v>
                </c:pt>
                <c:pt idx="4">
                  <c:v>48.SAAT</c:v>
                </c:pt>
              </c:strCache>
            </c:strRef>
          </c:cat>
          <c:val>
            <c:numRef>
              <c:f>'hipoksi %canlılık-İREM'!$Q$40:$Q$44</c:f>
              <c:numCache>
                <c:formatCode>General</c:formatCode>
                <c:ptCount val="5"/>
                <c:pt idx="0">
                  <c:v>100</c:v>
                </c:pt>
                <c:pt idx="1">
                  <c:v>133.48258706467661</c:v>
                </c:pt>
                <c:pt idx="2">
                  <c:v>258.15920398009951</c:v>
                </c:pt>
                <c:pt idx="3">
                  <c:v>296.26865671641769</c:v>
                </c:pt>
                <c:pt idx="4">
                  <c:v>319.47761194029283</c:v>
                </c:pt>
              </c:numCache>
            </c:numRef>
          </c:val>
          <c:extLst xmlns:c16r2="http://schemas.microsoft.com/office/drawing/2015/06/chart">
            <c:ext xmlns:c16="http://schemas.microsoft.com/office/drawing/2014/chart" uri="{C3380CC4-5D6E-409C-BE32-E72D297353CC}">
              <c16:uniqueId val="{00000003-F912-4DA7-90BE-4F3A3CDFB0EC}"/>
            </c:ext>
          </c:extLst>
        </c:ser>
        <c:dLbls>
          <c:showLegendKey val="0"/>
          <c:showVal val="0"/>
          <c:showCatName val="0"/>
          <c:showSerName val="0"/>
          <c:showPercent val="0"/>
          <c:showBubbleSize val="0"/>
        </c:dLbls>
        <c:gapWidth val="150"/>
        <c:axId val="377833728"/>
        <c:axId val="377843712"/>
      </c:barChart>
      <c:catAx>
        <c:axId val="377833728"/>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tr-TR"/>
          </a:p>
        </c:txPr>
        <c:crossAx val="377843712"/>
        <c:crosses val="autoZero"/>
        <c:auto val="1"/>
        <c:lblAlgn val="ctr"/>
        <c:lblOffset val="100"/>
        <c:noMultiLvlLbl val="0"/>
      </c:catAx>
      <c:valAx>
        <c:axId val="377843712"/>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Hücre canlılığı %</a:t>
                </a:r>
              </a:p>
            </c:rich>
          </c:tx>
          <c:layout>
            <c:manualLayout>
              <c:xMode val="edge"/>
              <c:yMode val="edge"/>
              <c:x val="2.1514796143712198E-2"/>
              <c:y val="0.33534491115439907"/>
            </c:manualLayout>
          </c:layout>
          <c:overlay val="0"/>
        </c:title>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tr-TR"/>
          </a:p>
        </c:txPr>
        <c:crossAx val="377833728"/>
        <c:crosses val="autoZero"/>
        <c:crossBetween val="between"/>
      </c:valAx>
    </c:plotArea>
    <c:legend>
      <c:legendPos val="r"/>
      <c:layout>
        <c:manualLayout>
          <c:xMode val="edge"/>
          <c:yMode val="edge"/>
          <c:x val="0.87605046410618903"/>
          <c:y val="0.34404559391266437"/>
          <c:w val="0.12394560147437204"/>
          <c:h val="0.31188763228568817"/>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55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overlay val="0"/>
    </c:title>
    <c:autoTitleDeleted val="0"/>
    <c:plotArea>
      <c:layout>
        <c:manualLayout>
          <c:layoutTarget val="inner"/>
          <c:xMode val="edge"/>
          <c:yMode val="edge"/>
          <c:x val="0.17781802274715691"/>
          <c:y val="0.12535906969962088"/>
          <c:w val="0.76940419947506566"/>
          <c:h val="0.55650444736074667"/>
        </c:manualLayout>
      </c:layout>
      <c:barChart>
        <c:barDir val="col"/>
        <c:grouping val="clustered"/>
        <c:varyColors val="0"/>
        <c:ser>
          <c:idx val="0"/>
          <c:order val="0"/>
          <c:tx>
            <c:v>normoksi</c:v>
          </c:tx>
          <c:invertIfNegative val="0"/>
          <c:errBars>
            <c:errBarType val="both"/>
            <c:errValType val="stdErr"/>
            <c:noEndCap val="0"/>
          </c:errBars>
          <c:cat>
            <c:strRef>
              <c:f>LDHA!$T$7:$T$10</c:f>
              <c:strCache>
                <c:ptCount val="4"/>
                <c:pt idx="0">
                  <c:v>6.saat</c:v>
                </c:pt>
                <c:pt idx="1">
                  <c:v>12.saat</c:v>
                </c:pt>
                <c:pt idx="2">
                  <c:v>24.saat</c:v>
                </c:pt>
                <c:pt idx="3">
                  <c:v>48.saat</c:v>
                </c:pt>
              </c:strCache>
            </c:strRef>
          </c:cat>
          <c:val>
            <c:numRef>
              <c:f>'[ELISA SONUÇLAR SON.xlsx]LDHA'!$C$43,'[ELISA SONUÇLAR SON.xlsx]LDHA'!$C$56,'[ELISA SONUÇLAR SON.xlsx]LDHA'!$C$72,'[ELISA SONUÇLAR SON.xlsx]LDHA'!$C$92</c:f>
              <c:numCache>
                <c:formatCode>General</c:formatCode>
                <c:ptCount val="4"/>
                <c:pt idx="0">
                  <c:v>19.439999999999987</c:v>
                </c:pt>
                <c:pt idx="1">
                  <c:v>14.93</c:v>
                </c:pt>
                <c:pt idx="2">
                  <c:v>12.08</c:v>
                </c:pt>
                <c:pt idx="3">
                  <c:v>16.510000000000005</c:v>
                </c:pt>
              </c:numCache>
            </c:numRef>
          </c:val>
          <c:extLst xmlns:c16r2="http://schemas.microsoft.com/office/drawing/2015/06/chart">
            <c:ext xmlns:c16="http://schemas.microsoft.com/office/drawing/2014/chart" uri="{C3380CC4-5D6E-409C-BE32-E72D297353CC}">
              <c16:uniqueId val="{00000000-471E-4FCB-999E-F2B2C93B340C}"/>
            </c:ext>
          </c:extLst>
        </c:ser>
        <c:ser>
          <c:idx val="1"/>
          <c:order val="1"/>
          <c:tx>
            <c:v>hipoksi</c:v>
          </c:tx>
          <c:invertIfNegative val="0"/>
          <c:errBars>
            <c:errBarType val="both"/>
            <c:errValType val="stdErr"/>
            <c:noEndCap val="0"/>
          </c:errBars>
          <c:cat>
            <c:strRef>
              <c:f>LDHA!$T$7:$T$10</c:f>
              <c:strCache>
                <c:ptCount val="4"/>
                <c:pt idx="0">
                  <c:v>6.saat</c:v>
                </c:pt>
                <c:pt idx="1">
                  <c:v>12.saat</c:v>
                </c:pt>
                <c:pt idx="2">
                  <c:v>24.saat</c:v>
                </c:pt>
                <c:pt idx="3">
                  <c:v>48.saat</c:v>
                </c:pt>
              </c:strCache>
            </c:strRef>
          </c:cat>
          <c:val>
            <c:numRef>
              <c:f>'[ELISA SONUÇLAR SON.xlsx]LDHA'!$C$47,'[ELISA SONUÇLAR SON.xlsx]LDHA'!$C$60,'[ELISA SONUÇLAR SON.xlsx]LDHA'!$C$76,'[ELISA SONUÇLAR SON.xlsx]LDHA'!$C$96</c:f>
              <c:numCache>
                <c:formatCode>General</c:formatCode>
                <c:ptCount val="4"/>
                <c:pt idx="0">
                  <c:v>24.419999999999987</c:v>
                </c:pt>
                <c:pt idx="1">
                  <c:v>8.2199999999999989</c:v>
                </c:pt>
                <c:pt idx="2">
                  <c:v>7.02</c:v>
                </c:pt>
                <c:pt idx="3">
                  <c:v>6.85</c:v>
                </c:pt>
              </c:numCache>
            </c:numRef>
          </c:val>
          <c:extLst xmlns:c16r2="http://schemas.microsoft.com/office/drawing/2015/06/chart">
            <c:ext xmlns:c16="http://schemas.microsoft.com/office/drawing/2014/chart" uri="{C3380CC4-5D6E-409C-BE32-E72D297353CC}">
              <c16:uniqueId val="{00000001-471E-4FCB-999E-F2B2C93B340C}"/>
            </c:ext>
          </c:extLst>
        </c:ser>
        <c:dLbls>
          <c:showLegendKey val="0"/>
          <c:showVal val="0"/>
          <c:showCatName val="0"/>
          <c:showSerName val="0"/>
          <c:showPercent val="0"/>
          <c:showBubbleSize val="0"/>
        </c:dLbls>
        <c:gapWidth val="150"/>
        <c:axId val="389271552"/>
        <c:axId val="389273088"/>
      </c:barChart>
      <c:catAx>
        <c:axId val="389271552"/>
        <c:scaling>
          <c:orientation val="minMax"/>
        </c:scaling>
        <c:delete val="0"/>
        <c:axPos val="b"/>
        <c:numFmt formatCode="General" sourceLinked="0"/>
        <c:majorTickMark val="none"/>
        <c:minorTickMark val="none"/>
        <c:tickLblPos val="nextTo"/>
        <c:crossAx val="389273088"/>
        <c:crosses val="autoZero"/>
        <c:auto val="1"/>
        <c:lblAlgn val="ctr"/>
        <c:lblOffset val="100"/>
        <c:noMultiLvlLbl val="0"/>
      </c:catAx>
      <c:valAx>
        <c:axId val="389273088"/>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LDHA ng/mL</a:t>
                </a:r>
              </a:p>
            </c:rich>
          </c:tx>
          <c:layout>
            <c:manualLayout>
              <c:xMode val="edge"/>
              <c:yMode val="edge"/>
              <c:x val="4.4912948381452315E-2"/>
              <c:y val="0.26907407407407741"/>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8927155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45497533667223"/>
          <c:y val="0.10232648002333072"/>
          <c:w val="0.71470406689961363"/>
          <c:h val="0.76118802857976164"/>
        </c:manualLayout>
      </c:layout>
      <c:lineChart>
        <c:grouping val="standard"/>
        <c:varyColors val="0"/>
        <c:ser>
          <c:idx val="0"/>
          <c:order val="0"/>
          <c:tx>
            <c:v>0 mM</c:v>
          </c:tx>
          <c:errBars>
            <c:errDir val="y"/>
            <c:errBarType val="both"/>
            <c:errValType val="stdErr"/>
            <c:noEndCap val="0"/>
          </c:errBars>
          <c:cat>
            <c:strRef>
              <c:f>G6PD!$E$36:$E$39</c:f>
              <c:strCache>
                <c:ptCount val="4"/>
                <c:pt idx="0">
                  <c:v>6.saat</c:v>
                </c:pt>
                <c:pt idx="1">
                  <c:v>12.saat</c:v>
                </c:pt>
                <c:pt idx="2">
                  <c:v>24.saat</c:v>
                </c:pt>
                <c:pt idx="3">
                  <c:v>48.saat</c:v>
                </c:pt>
              </c:strCache>
            </c:strRef>
          </c:cat>
          <c:val>
            <c:numRef>
              <c:f>(G6PD!$C$37;G6PD!$C$50;G6PD!$C$66;G6PD!$C$86)</c:f>
              <c:numCache>
                <c:formatCode>General</c:formatCode>
                <c:ptCount val="4"/>
                <c:pt idx="0">
                  <c:v>10.43</c:v>
                </c:pt>
                <c:pt idx="1">
                  <c:v>5.57</c:v>
                </c:pt>
                <c:pt idx="2">
                  <c:v>7.17</c:v>
                </c:pt>
                <c:pt idx="3">
                  <c:v>5.68</c:v>
                </c:pt>
              </c:numCache>
            </c:numRef>
          </c:val>
          <c:smooth val="0"/>
          <c:extLst xmlns:c16r2="http://schemas.microsoft.com/office/drawing/2015/06/chart">
            <c:ext xmlns:c16="http://schemas.microsoft.com/office/drawing/2014/chart" uri="{C3380CC4-5D6E-409C-BE32-E72D297353CC}">
              <c16:uniqueId val="{00000000-77CF-4658-8068-5A734814E4F3}"/>
            </c:ext>
          </c:extLst>
        </c:ser>
        <c:ser>
          <c:idx val="1"/>
          <c:order val="1"/>
          <c:tx>
            <c:v>5,5 mM</c:v>
          </c:tx>
          <c:errBars>
            <c:errDir val="y"/>
            <c:errBarType val="both"/>
            <c:errValType val="stdErr"/>
            <c:noEndCap val="0"/>
          </c:errBars>
          <c:cat>
            <c:strRef>
              <c:f>G6PD!$E$36:$E$39</c:f>
              <c:strCache>
                <c:ptCount val="4"/>
                <c:pt idx="0">
                  <c:v>6.saat</c:v>
                </c:pt>
                <c:pt idx="1">
                  <c:v>12.saat</c:v>
                </c:pt>
                <c:pt idx="2">
                  <c:v>24.saat</c:v>
                </c:pt>
                <c:pt idx="3">
                  <c:v>48.saat</c:v>
                </c:pt>
              </c:strCache>
            </c:strRef>
          </c:cat>
          <c:val>
            <c:numRef>
              <c:f>(G6PD!$C$38;G6PD!$C$51;G6PD!$C$67;G6PD!$C$87)</c:f>
              <c:numCache>
                <c:formatCode>General</c:formatCode>
                <c:ptCount val="4"/>
                <c:pt idx="0">
                  <c:v>13.44</c:v>
                </c:pt>
                <c:pt idx="1">
                  <c:v>6.48</c:v>
                </c:pt>
                <c:pt idx="2">
                  <c:v>7.75</c:v>
                </c:pt>
                <c:pt idx="3">
                  <c:v>9.09</c:v>
                </c:pt>
              </c:numCache>
            </c:numRef>
          </c:val>
          <c:smooth val="0"/>
          <c:extLst xmlns:c16r2="http://schemas.microsoft.com/office/drawing/2015/06/chart">
            <c:ext xmlns:c16="http://schemas.microsoft.com/office/drawing/2014/chart" uri="{C3380CC4-5D6E-409C-BE32-E72D297353CC}">
              <c16:uniqueId val="{00000001-77CF-4658-8068-5A734814E4F3}"/>
            </c:ext>
          </c:extLst>
        </c:ser>
        <c:ser>
          <c:idx val="2"/>
          <c:order val="2"/>
          <c:tx>
            <c:v>15 mM</c:v>
          </c:tx>
          <c:errBars>
            <c:errDir val="y"/>
            <c:errBarType val="both"/>
            <c:errValType val="stdErr"/>
            <c:noEndCap val="0"/>
          </c:errBars>
          <c:cat>
            <c:strRef>
              <c:f>G6PD!$E$36:$E$39</c:f>
              <c:strCache>
                <c:ptCount val="4"/>
                <c:pt idx="0">
                  <c:v>6.saat</c:v>
                </c:pt>
                <c:pt idx="1">
                  <c:v>12.saat</c:v>
                </c:pt>
                <c:pt idx="2">
                  <c:v>24.saat</c:v>
                </c:pt>
                <c:pt idx="3">
                  <c:v>48.saat</c:v>
                </c:pt>
              </c:strCache>
            </c:strRef>
          </c:cat>
          <c:val>
            <c:numRef>
              <c:f>(G6PD!$C$39;G6PD!$C$52;G6PD!$C$68;G6PD!$C$88)</c:f>
              <c:numCache>
                <c:formatCode>General</c:formatCode>
                <c:ptCount val="4"/>
                <c:pt idx="0">
                  <c:v>13.19</c:v>
                </c:pt>
                <c:pt idx="1">
                  <c:v>8</c:v>
                </c:pt>
                <c:pt idx="2">
                  <c:v>5.8</c:v>
                </c:pt>
                <c:pt idx="3">
                  <c:v>7.09</c:v>
                </c:pt>
              </c:numCache>
            </c:numRef>
          </c:val>
          <c:smooth val="0"/>
          <c:extLst xmlns:c16r2="http://schemas.microsoft.com/office/drawing/2015/06/chart">
            <c:ext xmlns:c16="http://schemas.microsoft.com/office/drawing/2014/chart" uri="{C3380CC4-5D6E-409C-BE32-E72D297353CC}">
              <c16:uniqueId val="{00000002-77CF-4658-8068-5A734814E4F3}"/>
            </c:ext>
          </c:extLst>
        </c:ser>
        <c:ser>
          <c:idx val="3"/>
          <c:order val="3"/>
          <c:tx>
            <c:v>55 mM</c:v>
          </c:tx>
          <c:errBars>
            <c:errDir val="y"/>
            <c:errBarType val="both"/>
            <c:errValType val="stdErr"/>
            <c:noEndCap val="0"/>
          </c:errBars>
          <c:cat>
            <c:strRef>
              <c:f>G6PD!$E$36:$E$39</c:f>
              <c:strCache>
                <c:ptCount val="4"/>
                <c:pt idx="0">
                  <c:v>6.saat</c:v>
                </c:pt>
                <c:pt idx="1">
                  <c:v>12.saat</c:v>
                </c:pt>
                <c:pt idx="2">
                  <c:v>24.saat</c:v>
                </c:pt>
                <c:pt idx="3">
                  <c:v>48.saat</c:v>
                </c:pt>
              </c:strCache>
            </c:strRef>
          </c:cat>
          <c:val>
            <c:numRef>
              <c:f>(G6PD!$C$40;G6PD!$C$53;G6PD!$C$69;G6PD!$C$89)</c:f>
              <c:numCache>
                <c:formatCode>General</c:formatCode>
                <c:ptCount val="4"/>
                <c:pt idx="0">
                  <c:v>10.4</c:v>
                </c:pt>
                <c:pt idx="1">
                  <c:v>6.1199999999999966</c:v>
                </c:pt>
                <c:pt idx="2">
                  <c:v>5.83</c:v>
                </c:pt>
                <c:pt idx="3">
                  <c:v>6.56</c:v>
                </c:pt>
              </c:numCache>
            </c:numRef>
          </c:val>
          <c:smooth val="0"/>
          <c:extLst xmlns:c16r2="http://schemas.microsoft.com/office/drawing/2015/06/chart">
            <c:ext xmlns:c16="http://schemas.microsoft.com/office/drawing/2014/chart" uri="{C3380CC4-5D6E-409C-BE32-E72D297353CC}">
              <c16:uniqueId val="{00000003-77CF-4658-8068-5A734814E4F3}"/>
            </c:ext>
          </c:extLst>
        </c:ser>
        <c:dLbls>
          <c:showLegendKey val="0"/>
          <c:showVal val="0"/>
          <c:showCatName val="0"/>
          <c:showSerName val="0"/>
          <c:showPercent val="0"/>
          <c:showBubbleSize val="0"/>
        </c:dLbls>
        <c:marker val="1"/>
        <c:smooth val="0"/>
        <c:axId val="389413120"/>
        <c:axId val="389685632"/>
      </c:lineChart>
      <c:catAx>
        <c:axId val="389413120"/>
        <c:scaling>
          <c:orientation val="minMax"/>
        </c:scaling>
        <c:delete val="0"/>
        <c:axPos val="b"/>
        <c:title>
          <c:tx>
            <c:rich>
              <a:bodyPr/>
              <a:lstStyle/>
              <a:p>
                <a:pPr>
                  <a:defRPr sz="1000"/>
                </a:pPr>
                <a:r>
                  <a:rPr lang="tr-TR" sz="1000"/>
                  <a:t>NORMOKSİ</a:t>
                </a:r>
              </a:p>
            </c:rich>
          </c:tx>
          <c:layout>
            <c:manualLayout>
              <c:xMode val="edge"/>
              <c:yMode val="edge"/>
              <c:x val="0.3965337154941535"/>
              <c:y val="2.682852143482067E-2"/>
            </c:manualLayout>
          </c:layout>
          <c:overlay val="0"/>
        </c:title>
        <c:numFmt formatCode="General" sourceLinked="1"/>
        <c:majorTickMark val="out"/>
        <c:minorTickMark val="none"/>
        <c:tickLblPos val="nextTo"/>
        <c:crossAx val="389685632"/>
        <c:crosses val="autoZero"/>
        <c:auto val="1"/>
        <c:lblAlgn val="ctr"/>
        <c:lblOffset val="100"/>
        <c:noMultiLvlLbl val="0"/>
      </c:catAx>
      <c:valAx>
        <c:axId val="389685632"/>
        <c:scaling>
          <c:orientation val="minMax"/>
        </c:scaling>
        <c:delete val="0"/>
        <c:axPos val="l"/>
        <c:title>
          <c:tx>
            <c:rich>
              <a:bodyPr rot="-5400000" vert="horz"/>
              <a:lstStyle/>
              <a:p>
                <a:pPr>
                  <a:defRPr/>
                </a:pPr>
                <a:r>
                  <a:rPr lang="tr-TR"/>
                  <a:t>G6PD  ng/mL</a:t>
                </a:r>
              </a:p>
            </c:rich>
          </c:tx>
          <c:layout>
            <c:manualLayout>
              <c:xMode val="edge"/>
              <c:yMode val="edge"/>
              <c:x val="1.0906612133605999E-2"/>
              <c:y val="0.34564049285505982"/>
            </c:manualLayout>
          </c:layout>
          <c:overlay val="0"/>
        </c:title>
        <c:numFmt formatCode="General" sourceLinked="1"/>
        <c:majorTickMark val="out"/>
        <c:minorTickMark val="none"/>
        <c:tickLblPos val="nextTo"/>
        <c:crossAx val="389413120"/>
        <c:crosses val="autoZero"/>
        <c:crossBetween val="between"/>
      </c:valAx>
      <c:spPr>
        <a:solidFill>
          <a:sysClr val="window" lastClr="FFFFFF"/>
        </a:solidFill>
      </c:spPr>
    </c:plotArea>
    <c:legend>
      <c:legendPos val="r"/>
      <c:layout>
        <c:manualLayout>
          <c:xMode val="edge"/>
          <c:yMode val="edge"/>
          <c:x val="0.83184730743013013"/>
          <c:y val="0.34292432195975586"/>
          <c:w val="0.16815269256987048"/>
          <c:h val="0.31415135608048994"/>
        </c:manualLayout>
      </c:layout>
      <c:overlay val="0"/>
    </c:legend>
    <c:plotVisOnly val="1"/>
    <c:dispBlanksAs val="gap"/>
    <c:showDLblsOverMax val="0"/>
  </c:chart>
  <c:spPr>
    <a:solidFill>
      <a:schemeClr val="bg1">
        <a:lumMod val="75000"/>
      </a:schemeClr>
    </a:solidFill>
  </c:spPr>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16885389326336"/>
          <c:y val="0.12084499854184894"/>
          <c:w val="0.73155468066491702"/>
          <c:h val="0.70005358705161858"/>
        </c:manualLayout>
      </c:layout>
      <c:lineChart>
        <c:grouping val="standard"/>
        <c:varyColors val="0"/>
        <c:ser>
          <c:idx val="0"/>
          <c:order val="0"/>
          <c:tx>
            <c:v>0 mM</c:v>
          </c:tx>
          <c:errBars>
            <c:errDir val="y"/>
            <c:errBarType val="both"/>
            <c:errValType val="stdErr"/>
            <c:noEndCap val="0"/>
          </c:errBars>
          <c:cat>
            <c:strRef>
              <c:f>G6PD!$E$36:$E$39</c:f>
              <c:strCache>
                <c:ptCount val="4"/>
                <c:pt idx="0">
                  <c:v>6.saat</c:v>
                </c:pt>
                <c:pt idx="1">
                  <c:v>12.saat</c:v>
                </c:pt>
                <c:pt idx="2">
                  <c:v>24.saat</c:v>
                </c:pt>
                <c:pt idx="3">
                  <c:v>48.saat</c:v>
                </c:pt>
              </c:strCache>
            </c:strRef>
          </c:cat>
          <c:val>
            <c:numRef>
              <c:f>(G6PD!$C$41;G6PD!$C$54;G6PD!$C$70;G6PD!$C$90)</c:f>
              <c:numCache>
                <c:formatCode>General</c:formatCode>
                <c:ptCount val="4"/>
                <c:pt idx="0">
                  <c:v>7.09</c:v>
                </c:pt>
                <c:pt idx="1">
                  <c:v>5.1199999999999966</c:v>
                </c:pt>
                <c:pt idx="2">
                  <c:v>4.76</c:v>
                </c:pt>
                <c:pt idx="3">
                  <c:v>4.59</c:v>
                </c:pt>
              </c:numCache>
            </c:numRef>
          </c:val>
          <c:smooth val="0"/>
          <c:extLst xmlns:c16r2="http://schemas.microsoft.com/office/drawing/2015/06/chart">
            <c:ext xmlns:c16="http://schemas.microsoft.com/office/drawing/2014/chart" uri="{C3380CC4-5D6E-409C-BE32-E72D297353CC}">
              <c16:uniqueId val="{00000000-8EDE-48B0-813D-05684F04E403}"/>
            </c:ext>
          </c:extLst>
        </c:ser>
        <c:ser>
          <c:idx val="1"/>
          <c:order val="1"/>
          <c:tx>
            <c:v>5,5 mM</c:v>
          </c:tx>
          <c:errBars>
            <c:errDir val="y"/>
            <c:errBarType val="both"/>
            <c:errValType val="stdErr"/>
            <c:noEndCap val="0"/>
          </c:errBars>
          <c:cat>
            <c:strRef>
              <c:f>G6PD!$E$36:$E$39</c:f>
              <c:strCache>
                <c:ptCount val="4"/>
                <c:pt idx="0">
                  <c:v>6.saat</c:v>
                </c:pt>
                <c:pt idx="1">
                  <c:v>12.saat</c:v>
                </c:pt>
                <c:pt idx="2">
                  <c:v>24.saat</c:v>
                </c:pt>
                <c:pt idx="3">
                  <c:v>48.saat</c:v>
                </c:pt>
              </c:strCache>
            </c:strRef>
          </c:cat>
          <c:val>
            <c:numRef>
              <c:f>(G6PD!$C$42;G6PD!$C$55;G6PD!$C$71;G6PD!$C$91)</c:f>
              <c:numCache>
                <c:formatCode>General</c:formatCode>
                <c:ptCount val="4"/>
                <c:pt idx="0">
                  <c:v>9</c:v>
                </c:pt>
                <c:pt idx="1">
                  <c:v>6.67</c:v>
                </c:pt>
                <c:pt idx="2">
                  <c:v>5.4300000000000024</c:v>
                </c:pt>
                <c:pt idx="3">
                  <c:v>2.58</c:v>
                </c:pt>
              </c:numCache>
            </c:numRef>
          </c:val>
          <c:smooth val="0"/>
          <c:extLst xmlns:c16r2="http://schemas.microsoft.com/office/drawing/2015/06/chart">
            <c:ext xmlns:c16="http://schemas.microsoft.com/office/drawing/2014/chart" uri="{C3380CC4-5D6E-409C-BE32-E72D297353CC}">
              <c16:uniqueId val="{00000001-8EDE-48B0-813D-05684F04E403}"/>
            </c:ext>
          </c:extLst>
        </c:ser>
        <c:ser>
          <c:idx val="2"/>
          <c:order val="2"/>
          <c:tx>
            <c:v>15 mM</c:v>
          </c:tx>
          <c:errBars>
            <c:errDir val="y"/>
            <c:errBarType val="both"/>
            <c:errValType val="stdErr"/>
            <c:noEndCap val="0"/>
          </c:errBars>
          <c:cat>
            <c:strRef>
              <c:f>G6PD!$E$36:$E$39</c:f>
              <c:strCache>
                <c:ptCount val="4"/>
                <c:pt idx="0">
                  <c:v>6.saat</c:v>
                </c:pt>
                <c:pt idx="1">
                  <c:v>12.saat</c:v>
                </c:pt>
                <c:pt idx="2">
                  <c:v>24.saat</c:v>
                </c:pt>
                <c:pt idx="3">
                  <c:v>48.saat</c:v>
                </c:pt>
              </c:strCache>
            </c:strRef>
          </c:cat>
          <c:val>
            <c:numRef>
              <c:f>(G6PD!$C$43;G6PD!$C$56;G6PD!$C$72;G6PD!$C$92)</c:f>
              <c:numCache>
                <c:formatCode>General</c:formatCode>
                <c:ptCount val="4"/>
                <c:pt idx="0">
                  <c:v>8.93</c:v>
                </c:pt>
                <c:pt idx="1">
                  <c:v>4.96</c:v>
                </c:pt>
                <c:pt idx="2">
                  <c:v>5.52</c:v>
                </c:pt>
                <c:pt idx="3">
                  <c:v>5.31</c:v>
                </c:pt>
              </c:numCache>
            </c:numRef>
          </c:val>
          <c:smooth val="0"/>
          <c:extLst xmlns:c16r2="http://schemas.microsoft.com/office/drawing/2015/06/chart">
            <c:ext xmlns:c16="http://schemas.microsoft.com/office/drawing/2014/chart" uri="{C3380CC4-5D6E-409C-BE32-E72D297353CC}">
              <c16:uniqueId val="{00000002-8EDE-48B0-813D-05684F04E403}"/>
            </c:ext>
          </c:extLst>
        </c:ser>
        <c:ser>
          <c:idx val="3"/>
          <c:order val="3"/>
          <c:tx>
            <c:v>55 mM</c:v>
          </c:tx>
          <c:errBars>
            <c:errDir val="y"/>
            <c:errBarType val="both"/>
            <c:errValType val="stdErr"/>
            <c:noEndCap val="0"/>
          </c:errBars>
          <c:cat>
            <c:strRef>
              <c:f>G6PD!$E$36:$E$39</c:f>
              <c:strCache>
                <c:ptCount val="4"/>
                <c:pt idx="0">
                  <c:v>6.saat</c:v>
                </c:pt>
                <c:pt idx="1">
                  <c:v>12.saat</c:v>
                </c:pt>
                <c:pt idx="2">
                  <c:v>24.saat</c:v>
                </c:pt>
                <c:pt idx="3">
                  <c:v>48.saat</c:v>
                </c:pt>
              </c:strCache>
            </c:strRef>
          </c:cat>
          <c:val>
            <c:numRef>
              <c:f>(G6PD!$C$44;G6PD!$C$57;G6PD!$C$73;G6PD!$C$93)</c:f>
              <c:numCache>
                <c:formatCode>General</c:formatCode>
                <c:ptCount val="4"/>
                <c:pt idx="0">
                  <c:v>8.64</c:v>
                </c:pt>
                <c:pt idx="1">
                  <c:v>3.52</c:v>
                </c:pt>
                <c:pt idx="2">
                  <c:v>5.7700000000000014</c:v>
                </c:pt>
                <c:pt idx="3">
                  <c:v>5.5</c:v>
                </c:pt>
              </c:numCache>
            </c:numRef>
          </c:val>
          <c:smooth val="0"/>
          <c:extLst xmlns:c16r2="http://schemas.microsoft.com/office/drawing/2015/06/chart">
            <c:ext xmlns:c16="http://schemas.microsoft.com/office/drawing/2014/chart" uri="{C3380CC4-5D6E-409C-BE32-E72D297353CC}">
              <c16:uniqueId val="{00000003-8EDE-48B0-813D-05684F04E403}"/>
            </c:ext>
          </c:extLst>
        </c:ser>
        <c:dLbls>
          <c:showLegendKey val="0"/>
          <c:showVal val="0"/>
          <c:showCatName val="0"/>
          <c:showSerName val="0"/>
          <c:showPercent val="0"/>
          <c:showBubbleSize val="0"/>
        </c:dLbls>
        <c:marker val="1"/>
        <c:smooth val="0"/>
        <c:axId val="389719552"/>
        <c:axId val="389721472"/>
      </c:lineChart>
      <c:catAx>
        <c:axId val="389719552"/>
        <c:scaling>
          <c:orientation val="minMax"/>
        </c:scaling>
        <c:delete val="0"/>
        <c:axPos val="b"/>
        <c:title>
          <c:tx>
            <c:rich>
              <a:bodyPr/>
              <a:lstStyle/>
              <a:p>
                <a:pPr>
                  <a:defRPr/>
                </a:pPr>
                <a:r>
                  <a:rPr lang="tr-TR"/>
                  <a:t>HİPOKSİ</a:t>
                </a:r>
              </a:p>
            </c:rich>
          </c:tx>
          <c:layout>
            <c:manualLayout>
              <c:xMode val="edge"/>
              <c:yMode val="edge"/>
              <c:x val="0.39427952755905715"/>
              <c:y val="4.0717410323709832E-2"/>
            </c:manualLayout>
          </c:layout>
          <c:overlay val="0"/>
        </c:title>
        <c:numFmt formatCode="General" sourceLinked="1"/>
        <c:majorTickMark val="out"/>
        <c:minorTickMark val="none"/>
        <c:tickLblPos val="nextTo"/>
        <c:crossAx val="389721472"/>
        <c:crosses val="autoZero"/>
        <c:auto val="1"/>
        <c:lblAlgn val="ctr"/>
        <c:lblOffset val="100"/>
        <c:noMultiLvlLbl val="0"/>
      </c:catAx>
      <c:valAx>
        <c:axId val="389721472"/>
        <c:scaling>
          <c:orientation val="minMax"/>
        </c:scaling>
        <c:delete val="0"/>
        <c:axPos val="l"/>
        <c:title>
          <c:tx>
            <c:rich>
              <a:bodyPr rot="-5400000" vert="horz"/>
              <a:lstStyle/>
              <a:p>
                <a:pPr>
                  <a:defRPr/>
                </a:pPr>
                <a:r>
                  <a:rPr lang="tr-TR"/>
                  <a:t>G6PD ng/mL</a:t>
                </a:r>
              </a:p>
            </c:rich>
          </c:tx>
          <c:layout>
            <c:manualLayout>
              <c:xMode val="edge"/>
              <c:yMode val="edge"/>
              <c:x val="1.3092519685039388E-2"/>
              <c:y val="0.36682086614173304"/>
            </c:manualLayout>
          </c:layout>
          <c:overlay val="0"/>
        </c:title>
        <c:numFmt formatCode="General" sourceLinked="1"/>
        <c:majorTickMark val="out"/>
        <c:minorTickMark val="none"/>
        <c:tickLblPos val="nextTo"/>
        <c:crossAx val="389719552"/>
        <c:crosses val="autoZero"/>
        <c:crossBetween val="between"/>
      </c:valAx>
    </c:plotArea>
    <c:legend>
      <c:legendPos val="r"/>
      <c:layout>
        <c:manualLayout>
          <c:xMode val="edge"/>
          <c:yMode val="edge"/>
          <c:x val="0.8265693350831147"/>
          <c:y val="0.33256561679790064"/>
          <c:w val="0.1706528871391077"/>
          <c:h val="0.33486876640420243"/>
        </c:manualLayout>
      </c:layout>
      <c:overlay val="0"/>
    </c:legend>
    <c:plotVisOnly val="1"/>
    <c:dispBlanksAs val="gap"/>
    <c:showDLblsOverMax val="0"/>
  </c:chart>
  <c:spPr>
    <a:solidFill>
      <a:schemeClr val="bg1">
        <a:lumMod val="75000"/>
      </a:schemeClr>
    </a:solidFill>
  </c:spPr>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1226618547681612"/>
          <c:y val="0.11621536891221944"/>
          <c:w val="0.73915179352581284"/>
          <c:h val="0.75192876932050223"/>
        </c:manualLayout>
      </c:layout>
      <c:barChart>
        <c:barDir val="col"/>
        <c:grouping val="clustered"/>
        <c:varyColors val="0"/>
        <c:ser>
          <c:idx val="0"/>
          <c:order val="0"/>
          <c:tx>
            <c:v>6.saat</c:v>
          </c:tx>
          <c:invertIfNegative val="0"/>
          <c:errBars>
            <c:errBarType val="both"/>
            <c:errValType val="stdErr"/>
            <c:noEndCap val="0"/>
          </c:errBars>
          <c:cat>
            <c:strRef>
              <c:f>G6PD!$E$59:$E$62</c:f>
              <c:strCache>
                <c:ptCount val="4"/>
                <c:pt idx="0">
                  <c:v> 0 mM </c:v>
                </c:pt>
                <c:pt idx="1">
                  <c:v> 5,5 mM </c:v>
                </c:pt>
                <c:pt idx="2">
                  <c:v> 15 mM </c:v>
                </c:pt>
                <c:pt idx="3">
                  <c:v>55 mM </c:v>
                </c:pt>
              </c:strCache>
            </c:strRef>
          </c:cat>
          <c:val>
            <c:numRef>
              <c:f>G6PD!$C$37:$C$40</c:f>
              <c:numCache>
                <c:formatCode>General</c:formatCode>
                <c:ptCount val="4"/>
                <c:pt idx="0">
                  <c:v>10.43</c:v>
                </c:pt>
                <c:pt idx="1">
                  <c:v>13.44</c:v>
                </c:pt>
                <c:pt idx="2">
                  <c:v>13.19</c:v>
                </c:pt>
                <c:pt idx="3">
                  <c:v>10.4</c:v>
                </c:pt>
              </c:numCache>
            </c:numRef>
          </c:val>
          <c:extLst xmlns:c16r2="http://schemas.microsoft.com/office/drawing/2015/06/chart">
            <c:ext xmlns:c16="http://schemas.microsoft.com/office/drawing/2014/chart" uri="{C3380CC4-5D6E-409C-BE32-E72D297353CC}">
              <c16:uniqueId val="{00000000-655F-43A2-B07C-E529DBBBE1EC}"/>
            </c:ext>
          </c:extLst>
        </c:ser>
        <c:ser>
          <c:idx val="1"/>
          <c:order val="1"/>
          <c:tx>
            <c:v>12.saat</c:v>
          </c:tx>
          <c:invertIfNegative val="0"/>
          <c:errBars>
            <c:errBarType val="both"/>
            <c:errValType val="stdErr"/>
            <c:noEndCap val="0"/>
          </c:errBars>
          <c:cat>
            <c:strRef>
              <c:f>G6PD!$E$59:$E$62</c:f>
              <c:strCache>
                <c:ptCount val="4"/>
                <c:pt idx="0">
                  <c:v> 0 mM </c:v>
                </c:pt>
                <c:pt idx="1">
                  <c:v> 5,5 mM </c:v>
                </c:pt>
                <c:pt idx="2">
                  <c:v> 15 mM </c:v>
                </c:pt>
                <c:pt idx="3">
                  <c:v>55 mM </c:v>
                </c:pt>
              </c:strCache>
            </c:strRef>
          </c:cat>
          <c:val>
            <c:numRef>
              <c:f>G6PD!$C$50:$C$53</c:f>
              <c:numCache>
                <c:formatCode>General</c:formatCode>
                <c:ptCount val="4"/>
                <c:pt idx="0">
                  <c:v>5.57</c:v>
                </c:pt>
                <c:pt idx="1">
                  <c:v>6.48</c:v>
                </c:pt>
                <c:pt idx="2">
                  <c:v>8</c:v>
                </c:pt>
                <c:pt idx="3">
                  <c:v>6.1199999999999966</c:v>
                </c:pt>
              </c:numCache>
            </c:numRef>
          </c:val>
          <c:extLst xmlns:c16r2="http://schemas.microsoft.com/office/drawing/2015/06/chart">
            <c:ext xmlns:c16="http://schemas.microsoft.com/office/drawing/2014/chart" uri="{C3380CC4-5D6E-409C-BE32-E72D297353CC}">
              <c16:uniqueId val="{00000001-655F-43A2-B07C-E529DBBBE1EC}"/>
            </c:ext>
          </c:extLst>
        </c:ser>
        <c:ser>
          <c:idx val="2"/>
          <c:order val="2"/>
          <c:tx>
            <c:v>24.saat</c:v>
          </c:tx>
          <c:invertIfNegative val="0"/>
          <c:errBars>
            <c:errBarType val="both"/>
            <c:errValType val="stdErr"/>
            <c:noEndCap val="0"/>
          </c:errBars>
          <c:cat>
            <c:strRef>
              <c:f>G6PD!$E$59:$E$62</c:f>
              <c:strCache>
                <c:ptCount val="4"/>
                <c:pt idx="0">
                  <c:v> 0 mM </c:v>
                </c:pt>
                <c:pt idx="1">
                  <c:v> 5,5 mM </c:v>
                </c:pt>
                <c:pt idx="2">
                  <c:v> 15 mM </c:v>
                </c:pt>
                <c:pt idx="3">
                  <c:v>55 mM </c:v>
                </c:pt>
              </c:strCache>
            </c:strRef>
          </c:cat>
          <c:val>
            <c:numRef>
              <c:f>G6PD!$C$66:$C$69</c:f>
              <c:numCache>
                <c:formatCode>General</c:formatCode>
                <c:ptCount val="4"/>
                <c:pt idx="0">
                  <c:v>7.17</c:v>
                </c:pt>
                <c:pt idx="1">
                  <c:v>7.75</c:v>
                </c:pt>
                <c:pt idx="2">
                  <c:v>5.8</c:v>
                </c:pt>
                <c:pt idx="3">
                  <c:v>5.83</c:v>
                </c:pt>
              </c:numCache>
            </c:numRef>
          </c:val>
          <c:extLst xmlns:c16r2="http://schemas.microsoft.com/office/drawing/2015/06/chart">
            <c:ext xmlns:c16="http://schemas.microsoft.com/office/drawing/2014/chart" uri="{C3380CC4-5D6E-409C-BE32-E72D297353CC}">
              <c16:uniqueId val="{00000002-655F-43A2-B07C-E529DBBBE1EC}"/>
            </c:ext>
          </c:extLst>
        </c:ser>
        <c:ser>
          <c:idx val="3"/>
          <c:order val="3"/>
          <c:tx>
            <c:v>48.saat</c:v>
          </c:tx>
          <c:invertIfNegative val="0"/>
          <c:errBars>
            <c:errBarType val="both"/>
            <c:errValType val="stdErr"/>
            <c:noEndCap val="0"/>
          </c:errBars>
          <c:cat>
            <c:strRef>
              <c:f>G6PD!$E$59:$E$62</c:f>
              <c:strCache>
                <c:ptCount val="4"/>
                <c:pt idx="0">
                  <c:v> 0 mM </c:v>
                </c:pt>
                <c:pt idx="1">
                  <c:v> 5,5 mM </c:v>
                </c:pt>
                <c:pt idx="2">
                  <c:v> 15 mM </c:v>
                </c:pt>
                <c:pt idx="3">
                  <c:v>55 mM </c:v>
                </c:pt>
              </c:strCache>
            </c:strRef>
          </c:cat>
          <c:val>
            <c:numRef>
              <c:f>G6PD!$C$86:$C$89</c:f>
              <c:numCache>
                <c:formatCode>General</c:formatCode>
                <c:ptCount val="4"/>
                <c:pt idx="0">
                  <c:v>5.68</c:v>
                </c:pt>
                <c:pt idx="1">
                  <c:v>9.09</c:v>
                </c:pt>
                <c:pt idx="2">
                  <c:v>7.09</c:v>
                </c:pt>
                <c:pt idx="3">
                  <c:v>6.56</c:v>
                </c:pt>
              </c:numCache>
            </c:numRef>
          </c:val>
          <c:extLst xmlns:c16r2="http://schemas.microsoft.com/office/drawing/2015/06/chart">
            <c:ext xmlns:c16="http://schemas.microsoft.com/office/drawing/2014/chart" uri="{C3380CC4-5D6E-409C-BE32-E72D297353CC}">
              <c16:uniqueId val="{00000003-655F-43A2-B07C-E529DBBBE1EC}"/>
            </c:ext>
          </c:extLst>
        </c:ser>
        <c:dLbls>
          <c:showLegendKey val="0"/>
          <c:showVal val="0"/>
          <c:showCatName val="0"/>
          <c:showSerName val="0"/>
          <c:showPercent val="0"/>
          <c:showBubbleSize val="0"/>
        </c:dLbls>
        <c:gapWidth val="150"/>
        <c:axId val="407790720"/>
        <c:axId val="407792640"/>
      </c:barChart>
      <c:catAx>
        <c:axId val="407790720"/>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NORMOKSİ</a:t>
                </a:r>
              </a:p>
            </c:rich>
          </c:tx>
          <c:layout>
            <c:manualLayout>
              <c:xMode val="edge"/>
              <c:yMode val="edge"/>
              <c:x val="0.38830730533683344"/>
              <c:y val="3.6087780694079939E-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407792640"/>
        <c:crosses val="autoZero"/>
        <c:auto val="1"/>
        <c:lblAlgn val="ctr"/>
        <c:lblOffset val="100"/>
        <c:noMultiLvlLbl val="0"/>
      </c:catAx>
      <c:valAx>
        <c:axId val="407792640"/>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G6PD ng/mL</a:t>
                </a:r>
              </a:p>
            </c:rich>
          </c:tx>
          <c:layout>
            <c:manualLayout>
              <c:xMode val="edge"/>
              <c:yMode val="edge"/>
              <c:x val="5.5555555555555558E-3"/>
              <c:y val="0.32993438320210111"/>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407790720"/>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0948840769903712"/>
          <c:y val="0.13010425780110821"/>
          <c:w val="0.73915179352581295"/>
          <c:h val="0.70005358705161858"/>
        </c:manualLayout>
      </c:layout>
      <c:barChart>
        <c:barDir val="col"/>
        <c:grouping val="clustered"/>
        <c:varyColors val="0"/>
        <c:ser>
          <c:idx val="0"/>
          <c:order val="0"/>
          <c:tx>
            <c:v>6.saat</c:v>
          </c:tx>
          <c:invertIfNegative val="0"/>
          <c:errBars>
            <c:errBarType val="both"/>
            <c:errValType val="stdErr"/>
            <c:noEndCap val="0"/>
          </c:errBars>
          <c:cat>
            <c:strRef>
              <c:f>G6PD!$E$59:$E$62</c:f>
              <c:strCache>
                <c:ptCount val="4"/>
                <c:pt idx="0">
                  <c:v> 0 mM </c:v>
                </c:pt>
                <c:pt idx="1">
                  <c:v> 5,5 mM </c:v>
                </c:pt>
                <c:pt idx="2">
                  <c:v> 15 mM </c:v>
                </c:pt>
                <c:pt idx="3">
                  <c:v>55 mM </c:v>
                </c:pt>
              </c:strCache>
            </c:strRef>
          </c:cat>
          <c:val>
            <c:numRef>
              <c:f>G6PD!$C$41:$C$44</c:f>
              <c:numCache>
                <c:formatCode>General</c:formatCode>
                <c:ptCount val="4"/>
                <c:pt idx="0">
                  <c:v>7.09</c:v>
                </c:pt>
                <c:pt idx="1">
                  <c:v>9</c:v>
                </c:pt>
                <c:pt idx="2">
                  <c:v>8.93</c:v>
                </c:pt>
                <c:pt idx="3">
                  <c:v>8.64</c:v>
                </c:pt>
              </c:numCache>
            </c:numRef>
          </c:val>
          <c:extLst xmlns:c16r2="http://schemas.microsoft.com/office/drawing/2015/06/chart">
            <c:ext xmlns:c16="http://schemas.microsoft.com/office/drawing/2014/chart" uri="{C3380CC4-5D6E-409C-BE32-E72D297353CC}">
              <c16:uniqueId val="{00000000-6A67-4D11-A10F-86689F1487B4}"/>
            </c:ext>
          </c:extLst>
        </c:ser>
        <c:ser>
          <c:idx val="1"/>
          <c:order val="1"/>
          <c:tx>
            <c:v>12.saat</c:v>
          </c:tx>
          <c:invertIfNegative val="0"/>
          <c:errBars>
            <c:errBarType val="both"/>
            <c:errValType val="stdErr"/>
            <c:noEndCap val="0"/>
          </c:errBars>
          <c:cat>
            <c:strRef>
              <c:f>G6PD!$E$59:$E$62</c:f>
              <c:strCache>
                <c:ptCount val="4"/>
                <c:pt idx="0">
                  <c:v> 0 mM </c:v>
                </c:pt>
                <c:pt idx="1">
                  <c:v> 5,5 mM </c:v>
                </c:pt>
                <c:pt idx="2">
                  <c:v> 15 mM </c:v>
                </c:pt>
                <c:pt idx="3">
                  <c:v>55 mM </c:v>
                </c:pt>
              </c:strCache>
            </c:strRef>
          </c:cat>
          <c:val>
            <c:numRef>
              <c:f>G6PD!$C$54:$C$57</c:f>
              <c:numCache>
                <c:formatCode>General</c:formatCode>
                <c:ptCount val="4"/>
                <c:pt idx="0">
                  <c:v>5.1199999999999966</c:v>
                </c:pt>
                <c:pt idx="1">
                  <c:v>6.67</c:v>
                </c:pt>
                <c:pt idx="2">
                  <c:v>4.96</c:v>
                </c:pt>
                <c:pt idx="3">
                  <c:v>3.52</c:v>
                </c:pt>
              </c:numCache>
            </c:numRef>
          </c:val>
          <c:extLst xmlns:c16r2="http://schemas.microsoft.com/office/drawing/2015/06/chart">
            <c:ext xmlns:c16="http://schemas.microsoft.com/office/drawing/2014/chart" uri="{C3380CC4-5D6E-409C-BE32-E72D297353CC}">
              <c16:uniqueId val="{00000001-6A67-4D11-A10F-86689F1487B4}"/>
            </c:ext>
          </c:extLst>
        </c:ser>
        <c:ser>
          <c:idx val="2"/>
          <c:order val="2"/>
          <c:tx>
            <c:v>24.saat</c:v>
          </c:tx>
          <c:invertIfNegative val="0"/>
          <c:errBars>
            <c:errBarType val="both"/>
            <c:errValType val="stdErr"/>
            <c:noEndCap val="0"/>
          </c:errBars>
          <c:cat>
            <c:strRef>
              <c:f>G6PD!$E$59:$E$62</c:f>
              <c:strCache>
                <c:ptCount val="4"/>
                <c:pt idx="0">
                  <c:v> 0 mM </c:v>
                </c:pt>
                <c:pt idx="1">
                  <c:v> 5,5 mM </c:v>
                </c:pt>
                <c:pt idx="2">
                  <c:v> 15 mM </c:v>
                </c:pt>
                <c:pt idx="3">
                  <c:v>55 mM </c:v>
                </c:pt>
              </c:strCache>
            </c:strRef>
          </c:cat>
          <c:val>
            <c:numRef>
              <c:f>G6PD!$C$70:$C$73</c:f>
              <c:numCache>
                <c:formatCode>General</c:formatCode>
                <c:ptCount val="4"/>
                <c:pt idx="0">
                  <c:v>4.76</c:v>
                </c:pt>
                <c:pt idx="1">
                  <c:v>5.4300000000000024</c:v>
                </c:pt>
                <c:pt idx="2">
                  <c:v>5.52</c:v>
                </c:pt>
                <c:pt idx="3">
                  <c:v>5.7700000000000014</c:v>
                </c:pt>
              </c:numCache>
            </c:numRef>
          </c:val>
          <c:extLst xmlns:c16r2="http://schemas.microsoft.com/office/drawing/2015/06/chart">
            <c:ext xmlns:c16="http://schemas.microsoft.com/office/drawing/2014/chart" uri="{C3380CC4-5D6E-409C-BE32-E72D297353CC}">
              <c16:uniqueId val="{00000002-6A67-4D11-A10F-86689F1487B4}"/>
            </c:ext>
          </c:extLst>
        </c:ser>
        <c:ser>
          <c:idx val="3"/>
          <c:order val="3"/>
          <c:tx>
            <c:v>48.saat</c:v>
          </c:tx>
          <c:invertIfNegative val="0"/>
          <c:errBars>
            <c:errBarType val="both"/>
            <c:errValType val="stdErr"/>
            <c:noEndCap val="0"/>
          </c:errBars>
          <c:cat>
            <c:strRef>
              <c:f>G6PD!$E$59:$E$62</c:f>
              <c:strCache>
                <c:ptCount val="4"/>
                <c:pt idx="0">
                  <c:v> 0 mM </c:v>
                </c:pt>
                <c:pt idx="1">
                  <c:v> 5,5 mM </c:v>
                </c:pt>
                <c:pt idx="2">
                  <c:v> 15 mM </c:v>
                </c:pt>
                <c:pt idx="3">
                  <c:v>55 mM </c:v>
                </c:pt>
              </c:strCache>
            </c:strRef>
          </c:cat>
          <c:val>
            <c:numRef>
              <c:f>G6PD!$C$90:$C$93</c:f>
              <c:numCache>
                <c:formatCode>General</c:formatCode>
                <c:ptCount val="4"/>
                <c:pt idx="0">
                  <c:v>4.59</c:v>
                </c:pt>
                <c:pt idx="1">
                  <c:v>2.58</c:v>
                </c:pt>
                <c:pt idx="2">
                  <c:v>5.31</c:v>
                </c:pt>
                <c:pt idx="3">
                  <c:v>5.5</c:v>
                </c:pt>
              </c:numCache>
            </c:numRef>
          </c:val>
          <c:extLst xmlns:c16r2="http://schemas.microsoft.com/office/drawing/2015/06/chart">
            <c:ext xmlns:c16="http://schemas.microsoft.com/office/drawing/2014/chart" uri="{C3380CC4-5D6E-409C-BE32-E72D297353CC}">
              <c16:uniqueId val="{00000003-6A67-4D11-A10F-86689F1487B4}"/>
            </c:ext>
          </c:extLst>
        </c:ser>
        <c:dLbls>
          <c:showLegendKey val="0"/>
          <c:showVal val="0"/>
          <c:showCatName val="0"/>
          <c:showSerName val="0"/>
          <c:showPercent val="0"/>
          <c:showBubbleSize val="0"/>
        </c:dLbls>
        <c:gapWidth val="150"/>
        <c:axId val="407827200"/>
        <c:axId val="407829120"/>
      </c:barChart>
      <c:catAx>
        <c:axId val="407827200"/>
        <c:scaling>
          <c:orientation val="minMax"/>
        </c:scaling>
        <c:delete val="0"/>
        <c:axPos val="b"/>
        <c:title>
          <c:tx>
            <c:rich>
              <a:bodyPr/>
              <a:lstStyle/>
              <a:p>
                <a:pPr>
                  <a:defRPr/>
                </a:pPr>
                <a:r>
                  <a:rPr lang="tr-TR"/>
                  <a:t>HİPOKSİ</a:t>
                </a:r>
              </a:p>
            </c:rich>
          </c:tx>
          <c:layout>
            <c:manualLayout>
              <c:xMode val="edge"/>
              <c:yMode val="edge"/>
              <c:x val="0.42084208223972186"/>
              <c:y val="4.0717410323709832E-2"/>
            </c:manualLayout>
          </c:layout>
          <c:overlay val="0"/>
        </c:title>
        <c:numFmt formatCode="General" sourceLinked="1"/>
        <c:majorTickMark val="out"/>
        <c:minorTickMark val="none"/>
        <c:tickLblPos val="nextTo"/>
        <c:crossAx val="407829120"/>
        <c:crosses val="autoZero"/>
        <c:auto val="1"/>
        <c:lblAlgn val="ctr"/>
        <c:lblOffset val="100"/>
        <c:noMultiLvlLbl val="0"/>
      </c:catAx>
      <c:valAx>
        <c:axId val="407829120"/>
        <c:scaling>
          <c:orientation val="minMax"/>
        </c:scaling>
        <c:delete val="0"/>
        <c:axPos val="l"/>
        <c:title>
          <c:tx>
            <c:rich>
              <a:bodyPr rot="-5400000" vert="horz"/>
              <a:lstStyle/>
              <a:p>
                <a:pPr>
                  <a:defRPr/>
                </a:pPr>
                <a:r>
                  <a:rPr lang="tr-TR"/>
                  <a:t>G6PD ng/mL</a:t>
                </a:r>
              </a:p>
            </c:rich>
          </c:tx>
          <c:layout>
            <c:manualLayout>
              <c:xMode val="edge"/>
              <c:yMode val="edge"/>
              <c:x val="1.388888888888897E-2"/>
              <c:y val="0.33359179060950833"/>
            </c:manualLayout>
          </c:layout>
          <c:overlay val="0"/>
        </c:title>
        <c:numFmt formatCode="General" sourceLinked="1"/>
        <c:majorTickMark val="out"/>
        <c:minorTickMark val="none"/>
        <c:tickLblPos val="nextTo"/>
        <c:crossAx val="40782720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tr-TR" sz="1000"/>
              <a:t>0 mM Glukoz</a:t>
            </a:r>
          </a:p>
        </c:rich>
      </c:tx>
      <c:layout>
        <c:manualLayout>
          <c:xMode val="edge"/>
          <c:yMode val="edge"/>
          <c:x val="0.39352077865266977"/>
          <c:y val="5.5555555555555462E-2"/>
        </c:manualLayout>
      </c:layout>
      <c:overlay val="0"/>
    </c:title>
    <c:autoTitleDeleted val="0"/>
    <c:plotArea>
      <c:layout>
        <c:manualLayout>
          <c:layoutTarget val="inner"/>
          <c:xMode val="edge"/>
          <c:yMode val="edge"/>
          <c:x val="0.17781802274715691"/>
          <c:y val="0.18091462525517643"/>
          <c:w val="0.77773753280840696"/>
          <c:h val="0.54261555847185772"/>
        </c:manualLayout>
      </c:layout>
      <c:barChart>
        <c:barDir val="col"/>
        <c:grouping val="clustered"/>
        <c:varyColors val="0"/>
        <c:ser>
          <c:idx val="0"/>
          <c:order val="0"/>
          <c:tx>
            <c:v>normoksi</c:v>
          </c:tx>
          <c:invertIfNegative val="0"/>
          <c:errBars>
            <c:errBarType val="both"/>
            <c:errValType val="stdErr"/>
            <c:noEndCap val="0"/>
          </c:errBars>
          <c:cat>
            <c:strRef>
              <c:f>G6PD!$E$37:$E$40</c:f>
              <c:strCache>
                <c:ptCount val="4"/>
                <c:pt idx="0">
                  <c:v>6.saat</c:v>
                </c:pt>
                <c:pt idx="1">
                  <c:v>12.saat</c:v>
                </c:pt>
                <c:pt idx="2">
                  <c:v>24.saat</c:v>
                </c:pt>
                <c:pt idx="3">
                  <c:v>48.saat</c:v>
                </c:pt>
              </c:strCache>
            </c:strRef>
          </c:cat>
          <c:val>
            <c:numRef>
              <c:f>'[ELISA SONUÇLAR SON.xlsx]G6PD'!$C$37,'[ELISA SONUÇLAR SON.xlsx]G6PD'!$C$50,'[ELISA SONUÇLAR SON.xlsx]G6PD'!$C$66,'[ELISA SONUÇLAR SON.xlsx]G6PD'!$C$86</c:f>
              <c:numCache>
                <c:formatCode>General</c:formatCode>
                <c:ptCount val="4"/>
                <c:pt idx="0">
                  <c:v>10.43</c:v>
                </c:pt>
                <c:pt idx="1">
                  <c:v>5.57</c:v>
                </c:pt>
                <c:pt idx="2">
                  <c:v>7.17</c:v>
                </c:pt>
                <c:pt idx="3">
                  <c:v>5.68</c:v>
                </c:pt>
              </c:numCache>
            </c:numRef>
          </c:val>
          <c:extLst xmlns:c16r2="http://schemas.microsoft.com/office/drawing/2015/06/chart">
            <c:ext xmlns:c16="http://schemas.microsoft.com/office/drawing/2014/chart" uri="{C3380CC4-5D6E-409C-BE32-E72D297353CC}">
              <c16:uniqueId val="{00000000-8EF5-4143-8670-D6FBB0F0224A}"/>
            </c:ext>
          </c:extLst>
        </c:ser>
        <c:ser>
          <c:idx val="1"/>
          <c:order val="1"/>
          <c:tx>
            <c:v>hipoksi</c:v>
          </c:tx>
          <c:invertIfNegative val="0"/>
          <c:errBars>
            <c:errBarType val="both"/>
            <c:errValType val="stdErr"/>
            <c:noEndCap val="0"/>
          </c:errBars>
          <c:cat>
            <c:strRef>
              <c:f>G6PD!$E$37:$E$40</c:f>
              <c:strCache>
                <c:ptCount val="4"/>
                <c:pt idx="0">
                  <c:v>6.saat</c:v>
                </c:pt>
                <c:pt idx="1">
                  <c:v>12.saat</c:v>
                </c:pt>
                <c:pt idx="2">
                  <c:v>24.saat</c:v>
                </c:pt>
                <c:pt idx="3">
                  <c:v>48.saat</c:v>
                </c:pt>
              </c:strCache>
            </c:strRef>
          </c:cat>
          <c:val>
            <c:numRef>
              <c:f>'[ELISA SONUÇLAR SON.xlsx]G6PD'!$C$41,'[ELISA SONUÇLAR SON.xlsx]G6PD'!$C$54,'[ELISA SONUÇLAR SON.xlsx]G6PD'!$C$70,'[ELISA SONUÇLAR SON.xlsx]G6PD'!$C$90</c:f>
              <c:numCache>
                <c:formatCode>General</c:formatCode>
                <c:ptCount val="4"/>
                <c:pt idx="0">
                  <c:v>7.09</c:v>
                </c:pt>
                <c:pt idx="1">
                  <c:v>5.1199999999999966</c:v>
                </c:pt>
                <c:pt idx="2">
                  <c:v>4.76</c:v>
                </c:pt>
                <c:pt idx="3">
                  <c:v>4.59</c:v>
                </c:pt>
              </c:numCache>
            </c:numRef>
          </c:val>
          <c:extLst xmlns:c16r2="http://schemas.microsoft.com/office/drawing/2015/06/chart">
            <c:ext xmlns:c16="http://schemas.microsoft.com/office/drawing/2014/chart" uri="{C3380CC4-5D6E-409C-BE32-E72D297353CC}">
              <c16:uniqueId val="{00000001-8EF5-4143-8670-D6FBB0F0224A}"/>
            </c:ext>
          </c:extLst>
        </c:ser>
        <c:dLbls>
          <c:showLegendKey val="0"/>
          <c:showVal val="0"/>
          <c:showCatName val="0"/>
          <c:showSerName val="0"/>
          <c:showPercent val="0"/>
          <c:showBubbleSize val="0"/>
        </c:dLbls>
        <c:gapWidth val="150"/>
        <c:axId val="390493312"/>
        <c:axId val="390494848"/>
      </c:barChart>
      <c:catAx>
        <c:axId val="390493312"/>
        <c:scaling>
          <c:orientation val="minMax"/>
        </c:scaling>
        <c:delete val="0"/>
        <c:axPos val="b"/>
        <c:numFmt formatCode="General" sourceLinked="0"/>
        <c:majorTickMark val="none"/>
        <c:minorTickMark val="none"/>
        <c:tickLblPos val="nextTo"/>
        <c:crossAx val="390494848"/>
        <c:crosses val="autoZero"/>
        <c:auto val="1"/>
        <c:lblAlgn val="ctr"/>
        <c:lblOffset val="100"/>
        <c:noMultiLvlLbl val="0"/>
      </c:catAx>
      <c:valAx>
        <c:axId val="390494848"/>
        <c:scaling>
          <c:orientation val="minMax"/>
        </c:scaling>
        <c:delete val="0"/>
        <c:axPos val="l"/>
        <c:title>
          <c:tx>
            <c:rich>
              <a:bodyPr/>
              <a:lstStyle/>
              <a:p>
                <a:pPr>
                  <a:defRPr sz="1000"/>
                </a:pPr>
                <a:r>
                  <a:rPr lang="tr-TR" sz="1000"/>
                  <a:t>G6PD ng/mL</a:t>
                </a:r>
              </a:p>
            </c:rich>
          </c:tx>
          <c:layout>
            <c:manualLayout>
              <c:xMode val="edge"/>
              <c:yMode val="edge"/>
              <c:x val="4.8630577427821522E-2"/>
              <c:y val="0.30650481189851336"/>
            </c:manualLayout>
          </c:layout>
          <c:overlay val="0"/>
        </c:title>
        <c:numFmt formatCode="General" sourceLinked="1"/>
        <c:majorTickMark val="none"/>
        <c:minorTickMark val="none"/>
        <c:tickLblPos val="nextTo"/>
        <c:crossAx val="39049331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5,5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overlay val="0"/>
    </c:title>
    <c:autoTitleDeleted val="0"/>
    <c:plotArea>
      <c:layout>
        <c:manualLayout>
          <c:layoutTarget val="inner"/>
          <c:xMode val="edge"/>
          <c:yMode val="edge"/>
          <c:x val="0.17781802274715691"/>
          <c:y val="0.14237277631962617"/>
          <c:w val="0.77773753280840696"/>
          <c:h val="0.57652777777777753"/>
        </c:manualLayout>
      </c:layout>
      <c:barChart>
        <c:barDir val="col"/>
        <c:grouping val="clustered"/>
        <c:varyColors val="0"/>
        <c:ser>
          <c:idx val="0"/>
          <c:order val="0"/>
          <c:tx>
            <c:v>normoksi</c:v>
          </c:tx>
          <c:invertIfNegative val="0"/>
          <c:errBars>
            <c:errBarType val="both"/>
            <c:errValType val="stdErr"/>
            <c:noEndCap val="0"/>
          </c:errBars>
          <c:cat>
            <c:strRef>
              <c:f>G6PD!$E$37:$E$40</c:f>
              <c:strCache>
                <c:ptCount val="4"/>
                <c:pt idx="0">
                  <c:v>6.saat</c:v>
                </c:pt>
                <c:pt idx="1">
                  <c:v>12.saat</c:v>
                </c:pt>
                <c:pt idx="2">
                  <c:v>24.saat</c:v>
                </c:pt>
                <c:pt idx="3">
                  <c:v>48.saat</c:v>
                </c:pt>
              </c:strCache>
            </c:strRef>
          </c:cat>
          <c:val>
            <c:numRef>
              <c:f>'[ELISA SONUÇLAR SON.xlsx]G6PD'!$C$38,'[ELISA SONUÇLAR SON.xlsx]G6PD'!$C$51,'[ELISA SONUÇLAR SON.xlsx]G6PD'!$C$67,'[ELISA SONUÇLAR SON.xlsx]G6PD'!$C$87</c:f>
              <c:numCache>
                <c:formatCode>General</c:formatCode>
                <c:ptCount val="4"/>
                <c:pt idx="0">
                  <c:v>13.44</c:v>
                </c:pt>
                <c:pt idx="1">
                  <c:v>6.48</c:v>
                </c:pt>
                <c:pt idx="2">
                  <c:v>7.75</c:v>
                </c:pt>
                <c:pt idx="3">
                  <c:v>9.09</c:v>
                </c:pt>
              </c:numCache>
            </c:numRef>
          </c:val>
          <c:extLst xmlns:c16r2="http://schemas.microsoft.com/office/drawing/2015/06/chart">
            <c:ext xmlns:c16="http://schemas.microsoft.com/office/drawing/2014/chart" uri="{C3380CC4-5D6E-409C-BE32-E72D297353CC}">
              <c16:uniqueId val="{00000000-56B1-4ED6-B994-27A2A892289F}"/>
            </c:ext>
          </c:extLst>
        </c:ser>
        <c:ser>
          <c:idx val="1"/>
          <c:order val="1"/>
          <c:tx>
            <c:v>hipoksi</c:v>
          </c:tx>
          <c:invertIfNegative val="0"/>
          <c:errBars>
            <c:errBarType val="both"/>
            <c:errValType val="stdErr"/>
            <c:noEndCap val="0"/>
          </c:errBars>
          <c:cat>
            <c:strRef>
              <c:f>G6PD!$E$37:$E$40</c:f>
              <c:strCache>
                <c:ptCount val="4"/>
                <c:pt idx="0">
                  <c:v>6.saat</c:v>
                </c:pt>
                <c:pt idx="1">
                  <c:v>12.saat</c:v>
                </c:pt>
                <c:pt idx="2">
                  <c:v>24.saat</c:v>
                </c:pt>
                <c:pt idx="3">
                  <c:v>48.saat</c:v>
                </c:pt>
              </c:strCache>
            </c:strRef>
          </c:cat>
          <c:val>
            <c:numRef>
              <c:f>'[ELISA SONUÇLAR SON.xlsx]G6PD'!$C$42,'[ELISA SONUÇLAR SON.xlsx]G6PD'!$C$55,'[ELISA SONUÇLAR SON.xlsx]G6PD'!$C$71,'[ELISA SONUÇLAR SON.xlsx]G6PD'!$C$91</c:f>
              <c:numCache>
                <c:formatCode>General</c:formatCode>
                <c:ptCount val="4"/>
                <c:pt idx="0">
                  <c:v>9</c:v>
                </c:pt>
                <c:pt idx="1">
                  <c:v>6.67</c:v>
                </c:pt>
                <c:pt idx="2">
                  <c:v>5.4300000000000024</c:v>
                </c:pt>
                <c:pt idx="3">
                  <c:v>2.58</c:v>
                </c:pt>
              </c:numCache>
            </c:numRef>
          </c:val>
          <c:extLst xmlns:c16r2="http://schemas.microsoft.com/office/drawing/2015/06/chart">
            <c:ext xmlns:c16="http://schemas.microsoft.com/office/drawing/2014/chart" uri="{C3380CC4-5D6E-409C-BE32-E72D297353CC}">
              <c16:uniqueId val="{00000001-56B1-4ED6-B994-27A2A892289F}"/>
            </c:ext>
          </c:extLst>
        </c:ser>
        <c:dLbls>
          <c:showLegendKey val="0"/>
          <c:showVal val="0"/>
          <c:showCatName val="0"/>
          <c:showSerName val="0"/>
          <c:showPercent val="0"/>
          <c:showBubbleSize val="0"/>
        </c:dLbls>
        <c:gapWidth val="150"/>
        <c:axId val="407851392"/>
        <c:axId val="407852928"/>
      </c:barChart>
      <c:catAx>
        <c:axId val="407851392"/>
        <c:scaling>
          <c:orientation val="minMax"/>
        </c:scaling>
        <c:delete val="0"/>
        <c:axPos val="b"/>
        <c:numFmt formatCode="General" sourceLinked="0"/>
        <c:majorTickMark val="none"/>
        <c:minorTickMark val="none"/>
        <c:tickLblPos val="nextTo"/>
        <c:crossAx val="407852928"/>
        <c:crosses val="autoZero"/>
        <c:auto val="1"/>
        <c:lblAlgn val="ctr"/>
        <c:lblOffset val="100"/>
        <c:noMultiLvlLbl val="0"/>
      </c:catAx>
      <c:valAx>
        <c:axId val="407852928"/>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G6PD ng/mL</a:t>
                </a:r>
              </a:p>
            </c:rich>
          </c:tx>
          <c:layout>
            <c:manualLayout>
              <c:xMode val="edge"/>
              <c:yMode val="edge"/>
              <c:x val="4.1666666666666664E-2"/>
              <c:y val="0.28409740449110416"/>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40785139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tr-TR" sz="1000"/>
              <a:t>15 mM Glukoz</a:t>
            </a:r>
          </a:p>
        </c:rich>
      </c:tx>
      <c:overlay val="0"/>
    </c:title>
    <c:autoTitleDeleted val="0"/>
    <c:plotArea>
      <c:layout>
        <c:manualLayout>
          <c:layoutTarget val="inner"/>
          <c:xMode val="edge"/>
          <c:yMode val="edge"/>
          <c:x val="0.17781802274715691"/>
          <c:y val="0.15626166520851537"/>
          <c:w val="0.77773753280840696"/>
          <c:h val="0.57652777777777753"/>
        </c:manualLayout>
      </c:layout>
      <c:barChart>
        <c:barDir val="col"/>
        <c:grouping val="clustered"/>
        <c:varyColors val="0"/>
        <c:ser>
          <c:idx val="0"/>
          <c:order val="0"/>
          <c:tx>
            <c:v>normoksi</c:v>
          </c:tx>
          <c:invertIfNegative val="0"/>
          <c:errBars>
            <c:errBarType val="both"/>
            <c:errValType val="stdErr"/>
            <c:noEndCap val="0"/>
          </c:errBars>
          <c:cat>
            <c:strRef>
              <c:f>G6PD!$E$37:$E$40</c:f>
              <c:strCache>
                <c:ptCount val="4"/>
                <c:pt idx="0">
                  <c:v>6.saat</c:v>
                </c:pt>
                <c:pt idx="1">
                  <c:v>12.saat</c:v>
                </c:pt>
                <c:pt idx="2">
                  <c:v>24.saat</c:v>
                </c:pt>
                <c:pt idx="3">
                  <c:v>48.saat</c:v>
                </c:pt>
              </c:strCache>
            </c:strRef>
          </c:cat>
          <c:val>
            <c:numRef>
              <c:f>'[ELISA SONUÇLAR SON.xlsx]G6PD'!$C$39,'[ELISA SONUÇLAR SON.xlsx]G6PD'!$C$52,'[ELISA SONUÇLAR SON.xlsx]G6PD'!$C$68,'[ELISA SONUÇLAR SON.xlsx]G6PD'!$C$88</c:f>
              <c:numCache>
                <c:formatCode>General</c:formatCode>
                <c:ptCount val="4"/>
                <c:pt idx="0">
                  <c:v>13.19</c:v>
                </c:pt>
                <c:pt idx="1">
                  <c:v>8</c:v>
                </c:pt>
                <c:pt idx="2">
                  <c:v>5.8</c:v>
                </c:pt>
                <c:pt idx="3">
                  <c:v>7.09</c:v>
                </c:pt>
              </c:numCache>
            </c:numRef>
          </c:val>
          <c:extLst xmlns:c16r2="http://schemas.microsoft.com/office/drawing/2015/06/chart">
            <c:ext xmlns:c16="http://schemas.microsoft.com/office/drawing/2014/chart" uri="{C3380CC4-5D6E-409C-BE32-E72D297353CC}">
              <c16:uniqueId val="{00000000-9465-4891-8738-7E158BC5D060}"/>
            </c:ext>
          </c:extLst>
        </c:ser>
        <c:ser>
          <c:idx val="1"/>
          <c:order val="1"/>
          <c:tx>
            <c:v>hipoksi</c:v>
          </c:tx>
          <c:invertIfNegative val="0"/>
          <c:errBars>
            <c:errBarType val="both"/>
            <c:errValType val="stdErr"/>
            <c:noEndCap val="0"/>
          </c:errBars>
          <c:cat>
            <c:strRef>
              <c:f>G6PD!$E$37:$E$40</c:f>
              <c:strCache>
                <c:ptCount val="4"/>
                <c:pt idx="0">
                  <c:v>6.saat</c:v>
                </c:pt>
                <c:pt idx="1">
                  <c:v>12.saat</c:v>
                </c:pt>
                <c:pt idx="2">
                  <c:v>24.saat</c:v>
                </c:pt>
                <c:pt idx="3">
                  <c:v>48.saat</c:v>
                </c:pt>
              </c:strCache>
            </c:strRef>
          </c:cat>
          <c:val>
            <c:numRef>
              <c:f>'[ELISA SONUÇLAR SON.xlsx]G6PD'!$C$43,'[ELISA SONUÇLAR SON.xlsx]G6PD'!$C$56,'[ELISA SONUÇLAR SON.xlsx]G6PD'!$C$72,'[ELISA SONUÇLAR SON.xlsx]G6PD'!$C$92</c:f>
              <c:numCache>
                <c:formatCode>General</c:formatCode>
                <c:ptCount val="4"/>
                <c:pt idx="0">
                  <c:v>8.93</c:v>
                </c:pt>
                <c:pt idx="1">
                  <c:v>4.96</c:v>
                </c:pt>
                <c:pt idx="2">
                  <c:v>5.52</c:v>
                </c:pt>
                <c:pt idx="3">
                  <c:v>5.31</c:v>
                </c:pt>
              </c:numCache>
            </c:numRef>
          </c:val>
          <c:extLst xmlns:c16r2="http://schemas.microsoft.com/office/drawing/2015/06/chart">
            <c:ext xmlns:c16="http://schemas.microsoft.com/office/drawing/2014/chart" uri="{C3380CC4-5D6E-409C-BE32-E72D297353CC}">
              <c16:uniqueId val="{00000001-9465-4891-8738-7E158BC5D060}"/>
            </c:ext>
          </c:extLst>
        </c:ser>
        <c:dLbls>
          <c:showLegendKey val="0"/>
          <c:showVal val="0"/>
          <c:showCatName val="0"/>
          <c:showSerName val="0"/>
          <c:showPercent val="0"/>
          <c:showBubbleSize val="0"/>
        </c:dLbls>
        <c:gapWidth val="150"/>
        <c:axId val="407920000"/>
        <c:axId val="407925888"/>
      </c:barChart>
      <c:catAx>
        <c:axId val="407920000"/>
        <c:scaling>
          <c:orientation val="minMax"/>
        </c:scaling>
        <c:delete val="0"/>
        <c:axPos val="b"/>
        <c:numFmt formatCode="General" sourceLinked="0"/>
        <c:majorTickMark val="none"/>
        <c:minorTickMark val="none"/>
        <c:tickLblPos val="nextTo"/>
        <c:crossAx val="407925888"/>
        <c:crosses val="autoZero"/>
        <c:auto val="1"/>
        <c:lblAlgn val="ctr"/>
        <c:lblOffset val="100"/>
        <c:noMultiLvlLbl val="0"/>
      </c:catAx>
      <c:valAx>
        <c:axId val="407925888"/>
        <c:scaling>
          <c:orientation val="minMax"/>
        </c:scaling>
        <c:delete val="0"/>
        <c:axPos val="l"/>
        <c:title>
          <c:tx>
            <c:rich>
              <a:bodyPr/>
              <a:lstStyle/>
              <a:p>
                <a:pPr>
                  <a:defRPr sz="1000"/>
                </a:pPr>
                <a:r>
                  <a:rPr lang="tr-TR" sz="1000"/>
                  <a:t>G6PD ng/mL</a:t>
                </a:r>
              </a:p>
            </c:rich>
          </c:tx>
          <c:layout>
            <c:manualLayout>
              <c:xMode val="edge"/>
              <c:yMode val="edge"/>
              <c:x val="4.7222222222222332E-2"/>
              <c:y val="0.30261592300962753"/>
            </c:manualLayout>
          </c:layout>
          <c:overlay val="0"/>
        </c:title>
        <c:numFmt formatCode="General" sourceLinked="1"/>
        <c:majorTickMark val="none"/>
        <c:minorTickMark val="none"/>
        <c:tickLblPos val="nextTo"/>
        <c:crossAx val="40792000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tr-TR" sz="1000"/>
              <a:t>55 mM Glukoz</a:t>
            </a:r>
          </a:p>
        </c:rich>
      </c:tx>
      <c:layout>
        <c:manualLayout>
          <c:xMode val="edge"/>
          <c:yMode val="edge"/>
          <c:x val="0.39181933508311495"/>
          <c:y val="5.0925925925925923E-2"/>
        </c:manualLayout>
      </c:layout>
      <c:overlay val="0"/>
    </c:title>
    <c:autoTitleDeleted val="0"/>
    <c:plotArea>
      <c:layout>
        <c:manualLayout>
          <c:layoutTarget val="inner"/>
          <c:xMode val="edge"/>
          <c:yMode val="edge"/>
          <c:x val="0.17781802274715691"/>
          <c:y val="0.16702573636628754"/>
          <c:w val="0.77773753280840696"/>
          <c:h val="0.54261555847185772"/>
        </c:manualLayout>
      </c:layout>
      <c:barChart>
        <c:barDir val="col"/>
        <c:grouping val="clustered"/>
        <c:varyColors val="0"/>
        <c:ser>
          <c:idx val="0"/>
          <c:order val="0"/>
          <c:tx>
            <c:v>normoksi</c:v>
          </c:tx>
          <c:invertIfNegative val="0"/>
          <c:errBars>
            <c:errBarType val="both"/>
            <c:errValType val="stdErr"/>
            <c:noEndCap val="0"/>
          </c:errBars>
          <c:cat>
            <c:strRef>
              <c:f>G6PD!$E$37:$E$40</c:f>
              <c:strCache>
                <c:ptCount val="4"/>
                <c:pt idx="0">
                  <c:v>6.saat</c:v>
                </c:pt>
                <c:pt idx="1">
                  <c:v>12.saat</c:v>
                </c:pt>
                <c:pt idx="2">
                  <c:v>24.saat</c:v>
                </c:pt>
                <c:pt idx="3">
                  <c:v>48.saat</c:v>
                </c:pt>
              </c:strCache>
            </c:strRef>
          </c:cat>
          <c:val>
            <c:numRef>
              <c:f>'[ELISA SONUÇLAR SON.xlsx]G6PD'!$C$40,'[ELISA SONUÇLAR SON.xlsx]G6PD'!$C$53,'[ELISA SONUÇLAR SON.xlsx]G6PD'!$C$69,'[ELISA SONUÇLAR SON.xlsx]G6PD'!$C$89</c:f>
              <c:numCache>
                <c:formatCode>General</c:formatCode>
                <c:ptCount val="4"/>
                <c:pt idx="0">
                  <c:v>10.4</c:v>
                </c:pt>
                <c:pt idx="1">
                  <c:v>6.1199999999999966</c:v>
                </c:pt>
                <c:pt idx="2">
                  <c:v>5.83</c:v>
                </c:pt>
                <c:pt idx="3">
                  <c:v>6.56</c:v>
                </c:pt>
              </c:numCache>
            </c:numRef>
          </c:val>
          <c:extLst xmlns:c16r2="http://schemas.microsoft.com/office/drawing/2015/06/chart">
            <c:ext xmlns:c16="http://schemas.microsoft.com/office/drawing/2014/chart" uri="{C3380CC4-5D6E-409C-BE32-E72D297353CC}">
              <c16:uniqueId val="{00000000-3316-4A62-B131-4A2050FF66C4}"/>
            </c:ext>
          </c:extLst>
        </c:ser>
        <c:ser>
          <c:idx val="1"/>
          <c:order val="1"/>
          <c:tx>
            <c:v>hipoksi</c:v>
          </c:tx>
          <c:invertIfNegative val="0"/>
          <c:errBars>
            <c:errBarType val="both"/>
            <c:errValType val="stdErr"/>
            <c:noEndCap val="0"/>
          </c:errBars>
          <c:cat>
            <c:strRef>
              <c:f>G6PD!$E$37:$E$40</c:f>
              <c:strCache>
                <c:ptCount val="4"/>
                <c:pt idx="0">
                  <c:v>6.saat</c:v>
                </c:pt>
                <c:pt idx="1">
                  <c:v>12.saat</c:v>
                </c:pt>
                <c:pt idx="2">
                  <c:v>24.saat</c:v>
                </c:pt>
                <c:pt idx="3">
                  <c:v>48.saat</c:v>
                </c:pt>
              </c:strCache>
            </c:strRef>
          </c:cat>
          <c:val>
            <c:numRef>
              <c:f>'[ELISA SONUÇLAR SON.xlsx]G6PD'!$C$44,'[ELISA SONUÇLAR SON.xlsx]G6PD'!$C$57,'[ELISA SONUÇLAR SON.xlsx]G6PD'!$C$73,'[ELISA SONUÇLAR SON.xlsx]G6PD'!$C$93</c:f>
              <c:numCache>
                <c:formatCode>General</c:formatCode>
                <c:ptCount val="4"/>
                <c:pt idx="0">
                  <c:v>8.64</c:v>
                </c:pt>
                <c:pt idx="1">
                  <c:v>3.52</c:v>
                </c:pt>
                <c:pt idx="2">
                  <c:v>5.7700000000000014</c:v>
                </c:pt>
                <c:pt idx="3">
                  <c:v>5.5</c:v>
                </c:pt>
              </c:numCache>
            </c:numRef>
          </c:val>
          <c:extLst xmlns:c16r2="http://schemas.microsoft.com/office/drawing/2015/06/chart">
            <c:ext xmlns:c16="http://schemas.microsoft.com/office/drawing/2014/chart" uri="{C3380CC4-5D6E-409C-BE32-E72D297353CC}">
              <c16:uniqueId val="{00000001-3316-4A62-B131-4A2050FF66C4}"/>
            </c:ext>
          </c:extLst>
        </c:ser>
        <c:dLbls>
          <c:showLegendKey val="0"/>
          <c:showVal val="0"/>
          <c:showCatName val="0"/>
          <c:showSerName val="0"/>
          <c:showPercent val="0"/>
          <c:showBubbleSize val="0"/>
        </c:dLbls>
        <c:gapWidth val="150"/>
        <c:axId val="408697472"/>
        <c:axId val="408711552"/>
      </c:barChart>
      <c:catAx>
        <c:axId val="408697472"/>
        <c:scaling>
          <c:orientation val="minMax"/>
        </c:scaling>
        <c:delete val="0"/>
        <c:axPos val="b"/>
        <c:numFmt formatCode="General" sourceLinked="0"/>
        <c:majorTickMark val="none"/>
        <c:minorTickMark val="none"/>
        <c:tickLblPos val="nextTo"/>
        <c:crossAx val="408711552"/>
        <c:crosses val="autoZero"/>
        <c:auto val="1"/>
        <c:lblAlgn val="ctr"/>
        <c:lblOffset val="100"/>
        <c:noMultiLvlLbl val="0"/>
      </c:catAx>
      <c:valAx>
        <c:axId val="408711552"/>
        <c:scaling>
          <c:orientation val="minMax"/>
        </c:scaling>
        <c:delete val="0"/>
        <c:axPos val="l"/>
        <c:title>
          <c:tx>
            <c:rich>
              <a:bodyPr/>
              <a:lstStyle/>
              <a:p>
                <a:pPr>
                  <a:defRPr sz="1000"/>
                </a:pPr>
                <a:r>
                  <a:rPr lang="tr-TR" sz="1000"/>
                  <a:t>G6PD ng/mL</a:t>
                </a:r>
              </a:p>
            </c:rich>
          </c:tx>
          <c:layout>
            <c:manualLayout>
              <c:xMode val="edge"/>
              <c:yMode val="edge"/>
              <c:x val="6.1579615048118992E-2"/>
              <c:y val="0.31957203266258388"/>
            </c:manualLayout>
          </c:layout>
          <c:overlay val="0"/>
        </c:title>
        <c:numFmt formatCode="General" sourceLinked="1"/>
        <c:majorTickMark val="none"/>
        <c:minorTickMark val="none"/>
        <c:tickLblPos val="nextTo"/>
        <c:crossAx val="40869747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380343546166"/>
          <c:y val="9.7696850393701268E-2"/>
          <c:w val="0.69957558275512599"/>
          <c:h val="0.77044728783902061"/>
        </c:manualLayout>
      </c:layout>
      <c:lineChart>
        <c:grouping val="standard"/>
        <c:varyColors val="0"/>
        <c:ser>
          <c:idx val="0"/>
          <c:order val="0"/>
          <c:tx>
            <c:v>0 mM</c:v>
          </c:tx>
          <c:errBars>
            <c:errDir val="y"/>
            <c:errBarType val="both"/>
            <c:errValType val="stdErr"/>
            <c:noEndCap val="0"/>
          </c:errBars>
          <c:cat>
            <c:strRef>
              <c:f>'HK2'!$Q$35:$Q$38</c:f>
              <c:strCache>
                <c:ptCount val="4"/>
                <c:pt idx="0">
                  <c:v>6.saat</c:v>
                </c:pt>
                <c:pt idx="1">
                  <c:v>12.saat</c:v>
                </c:pt>
                <c:pt idx="2">
                  <c:v>24.saat</c:v>
                </c:pt>
                <c:pt idx="3">
                  <c:v>48.saat</c:v>
                </c:pt>
              </c:strCache>
            </c:strRef>
          </c:cat>
          <c:val>
            <c:numRef>
              <c:f>('HK2'!$C$35,'HK2'!$C$48,'HK2'!$C$64,'HK2'!$C$84)</c:f>
              <c:numCache>
                <c:formatCode>General</c:formatCode>
                <c:ptCount val="4"/>
                <c:pt idx="0">
                  <c:v>206</c:v>
                </c:pt>
                <c:pt idx="1">
                  <c:v>208</c:v>
                </c:pt>
                <c:pt idx="2">
                  <c:v>212</c:v>
                </c:pt>
                <c:pt idx="3">
                  <c:v>210</c:v>
                </c:pt>
              </c:numCache>
            </c:numRef>
          </c:val>
          <c:smooth val="0"/>
          <c:extLst xmlns:c16r2="http://schemas.microsoft.com/office/drawing/2015/06/chart">
            <c:ext xmlns:c16="http://schemas.microsoft.com/office/drawing/2014/chart" uri="{C3380CC4-5D6E-409C-BE32-E72D297353CC}">
              <c16:uniqueId val="{00000000-259A-421D-849E-AB9B6502ECF3}"/>
            </c:ext>
          </c:extLst>
        </c:ser>
        <c:ser>
          <c:idx val="1"/>
          <c:order val="1"/>
          <c:tx>
            <c:v>5,5 mM</c:v>
          </c:tx>
          <c:errBars>
            <c:errDir val="y"/>
            <c:errBarType val="both"/>
            <c:errValType val="stdErr"/>
            <c:noEndCap val="0"/>
          </c:errBars>
          <c:cat>
            <c:strRef>
              <c:f>'HK2'!$Q$35:$Q$38</c:f>
              <c:strCache>
                <c:ptCount val="4"/>
                <c:pt idx="0">
                  <c:v>6.saat</c:v>
                </c:pt>
                <c:pt idx="1">
                  <c:v>12.saat</c:v>
                </c:pt>
                <c:pt idx="2">
                  <c:v>24.saat</c:v>
                </c:pt>
                <c:pt idx="3">
                  <c:v>48.saat</c:v>
                </c:pt>
              </c:strCache>
            </c:strRef>
          </c:cat>
          <c:val>
            <c:numRef>
              <c:f>('HK2'!$C$36,'HK2'!$C$49,'HK2'!$C$65,'HK2'!$C$85)</c:f>
              <c:numCache>
                <c:formatCode>General</c:formatCode>
                <c:ptCount val="4"/>
                <c:pt idx="0">
                  <c:v>196</c:v>
                </c:pt>
                <c:pt idx="1">
                  <c:v>160</c:v>
                </c:pt>
                <c:pt idx="2">
                  <c:v>118</c:v>
                </c:pt>
                <c:pt idx="3">
                  <c:v>126</c:v>
                </c:pt>
              </c:numCache>
            </c:numRef>
          </c:val>
          <c:smooth val="0"/>
          <c:extLst xmlns:c16r2="http://schemas.microsoft.com/office/drawing/2015/06/chart">
            <c:ext xmlns:c16="http://schemas.microsoft.com/office/drawing/2014/chart" uri="{C3380CC4-5D6E-409C-BE32-E72D297353CC}">
              <c16:uniqueId val="{00000001-259A-421D-849E-AB9B6502ECF3}"/>
            </c:ext>
          </c:extLst>
        </c:ser>
        <c:ser>
          <c:idx val="2"/>
          <c:order val="2"/>
          <c:tx>
            <c:v>15 mM</c:v>
          </c:tx>
          <c:errBars>
            <c:errDir val="y"/>
            <c:errBarType val="both"/>
            <c:errValType val="stdErr"/>
            <c:noEndCap val="0"/>
          </c:errBars>
          <c:cat>
            <c:strRef>
              <c:f>'HK2'!$Q$35:$Q$38</c:f>
              <c:strCache>
                <c:ptCount val="4"/>
                <c:pt idx="0">
                  <c:v>6.saat</c:v>
                </c:pt>
                <c:pt idx="1">
                  <c:v>12.saat</c:v>
                </c:pt>
                <c:pt idx="2">
                  <c:v>24.saat</c:v>
                </c:pt>
                <c:pt idx="3">
                  <c:v>48.saat</c:v>
                </c:pt>
              </c:strCache>
            </c:strRef>
          </c:cat>
          <c:val>
            <c:numRef>
              <c:f>('HK2'!$C$37,'HK2'!$C$50,'HK2'!$C$66,'HK2'!$C$86)</c:f>
              <c:numCache>
                <c:formatCode>General</c:formatCode>
                <c:ptCount val="4"/>
                <c:pt idx="0">
                  <c:v>92</c:v>
                </c:pt>
                <c:pt idx="1">
                  <c:v>246</c:v>
                </c:pt>
                <c:pt idx="2">
                  <c:v>62</c:v>
                </c:pt>
                <c:pt idx="3">
                  <c:v>240</c:v>
                </c:pt>
              </c:numCache>
            </c:numRef>
          </c:val>
          <c:smooth val="0"/>
          <c:extLst xmlns:c16r2="http://schemas.microsoft.com/office/drawing/2015/06/chart">
            <c:ext xmlns:c16="http://schemas.microsoft.com/office/drawing/2014/chart" uri="{C3380CC4-5D6E-409C-BE32-E72D297353CC}">
              <c16:uniqueId val="{00000002-259A-421D-849E-AB9B6502ECF3}"/>
            </c:ext>
          </c:extLst>
        </c:ser>
        <c:ser>
          <c:idx val="3"/>
          <c:order val="3"/>
          <c:tx>
            <c:v>55 mM</c:v>
          </c:tx>
          <c:errBars>
            <c:errDir val="y"/>
            <c:errBarType val="both"/>
            <c:errValType val="stdErr"/>
            <c:noEndCap val="0"/>
          </c:errBars>
          <c:cat>
            <c:strRef>
              <c:f>'HK2'!$Q$35:$Q$38</c:f>
              <c:strCache>
                <c:ptCount val="4"/>
                <c:pt idx="0">
                  <c:v>6.saat</c:v>
                </c:pt>
                <c:pt idx="1">
                  <c:v>12.saat</c:v>
                </c:pt>
                <c:pt idx="2">
                  <c:v>24.saat</c:v>
                </c:pt>
                <c:pt idx="3">
                  <c:v>48.saat</c:v>
                </c:pt>
              </c:strCache>
            </c:strRef>
          </c:cat>
          <c:val>
            <c:numRef>
              <c:f>('HK2'!$C$38,'HK2'!$C$51,'HK2'!$C$67,'HK2'!$C$87)</c:f>
              <c:numCache>
                <c:formatCode>General</c:formatCode>
                <c:ptCount val="4"/>
                <c:pt idx="0">
                  <c:v>154</c:v>
                </c:pt>
                <c:pt idx="1">
                  <c:v>288</c:v>
                </c:pt>
                <c:pt idx="2">
                  <c:v>126</c:v>
                </c:pt>
                <c:pt idx="3">
                  <c:v>232</c:v>
                </c:pt>
              </c:numCache>
            </c:numRef>
          </c:val>
          <c:smooth val="0"/>
          <c:extLst xmlns:c16r2="http://schemas.microsoft.com/office/drawing/2015/06/chart">
            <c:ext xmlns:c16="http://schemas.microsoft.com/office/drawing/2014/chart" uri="{C3380CC4-5D6E-409C-BE32-E72D297353CC}">
              <c16:uniqueId val="{00000003-259A-421D-849E-AB9B6502ECF3}"/>
            </c:ext>
          </c:extLst>
        </c:ser>
        <c:dLbls>
          <c:showLegendKey val="0"/>
          <c:showVal val="0"/>
          <c:showCatName val="0"/>
          <c:showSerName val="0"/>
          <c:showPercent val="0"/>
          <c:showBubbleSize val="0"/>
        </c:dLbls>
        <c:marker val="1"/>
        <c:smooth val="0"/>
        <c:axId val="409220224"/>
        <c:axId val="409222144"/>
      </c:lineChart>
      <c:catAx>
        <c:axId val="409220224"/>
        <c:scaling>
          <c:orientation val="minMax"/>
        </c:scaling>
        <c:delete val="0"/>
        <c:axPos val="b"/>
        <c:title>
          <c:tx>
            <c:rich>
              <a:bodyPr/>
              <a:lstStyle/>
              <a:p>
                <a:pPr>
                  <a:defRPr/>
                </a:pPr>
                <a:r>
                  <a:rPr lang="tr-TR"/>
                  <a:t>NORMOKSİ</a:t>
                </a:r>
              </a:p>
            </c:rich>
          </c:tx>
          <c:layout>
            <c:manualLayout>
              <c:xMode val="edge"/>
              <c:yMode val="edge"/>
              <c:x val="0.41237015670070942"/>
              <c:y val="2.6828703703703733E-2"/>
            </c:manualLayout>
          </c:layout>
          <c:overlay val="0"/>
        </c:title>
        <c:numFmt formatCode="General" sourceLinked="0"/>
        <c:majorTickMark val="out"/>
        <c:minorTickMark val="none"/>
        <c:tickLblPos val="nextTo"/>
        <c:crossAx val="409222144"/>
        <c:crosses val="autoZero"/>
        <c:auto val="1"/>
        <c:lblAlgn val="ctr"/>
        <c:lblOffset val="100"/>
        <c:noMultiLvlLbl val="0"/>
      </c:catAx>
      <c:valAx>
        <c:axId val="409222144"/>
        <c:scaling>
          <c:orientation val="minMax"/>
        </c:scaling>
        <c:delete val="0"/>
        <c:axPos val="l"/>
        <c:title>
          <c:tx>
            <c:rich>
              <a:bodyPr rot="-5400000" vert="horz"/>
              <a:lstStyle/>
              <a:p>
                <a:pPr>
                  <a:defRPr/>
                </a:pPr>
                <a:r>
                  <a:rPr lang="tr-TR"/>
                  <a:t>HK2 pg/mL</a:t>
                </a:r>
              </a:p>
            </c:rich>
          </c:tx>
          <c:layout>
            <c:manualLayout>
              <c:xMode val="edge"/>
              <c:yMode val="edge"/>
              <c:x val="7.9207920792079313E-3"/>
              <c:y val="0.33168649802136707"/>
            </c:manualLayout>
          </c:layout>
          <c:overlay val="0"/>
        </c:title>
        <c:numFmt formatCode="General" sourceLinked="1"/>
        <c:majorTickMark val="out"/>
        <c:minorTickMark val="none"/>
        <c:tickLblPos val="nextTo"/>
        <c:crossAx val="409220224"/>
        <c:crosses val="autoZero"/>
        <c:crossBetween val="between"/>
      </c:valAx>
    </c:plotArea>
    <c:legend>
      <c:legendPos val="r"/>
      <c:overlay val="0"/>
    </c:legend>
    <c:plotVisOnly val="1"/>
    <c:dispBlanksAs val="gap"/>
    <c:showDLblsOverMax val="0"/>
  </c:chart>
  <c:spPr>
    <a:solidFill>
      <a:schemeClr val="bg1">
        <a:lumMod val="75000"/>
      </a:schemeClr>
    </a:solidFill>
  </c:spPr>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6511688663864518"/>
          <c:y val="0.11388440415536261"/>
          <c:w val="0.68230649082975059"/>
          <c:h val="0.79822506561679785"/>
        </c:manualLayout>
      </c:layout>
      <c:barChart>
        <c:barDir val="col"/>
        <c:grouping val="clustered"/>
        <c:varyColors val="0"/>
        <c:ser>
          <c:idx val="0"/>
          <c:order val="0"/>
          <c:tx>
            <c:strRef>
              <c:f>'normoksi %canlılık'!$K$69</c:f>
              <c:strCache>
                <c:ptCount val="1"/>
                <c:pt idx="0">
                  <c:v>3.SAAT</c:v>
                </c:pt>
              </c:strCache>
            </c:strRef>
          </c:tx>
          <c:invertIfNegative val="0"/>
          <c:errBars>
            <c:errBarType val="both"/>
            <c:errValType val="percentage"/>
            <c:noEndCap val="0"/>
            <c:val val="5"/>
          </c:errBars>
          <c:cat>
            <c:strRef>
              <c:f>'normoksi %canlılık'!$L$68:$O$68</c:f>
              <c:strCache>
                <c:ptCount val="4"/>
                <c:pt idx="0">
                  <c:v>0 mM</c:v>
                </c:pt>
                <c:pt idx="1">
                  <c:v>5.5 mM</c:v>
                </c:pt>
                <c:pt idx="2">
                  <c:v>15 mM</c:v>
                </c:pt>
                <c:pt idx="3">
                  <c:v>55 mM</c:v>
                </c:pt>
              </c:strCache>
            </c:strRef>
          </c:cat>
          <c:val>
            <c:numRef>
              <c:f>'normoksi %canlılık'!$L$69:$O$69</c:f>
              <c:numCache>
                <c:formatCode>General</c:formatCode>
                <c:ptCount val="4"/>
                <c:pt idx="0">
                  <c:v>100</c:v>
                </c:pt>
                <c:pt idx="1">
                  <c:v>148</c:v>
                </c:pt>
                <c:pt idx="2">
                  <c:v>169</c:v>
                </c:pt>
                <c:pt idx="3">
                  <c:v>126</c:v>
                </c:pt>
              </c:numCache>
            </c:numRef>
          </c:val>
          <c:extLst xmlns:c16r2="http://schemas.microsoft.com/office/drawing/2015/06/chart">
            <c:ext xmlns:c16="http://schemas.microsoft.com/office/drawing/2014/chart" uri="{C3380CC4-5D6E-409C-BE32-E72D297353CC}">
              <c16:uniqueId val="{00000000-8332-4906-BF7D-6C90465F76A7}"/>
            </c:ext>
          </c:extLst>
        </c:ser>
        <c:ser>
          <c:idx val="1"/>
          <c:order val="1"/>
          <c:tx>
            <c:strRef>
              <c:f>'normoksi %canlılık'!$K$70</c:f>
              <c:strCache>
                <c:ptCount val="1"/>
                <c:pt idx="0">
                  <c:v>6.SAAT</c:v>
                </c:pt>
              </c:strCache>
            </c:strRef>
          </c:tx>
          <c:invertIfNegative val="0"/>
          <c:errBars>
            <c:errBarType val="both"/>
            <c:errValType val="percentage"/>
            <c:noEndCap val="0"/>
            <c:val val="5"/>
          </c:errBars>
          <c:cat>
            <c:strRef>
              <c:f>'normoksi %canlılık'!$L$68:$O$68</c:f>
              <c:strCache>
                <c:ptCount val="4"/>
                <c:pt idx="0">
                  <c:v>0 mM</c:v>
                </c:pt>
                <c:pt idx="1">
                  <c:v>5.5 mM</c:v>
                </c:pt>
                <c:pt idx="2">
                  <c:v>15 mM</c:v>
                </c:pt>
                <c:pt idx="3">
                  <c:v>55 mM</c:v>
                </c:pt>
              </c:strCache>
            </c:strRef>
          </c:cat>
          <c:val>
            <c:numRef>
              <c:f>'normoksi %canlılık'!$L$70:$O$70</c:f>
              <c:numCache>
                <c:formatCode>General</c:formatCode>
                <c:ptCount val="4"/>
                <c:pt idx="0">
                  <c:v>100</c:v>
                </c:pt>
                <c:pt idx="1">
                  <c:v>141</c:v>
                </c:pt>
                <c:pt idx="2">
                  <c:v>164</c:v>
                </c:pt>
                <c:pt idx="3">
                  <c:v>134</c:v>
                </c:pt>
              </c:numCache>
            </c:numRef>
          </c:val>
          <c:extLst xmlns:c16r2="http://schemas.microsoft.com/office/drawing/2015/06/chart">
            <c:ext xmlns:c16="http://schemas.microsoft.com/office/drawing/2014/chart" uri="{C3380CC4-5D6E-409C-BE32-E72D297353CC}">
              <c16:uniqueId val="{00000001-8332-4906-BF7D-6C90465F76A7}"/>
            </c:ext>
          </c:extLst>
        </c:ser>
        <c:ser>
          <c:idx val="2"/>
          <c:order val="2"/>
          <c:tx>
            <c:strRef>
              <c:f>'normoksi %canlılık'!$K$71</c:f>
              <c:strCache>
                <c:ptCount val="1"/>
                <c:pt idx="0">
                  <c:v>12.SAAT</c:v>
                </c:pt>
              </c:strCache>
            </c:strRef>
          </c:tx>
          <c:invertIfNegative val="0"/>
          <c:errBars>
            <c:errBarType val="both"/>
            <c:errValType val="percentage"/>
            <c:noEndCap val="0"/>
            <c:val val="5"/>
          </c:errBars>
          <c:cat>
            <c:strRef>
              <c:f>'normoksi %canlılık'!$L$68:$O$68</c:f>
              <c:strCache>
                <c:ptCount val="4"/>
                <c:pt idx="0">
                  <c:v>0 mM</c:v>
                </c:pt>
                <c:pt idx="1">
                  <c:v>5.5 mM</c:v>
                </c:pt>
                <c:pt idx="2">
                  <c:v>15 mM</c:v>
                </c:pt>
                <c:pt idx="3">
                  <c:v>55 mM</c:v>
                </c:pt>
              </c:strCache>
            </c:strRef>
          </c:cat>
          <c:val>
            <c:numRef>
              <c:f>'normoksi %canlılık'!$L$71:$O$71</c:f>
              <c:numCache>
                <c:formatCode>General</c:formatCode>
                <c:ptCount val="4"/>
                <c:pt idx="0">
                  <c:v>100</c:v>
                </c:pt>
                <c:pt idx="1">
                  <c:v>105</c:v>
                </c:pt>
                <c:pt idx="2">
                  <c:v>153</c:v>
                </c:pt>
                <c:pt idx="3">
                  <c:v>160</c:v>
                </c:pt>
              </c:numCache>
            </c:numRef>
          </c:val>
          <c:extLst xmlns:c16r2="http://schemas.microsoft.com/office/drawing/2015/06/chart">
            <c:ext xmlns:c16="http://schemas.microsoft.com/office/drawing/2014/chart" uri="{C3380CC4-5D6E-409C-BE32-E72D297353CC}">
              <c16:uniqueId val="{00000002-8332-4906-BF7D-6C90465F76A7}"/>
            </c:ext>
          </c:extLst>
        </c:ser>
        <c:ser>
          <c:idx val="3"/>
          <c:order val="3"/>
          <c:tx>
            <c:strRef>
              <c:f>'normoksi %canlılık'!$K$72</c:f>
              <c:strCache>
                <c:ptCount val="1"/>
                <c:pt idx="0">
                  <c:v>24.SAAT</c:v>
                </c:pt>
              </c:strCache>
            </c:strRef>
          </c:tx>
          <c:invertIfNegative val="0"/>
          <c:errBars>
            <c:errBarType val="both"/>
            <c:errValType val="percentage"/>
            <c:noEndCap val="0"/>
            <c:val val="5"/>
          </c:errBars>
          <c:cat>
            <c:strRef>
              <c:f>'normoksi %canlılık'!$L$68:$O$68</c:f>
              <c:strCache>
                <c:ptCount val="4"/>
                <c:pt idx="0">
                  <c:v>0 mM</c:v>
                </c:pt>
                <c:pt idx="1">
                  <c:v>5.5 mM</c:v>
                </c:pt>
                <c:pt idx="2">
                  <c:v>15 mM</c:v>
                </c:pt>
                <c:pt idx="3">
                  <c:v>55 mM</c:v>
                </c:pt>
              </c:strCache>
            </c:strRef>
          </c:cat>
          <c:val>
            <c:numRef>
              <c:f>'normoksi %canlılık'!$L$72:$O$72</c:f>
              <c:numCache>
                <c:formatCode>General</c:formatCode>
                <c:ptCount val="4"/>
                <c:pt idx="0">
                  <c:v>100</c:v>
                </c:pt>
                <c:pt idx="1">
                  <c:v>107</c:v>
                </c:pt>
                <c:pt idx="2">
                  <c:v>154</c:v>
                </c:pt>
                <c:pt idx="3">
                  <c:v>178</c:v>
                </c:pt>
              </c:numCache>
            </c:numRef>
          </c:val>
          <c:extLst xmlns:c16r2="http://schemas.microsoft.com/office/drawing/2015/06/chart">
            <c:ext xmlns:c16="http://schemas.microsoft.com/office/drawing/2014/chart" uri="{C3380CC4-5D6E-409C-BE32-E72D297353CC}">
              <c16:uniqueId val="{00000003-8332-4906-BF7D-6C90465F76A7}"/>
            </c:ext>
          </c:extLst>
        </c:ser>
        <c:ser>
          <c:idx val="4"/>
          <c:order val="4"/>
          <c:tx>
            <c:strRef>
              <c:f>'normoksi %canlılık'!$K$73</c:f>
              <c:strCache>
                <c:ptCount val="1"/>
                <c:pt idx="0">
                  <c:v>48.SAAT</c:v>
                </c:pt>
              </c:strCache>
            </c:strRef>
          </c:tx>
          <c:invertIfNegative val="0"/>
          <c:errBars>
            <c:errBarType val="both"/>
            <c:errValType val="percentage"/>
            <c:noEndCap val="0"/>
            <c:val val="5"/>
          </c:errBars>
          <c:cat>
            <c:strRef>
              <c:f>'normoksi %canlılık'!$L$68:$O$68</c:f>
              <c:strCache>
                <c:ptCount val="4"/>
                <c:pt idx="0">
                  <c:v>0 mM</c:v>
                </c:pt>
                <c:pt idx="1">
                  <c:v>5.5 mM</c:v>
                </c:pt>
                <c:pt idx="2">
                  <c:v>15 mM</c:v>
                </c:pt>
                <c:pt idx="3">
                  <c:v>55 mM</c:v>
                </c:pt>
              </c:strCache>
            </c:strRef>
          </c:cat>
          <c:val>
            <c:numRef>
              <c:f>'normoksi %canlılık'!$L$73:$O$73</c:f>
              <c:numCache>
                <c:formatCode>General</c:formatCode>
                <c:ptCount val="4"/>
                <c:pt idx="0">
                  <c:v>100</c:v>
                </c:pt>
                <c:pt idx="1">
                  <c:v>146</c:v>
                </c:pt>
                <c:pt idx="2">
                  <c:v>157</c:v>
                </c:pt>
                <c:pt idx="3">
                  <c:v>209</c:v>
                </c:pt>
              </c:numCache>
            </c:numRef>
          </c:val>
          <c:extLst xmlns:c16r2="http://schemas.microsoft.com/office/drawing/2015/06/chart">
            <c:ext xmlns:c16="http://schemas.microsoft.com/office/drawing/2014/chart" uri="{C3380CC4-5D6E-409C-BE32-E72D297353CC}">
              <c16:uniqueId val="{00000004-8332-4906-BF7D-6C90465F76A7}"/>
            </c:ext>
          </c:extLst>
        </c:ser>
        <c:dLbls>
          <c:showLegendKey val="0"/>
          <c:showVal val="0"/>
          <c:showCatName val="0"/>
          <c:showSerName val="0"/>
          <c:showPercent val="0"/>
          <c:showBubbleSize val="0"/>
        </c:dLbls>
        <c:gapWidth val="150"/>
        <c:axId val="377302400"/>
        <c:axId val="377304576"/>
      </c:barChart>
      <c:catAx>
        <c:axId val="377302400"/>
        <c:scaling>
          <c:orientation val="minMax"/>
        </c:scaling>
        <c:delete val="0"/>
        <c:axPos val="b"/>
        <c:title>
          <c:tx>
            <c:rich>
              <a:bodyPr/>
              <a:lstStyle/>
              <a:p>
                <a:pPr algn="ctr">
                  <a:defRPr sz="1200">
                    <a:latin typeface="Times New Roman" pitchFamily="18" charset="0"/>
                    <a:cs typeface="Times New Roman" pitchFamily="18" charset="0"/>
                  </a:defRPr>
                </a:pPr>
                <a:r>
                  <a:rPr lang="tr-TR" sz="1000">
                    <a:latin typeface="Times New Roman" pitchFamily="18" charset="0"/>
                    <a:cs typeface="Times New Roman" pitchFamily="18" charset="0"/>
                  </a:rPr>
                  <a:t>Normoksi</a:t>
                </a:r>
              </a:p>
            </c:rich>
          </c:tx>
          <c:layout>
            <c:manualLayout>
              <c:xMode val="edge"/>
              <c:yMode val="edge"/>
              <c:x val="0.42337686316817857"/>
              <c:y val="3.1554958069265789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77304576"/>
        <c:crosses val="autoZero"/>
        <c:auto val="1"/>
        <c:lblAlgn val="ctr"/>
        <c:lblOffset val="100"/>
        <c:noMultiLvlLbl val="0"/>
      </c:catAx>
      <c:valAx>
        <c:axId val="377304576"/>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Hücre canlılığı (%)</a:t>
                </a:r>
              </a:p>
            </c:rich>
          </c:tx>
          <c:layout>
            <c:manualLayout>
              <c:xMode val="edge"/>
              <c:yMode val="edge"/>
              <c:x val="3.2495263245468552E-2"/>
              <c:y val="0.3082129367975344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77302400"/>
        <c:crosses val="autoZero"/>
        <c:crossBetween val="between"/>
      </c:valAx>
    </c:plotArea>
    <c:legend>
      <c:legendPos val="r"/>
      <c:layout>
        <c:manualLayout>
          <c:xMode val="edge"/>
          <c:yMode val="edge"/>
          <c:x val="0.86052246536667587"/>
          <c:y val="0.29329616886124532"/>
          <c:w val="0.13942450445228091"/>
          <c:h val="0.37985556249150237"/>
        </c:manualLayout>
      </c:layout>
      <c:overlay val="0"/>
      <c:txPr>
        <a:bodyPr/>
        <a:lstStyle/>
        <a:p>
          <a:pPr>
            <a:defRPr sz="9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72440944881888"/>
          <c:y val="0.11621536891221974"/>
          <c:w val="0.71277690288713913"/>
          <c:h val="0.71857210557013707"/>
        </c:manualLayout>
      </c:layout>
      <c:lineChart>
        <c:grouping val="standard"/>
        <c:varyColors val="0"/>
        <c:ser>
          <c:idx val="0"/>
          <c:order val="0"/>
          <c:tx>
            <c:v>0 mM</c:v>
          </c:tx>
          <c:errBars>
            <c:errDir val="y"/>
            <c:errBarType val="both"/>
            <c:errValType val="stdErr"/>
            <c:noEndCap val="0"/>
          </c:errBars>
          <c:cat>
            <c:strRef>
              <c:f>'HK2'!$Q$35:$Q$38</c:f>
              <c:strCache>
                <c:ptCount val="4"/>
                <c:pt idx="0">
                  <c:v>6.saat</c:v>
                </c:pt>
                <c:pt idx="1">
                  <c:v>12.saat</c:v>
                </c:pt>
                <c:pt idx="2">
                  <c:v>24.saat</c:v>
                </c:pt>
                <c:pt idx="3">
                  <c:v>48.saat</c:v>
                </c:pt>
              </c:strCache>
            </c:strRef>
          </c:cat>
          <c:val>
            <c:numRef>
              <c:f>('HK2'!$C$39,'HK2'!$C$52,'HK2'!$C$68,'HK2'!$C$88)</c:f>
              <c:numCache>
                <c:formatCode>General</c:formatCode>
                <c:ptCount val="4"/>
                <c:pt idx="0">
                  <c:v>130</c:v>
                </c:pt>
                <c:pt idx="1">
                  <c:v>278</c:v>
                </c:pt>
                <c:pt idx="2">
                  <c:v>106</c:v>
                </c:pt>
                <c:pt idx="3">
                  <c:v>198</c:v>
                </c:pt>
              </c:numCache>
            </c:numRef>
          </c:val>
          <c:smooth val="0"/>
          <c:extLst xmlns:c16r2="http://schemas.microsoft.com/office/drawing/2015/06/chart">
            <c:ext xmlns:c16="http://schemas.microsoft.com/office/drawing/2014/chart" uri="{C3380CC4-5D6E-409C-BE32-E72D297353CC}">
              <c16:uniqueId val="{00000000-2067-481B-81F4-32CA70E50669}"/>
            </c:ext>
          </c:extLst>
        </c:ser>
        <c:ser>
          <c:idx val="1"/>
          <c:order val="1"/>
          <c:tx>
            <c:v>5,5 mM</c:v>
          </c:tx>
          <c:errBars>
            <c:errDir val="y"/>
            <c:errBarType val="both"/>
            <c:errValType val="stdErr"/>
            <c:noEndCap val="0"/>
          </c:errBars>
          <c:cat>
            <c:strRef>
              <c:f>'HK2'!$Q$35:$Q$38</c:f>
              <c:strCache>
                <c:ptCount val="4"/>
                <c:pt idx="0">
                  <c:v>6.saat</c:v>
                </c:pt>
                <c:pt idx="1">
                  <c:v>12.saat</c:v>
                </c:pt>
                <c:pt idx="2">
                  <c:v>24.saat</c:v>
                </c:pt>
                <c:pt idx="3">
                  <c:v>48.saat</c:v>
                </c:pt>
              </c:strCache>
            </c:strRef>
          </c:cat>
          <c:val>
            <c:numRef>
              <c:f>('HK2'!$C$40,'HK2'!$C$53,'HK2'!$C$69,'HK2'!$C$89)</c:f>
              <c:numCache>
                <c:formatCode>General</c:formatCode>
                <c:ptCount val="4"/>
                <c:pt idx="0">
                  <c:v>102</c:v>
                </c:pt>
                <c:pt idx="1">
                  <c:v>134</c:v>
                </c:pt>
                <c:pt idx="2">
                  <c:v>208</c:v>
                </c:pt>
                <c:pt idx="3">
                  <c:v>196</c:v>
                </c:pt>
              </c:numCache>
            </c:numRef>
          </c:val>
          <c:smooth val="0"/>
          <c:extLst xmlns:c16r2="http://schemas.microsoft.com/office/drawing/2015/06/chart">
            <c:ext xmlns:c16="http://schemas.microsoft.com/office/drawing/2014/chart" uri="{C3380CC4-5D6E-409C-BE32-E72D297353CC}">
              <c16:uniqueId val="{00000001-2067-481B-81F4-32CA70E50669}"/>
            </c:ext>
          </c:extLst>
        </c:ser>
        <c:ser>
          <c:idx val="2"/>
          <c:order val="2"/>
          <c:tx>
            <c:v>15 mM</c:v>
          </c:tx>
          <c:errBars>
            <c:errDir val="y"/>
            <c:errBarType val="both"/>
            <c:errValType val="stdErr"/>
            <c:noEndCap val="0"/>
          </c:errBars>
          <c:cat>
            <c:strRef>
              <c:f>'HK2'!$Q$35:$Q$38</c:f>
              <c:strCache>
                <c:ptCount val="4"/>
                <c:pt idx="0">
                  <c:v>6.saat</c:v>
                </c:pt>
                <c:pt idx="1">
                  <c:v>12.saat</c:v>
                </c:pt>
                <c:pt idx="2">
                  <c:v>24.saat</c:v>
                </c:pt>
                <c:pt idx="3">
                  <c:v>48.saat</c:v>
                </c:pt>
              </c:strCache>
            </c:strRef>
          </c:cat>
          <c:val>
            <c:numRef>
              <c:f>('HK2'!$C$41,'HK2'!$C$54,'HK2'!$C$70,'HK2'!$C$90)</c:f>
              <c:numCache>
                <c:formatCode>General</c:formatCode>
                <c:ptCount val="4"/>
                <c:pt idx="0">
                  <c:v>130</c:v>
                </c:pt>
                <c:pt idx="1">
                  <c:v>66</c:v>
                </c:pt>
                <c:pt idx="2">
                  <c:v>188</c:v>
                </c:pt>
                <c:pt idx="3">
                  <c:v>146</c:v>
                </c:pt>
              </c:numCache>
            </c:numRef>
          </c:val>
          <c:smooth val="0"/>
          <c:extLst xmlns:c16r2="http://schemas.microsoft.com/office/drawing/2015/06/chart">
            <c:ext xmlns:c16="http://schemas.microsoft.com/office/drawing/2014/chart" uri="{C3380CC4-5D6E-409C-BE32-E72D297353CC}">
              <c16:uniqueId val="{00000002-2067-481B-81F4-32CA70E50669}"/>
            </c:ext>
          </c:extLst>
        </c:ser>
        <c:ser>
          <c:idx val="3"/>
          <c:order val="3"/>
          <c:tx>
            <c:v>55 mM</c:v>
          </c:tx>
          <c:errBars>
            <c:errDir val="y"/>
            <c:errBarType val="both"/>
            <c:errValType val="stdErr"/>
            <c:noEndCap val="0"/>
          </c:errBars>
          <c:cat>
            <c:strRef>
              <c:f>'HK2'!$Q$35:$Q$38</c:f>
              <c:strCache>
                <c:ptCount val="4"/>
                <c:pt idx="0">
                  <c:v>6.saat</c:v>
                </c:pt>
                <c:pt idx="1">
                  <c:v>12.saat</c:v>
                </c:pt>
                <c:pt idx="2">
                  <c:v>24.saat</c:v>
                </c:pt>
                <c:pt idx="3">
                  <c:v>48.saat</c:v>
                </c:pt>
              </c:strCache>
            </c:strRef>
          </c:cat>
          <c:val>
            <c:numRef>
              <c:f>('HK2'!$C$42,'HK2'!$C$55,'HK2'!$C$71,'HK2'!$C$91)</c:f>
              <c:numCache>
                <c:formatCode>General</c:formatCode>
                <c:ptCount val="4"/>
                <c:pt idx="0">
                  <c:v>236</c:v>
                </c:pt>
                <c:pt idx="1">
                  <c:v>100</c:v>
                </c:pt>
                <c:pt idx="2">
                  <c:v>152</c:v>
                </c:pt>
                <c:pt idx="3">
                  <c:v>250</c:v>
                </c:pt>
              </c:numCache>
            </c:numRef>
          </c:val>
          <c:smooth val="0"/>
          <c:extLst xmlns:c16r2="http://schemas.microsoft.com/office/drawing/2015/06/chart">
            <c:ext xmlns:c16="http://schemas.microsoft.com/office/drawing/2014/chart" uri="{C3380CC4-5D6E-409C-BE32-E72D297353CC}">
              <c16:uniqueId val="{00000003-2067-481B-81F4-32CA70E50669}"/>
            </c:ext>
          </c:extLst>
        </c:ser>
        <c:dLbls>
          <c:showLegendKey val="0"/>
          <c:showVal val="0"/>
          <c:showCatName val="0"/>
          <c:showSerName val="0"/>
          <c:showPercent val="0"/>
          <c:showBubbleSize val="0"/>
        </c:dLbls>
        <c:marker val="1"/>
        <c:smooth val="0"/>
        <c:axId val="386466560"/>
        <c:axId val="386468480"/>
      </c:lineChart>
      <c:catAx>
        <c:axId val="386466560"/>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HİPOKSİ</a:t>
                </a:r>
              </a:p>
            </c:rich>
          </c:tx>
          <c:layout>
            <c:manualLayout>
              <c:xMode val="edge"/>
              <c:yMode val="edge"/>
              <c:x val="0.41619454711018267"/>
              <c:y val="3.6087780694080002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86468480"/>
        <c:crosses val="autoZero"/>
        <c:auto val="1"/>
        <c:lblAlgn val="ctr"/>
        <c:lblOffset val="100"/>
        <c:noMultiLvlLbl val="0"/>
      </c:catAx>
      <c:valAx>
        <c:axId val="386468480"/>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HK</a:t>
                </a:r>
                <a:r>
                  <a:rPr lang="tr-TR" sz="1000" baseline="0">
                    <a:latin typeface="Times New Roman" pitchFamily="18" charset="0"/>
                    <a:cs typeface="Times New Roman" pitchFamily="18" charset="0"/>
                  </a:rPr>
                  <a:t>2 pg/mL</a:t>
                </a:r>
                <a:endParaRPr lang="tr-TR" sz="1000">
                  <a:latin typeface="Times New Roman" pitchFamily="18" charset="0"/>
                  <a:cs typeface="Times New Roman" pitchFamily="18" charset="0"/>
                </a:endParaRPr>
              </a:p>
            </c:rich>
          </c:tx>
          <c:layout>
            <c:manualLayout>
              <c:xMode val="edge"/>
              <c:yMode val="edge"/>
              <c:x val="5.4421768707482955E-3"/>
              <c:y val="0.3390547535724725"/>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386466560"/>
        <c:crosses val="autoZero"/>
        <c:crossBetween val="between"/>
      </c:valAx>
    </c:plotArea>
    <c:legend>
      <c:legendPos val="r"/>
      <c:layout>
        <c:manualLayout>
          <c:xMode val="edge"/>
          <c:yMode val="edge"/>
          <c:x val="0.82934711286089502"/>
          <c:y val="0.33256561679790198"/>
          <c:w val="0.16717017515667668"/>
          <c:h val="0.33486876640420243"/>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spPr>
    <a:solidFill>
      <a:schemeClr val="bg1">
        <a:lumMod val="75000"/>
      </a:schemeClr>
    </a:soli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3327996500437445"/>
          <c:y val="0.10695610965296004"/>
          <c:w val="0.72647134733158658"/>
          <c:h val="0.76118802857976142"/>
        </c:manualLayout>
      </c:layout>
      <c:barChart>
        <c:barDir val="col"/>
        <c:grouping val="clustered"/>
        <c:varyColors val="0"/>
        <c:ser>
          <c:idx val="0"/>
          <c:order val="0"/>
          <c:tx>
            <c:v>6.saat</c:v>
          </c:tx>
          <c:invertIfNegative val="0"/>
          <c:errBars>
            <c:errBarType val="both"/>
            <c:errValType val="stdErr"/>
            <c:noEndCap val="0"/>
          </c:errBars>
          <c:cat>
            <c:strRef>
              <c:f>'HK2'!$Q$42:$Q$45</c:f>
              <c:strCache>
                <c:ptCount val="4"/>
                <c:pt idx="0">
                  <c:v> 0 mM </c:v>
                </c:pt>
                <c:pt idx="1">
                  <c:v> 5,5 mM </c:v>
                </c:pt>
                <c:pt idx="2">
                  <c:v> 15 mM </c:v>
                </c:pt>
                <c:pt idx="3">
                  <c:v>55 mM </c:v>
                </c:pt>
              </c:strCache>
            </c:strRef>
          </c:cat>
          <c:val>
            <c:numRef>
              <c:f>'HK2'!$C$35:$C$38</c:f>
              <c:numCache>
                <c:formatCode>General</c:formatCode>
                <c:ptCount val="4"/>
                <c:pt idx="0">
                  <c:v>206</c:v>
                </c:pt>
                <c:pt idx="1">
                  <c:v>196</c:v>
                </c:pt>
                <c:pt idx="2">
                  <c:v>92</c:v>
                </c:pt>
                <c:pt idx="3">
                  <c:v>154</c:v>
                </c:pt>
              </c:numCache>
            </c:numRef>
          </c:val>
          <c:extLst xmlns:c16r2="http://schemas.microsoft.com/office/drawing/2015/06/chart">
            <c:ext xmlns:c16="http://schemas.microsoft.com/office/drawing/2014/chart" uri="{C3380CC4-5D6E-409C-BE32-E72D297353CC}">
              <c16:uniqueId val="{00000000-7357-4F93-ACC5-2B511F1D4881}"/>
            </c:ext>
          </c:extLst>
        </c:ser>
        <c:ser>
          <c:idx val="1"/>
          <c:order val="1"/>
          <c:tx>
            <c:v>12.saat</c:v>
          </c:tx>
          <c:invertIfNegative val="0"/>
          <c:errBars>
            <c:errBarType val="both"/>
            <c:errValType val="stdErr"/>
            <c:noEndCap val="0"/>
          </c:errBars>
          <c:cat>
            <c:strRef>
              <c:f>'HK2'!$Q$42:$Q$45</c:f>
              <c:strCache>
                <c:ptCount val="4"/>
                <c:pt idx="0">
                  <c:v> 0 mM </c:v>
                </c:pt>
                <c:pt idx="1">
                  <c:v> 5,5 mM </c:v>
                </c:pt>
                <c:pt idx="2">
                  <c:v> 15 mM </c:v>
                </c:pt>
                <c:pt idx="3">
                  <c:v>55 mM </c:v>
                </c:pt>
              </c:strCache>
            </c:strRef>
          </c:cat>
          <c:val>
            <c:numRef>
              <c:f>'HK2'!$C$48:$C$51</c:f>
              <c:numCache>
                <c:formatCode>General</c:formatCode>
                <c:ptCount val="4"/>
                <c:pt idx="0">
                  <c:v>208</c:v>
                </c:pt>
                <c:pt idx="1">
                  <c:v>160</c:v>
                </c:pt>
                <c:pt idx="2">
                  <c:v>246</c:v>
                </c:pt>
                <c:pt idx="3">
                  <c:v>288</c:v>
                </c:pt>
              </c:numCache>
            </c:numRef>
          </c:val>
          <c:extLst xmlns:c16r2="http://schemas.microsoft.com/office/drawing/2015/06/chart">
            <c:ext xmlns:c16="http://schemas.microsoft.com/office/drawing/2014/chart" uri="{C3380CC4-5D6E-409C-BE32-E72D297353CC}">
              <c16:uniqueId val="{00000001-7357-4F93-ACC5-2B511F1D4881}"/>
            </c:ext>
          </c:extLst>
        </c:ser>
        <c:ser>
          <c:idx val="2"/>
          <c:order val="2"/>
          <c:tx>
            <c:v>24.saat</c:v>
          </c:tx>
          <c:invertIfNegative val="0"/>
          <c:errBars>
            <c:errBarType val="both"/>
            <c:errValType val="stdErr"/>
            <c:noEndCap val="0"/>
          </c:errBars>
          <c:cat>
            <c:strRef>
              <c:f>'HK2'!$Q$42:$Q$45</c:f>
              <c:strCache>
                <c:ptCount val="4"/>
                <c:pt idx="0">
                  <c:v> 0 mM </c:v>
                </c:pt>
                <c:pt idx="1">
                  <c:v> 5,5 mM </c:v>
                </c:pt>
                <c:pt idx="2">
                  <c:v> 15 mM </c:v>
                </c:pt>
                <c:pt idx="3">
                  <c:v>55 mM </c:v>
                </c:pt>
              </c:strCache>
            </c:strRef>
          </c:cat>
          <c:val>
            <c:numRef>
              <c:f>'HK2'!$C$64:$C$67</c:f>
              <c:numCache>
                <c:formatCode>General</c:formatCode>
                <c:ptCount val="4"/>
                <c:pt idx="0">
                  <c:v>212</c:v>
                </c:pt>
                <c:pt idx="1">
                  <c:v>118</c:v>
                </c:pt>
                <c:pt idx="2">
                  <c:v>62</c:v>
                </c:pt>
                <c:pt idx="3">
                  <c:v>126</c:v>
                </c:pt>
              </c:numCache>
            </c:numRef>
          </c:val>
          <c:extLst xmlns:c16r2="http://schemas.microsoft.com/office/drawing/2015/06/chart">
            <c:ext xmlns:c16="http://schemas.microsoft.com/office/drawing/2014/chart" uri="{C3380CC4-5D6E-409C-BE32-E72D297353CC}">
              <c16:uniqueId val="{00000002-7357-4F93-ACC5-2B511F1D4881}"/>
            </c:ext>
          </c:extLst>
        </c:ser>
        <c:ser>
          <c:idx val="3"/>
          <c:order val="3"/>
          <c:tx>
            <c:v>48.saat</c:v>
          </c:tx>
          <c:invertIfNegative val="0"/>
          <c:errBars>
            <c:errBarType val="both"/>
            <c:errValType val="stdErr"/>
            <c:noEndCap val="0"/>
          </c:errBars>
          <c:cat>
            <c:strRef>
              <c:f>'HK2'!$Q$42:$Q$45</c:f>
              <c:strCache>
                <c:ptCount val="4"/>
                <c:pt idx="0">
                  <c:v> 0 mM </c:v>
                </c:pt>
                <c:pt idx="1">
                  <c:v> 5,5 mM </c:v>
                </c:pt>
                <c:pt idx="2">
                  <c:v> 15 mM </c:v>
                </c:pt>
                <c:pt idx="3">
                  <c:v>55 mM </c:v>
                </c:pt>
              </c:strCache>
            </c:strRef>
          </c:cat>
          <c:val>
            <c:numRef>
              <c:f>'HK2'!$C$84:$C$87</c:f>
              <c:numCache>
                <c:formatCode>General</c:formatCode>
                <c:ptCount val="4"/>
                <c:pt idx="0">
                  <c:v>210</c:v>
                </c:pt>
                <c:pt idx="1">
                  <c:v>126</c:v>
                </c:pt>
                <c:pt idx="2">
                  <c:v>240</c:v>
                </c:pt>
                <c:pt idx="3">
                  <c:v>232</c:v>
                </c:pt>
              </c:numCache>
            </c:numRef>
          </c:val>
          <c:extLst xmlns:c16r2="http://schemas.microsoft.com/office/drawing/2015/06/chart">
            <c:ext xmlns:c16="http://schemas.microsoft.com/office/drawing/2014/chart" uri="{C3380CC4-5D6E-409C-BE32-E72D297353CC}">
              <c16:uniqueId val="{00000003-7357-4F93-ACC5-2B511F1D4881}"/>
            </c:ext>
          </c:extLst>
        </c:ser>
        <c:dLbls>
          <c:showLegendKey val="0"/>
          <c:showVal val="0"/>
          <c:showCatName val="0"/>
          <c:showSerName val="0"/>
          <c:showPercent val="0"/>
          <c:showBubbleSize val="0"/>
        </c:dLbls>
        <c:gapWidth val="150"/>
        <c:axId val="386498944"/>
        <c:axId val="386500864"/>
      </c:barChart>
      <c:catAx>
        <c:axId val="386498944"/>
        <c:scaling>
          <c:orientation val="minMax"/>
        </c:scaling>
        <c:delete val="0"/>
        <c:axPos val="b"/>
        <c:title>
          <c:tx>
            <c:rich>
              <a:bodyPr/>
              <a:lstStyle/>
              <a:p>
                <a:pPr>
                  <a:defRPr/>
                </a:pPr>
                <a:r>
                  <a:rPr lang="tr-TR"/>
                  <a:t>NORMOKSİ</a:t>
                </a:r>
              </a:p>
            </c:rich>
          </c:tx>
          <c:layout>
            <c:manualLayout>
              <c:xMode val="edge"/>
              <c:yMode val="edge"/>
              <c:x val="0.41686986001749987"/>
              <c:y val="2.682852143482067E-2"/>
            </c:manualLayout>
          </c:layout>
          <c:overlay val="0"/>
        </c:title>
        <c:numFmt formatCode="General" sourceLinked="0"/>
        <c:majorTickMark val="out"/>
        <c:minorTickMark val="none"/>
        <c:tickLblPos val="nextTo"/>
        <c:crossAx val="386500864"/>
        <c:crosses val="autoZero"/>
        <c:auto val="1"/>
        <c:lblAlgn val="ctr"/>
        <c:lblOffset val="100"/>
        <c:noMultiLvlLbl val="0"/>
      </c:catAx>
      <c:valAx>
        <c:axId val="386500864"/>
        <c:scaling>
          <c:orientation val="minMax"/>
        </c:scaling>
        <c:delete val="0"/>
        <c:axPos val="l"/>
        <c:title>
          <c:tx>
            <c:rich>
              <a:bodyPr rot="-5400000" vert="horz"/>
              <a:lstStyle/>
              <a:p>
                <a:pPr>
                  <a:defRPr/>
                </a:pPr>
                <a:r>
                  <a:rPr lang="tr-TR"/>
                  <a:t>HK2 pg/mL</a:t>
                </a:r>
              </a:p>
            </c:rich>
          </c:tx>
          <c:layout>
            <c:manualLayout>
              <c:xMode val="edge"/>
              <c:yMode val="edge"/>
              <c:x val="1.1111111111111125E-2"/>
              <c:y val="0.32795530766987718"/>
            </c:manualLayout>
          </c:layout>
          <c:overlay val="0"/>
        </c:title>
        <c:numFmt formatCode="General" sourceLinked="1"/>
        <c:majorTickMark val="out"/>
        <c:minorTickMark val="none"/>
        <c:tickLblPos val="nextTo"/>
        <c:crossAx val="38649894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3293285214348224"/>
          <c:y val="0.12547462817147856"/>
          <c:w val="0.71292957130358892"/>
          <c:h val="0.76118802857976142"/>
        </c:manualLayout>
      </c:layout>
      <c:barChart>
        <c:barDir val="col"/>
        <c:grouping val="clustered"/>
        <c:varyColors val="0"/>
        <c:ser>
          <c:idx val="0"/>
          <c:order val="0"/>
          <c:tx>
            <c:v>6.saat</c:v>
          </c:tx>
          <c:invertIfNegative val="0"/>
          <c:errBars>
            <c:errBarType val="both"/>
            <c:errValType val="stdErr"/>
            <c:noEndCap val="0"/>
          </c:errBars>
          <c:cat>
            <c:strRef>
              <c:f>'HK2'!$Q$42:$Q$45</c:f>
              <c:strCache>
                <c:ptCount val="4"/>
                <c:pt idx="0">
                  <c:v> 0 mM </c:v>
                </c:pt>
                <c:pt idx="1">
                  <c:v> 5,5 mM </c:v>
                </c:pt>
                <c:pt idx="2">
                  <c:v> 15 mM </c:v>
                </c:pt>
                <c:pt idx="3">
                  <c:v>55 mM </c:v>
                </c:pt>
              </c:strCache>
            </c:strRef>
          </c:cat>
          <c:val>
            <c:numRef>
              <c:f>'HK2'!$C$39:$C$42</c:f>
              <c:numCache>
                <c:formatCode>General</c:formatCode>
                <c:ptCount val="4"/>
                <c:pt idx="0">
                  <c:v>130</c:v>
                </c:pt>
                <c:pt idx="1">
                  <c:v>102</c:v>
                </c:pt>
                <c:pt idx="2">
                  <c:v>130</c:v>
                </c:pt>
                <c:pt idx="3">
                  <c:v>236</c:v>
                </c:pt>
              </c:numCache>
            </c:numRef>
          </c:val>
          <c:extLst xmlns:c16r2="http://schemas.microsoft.com/office/drawing/2015/06/chart">
            <c:ext xmlns:c16="http://schemas.microsoft.com/office/drawing/2014/chart" uri="{C3380CC4-5D6E-409C-BE32-E72D297353CC}">
              <c16:uniqueId val="{00000000-4CB0-4ADD-8973-274A911F44EF}"/>
            </c:ext>
          </c:extLst>
        </c:ser>
        <c:ser>
          <c:idx val="1"/>
          <c:order val="1"/>
          <c:tx>
            <c:v>12.saat</c:v>
          </c:tx>
          <c:invertIfNegative val="0"/>
          <c:errBars>
            <c:errBarType val="both"/>
            <c:errValType val="stdErr"/>
            <c:noEndCap val="0"/>
          </c:errBars>
          <c:cat>
            <c:strRef>
              <c:f>'HK2'!$Q$42:$Q$45</c:f>
              <c:strCache>
                <c:ptCount val="4"/>
                <c:pt idx="0">
                  <c:v> 0 mM </c:v>
                </c:pt>
                <c:pt idx="1">
                  <c:v> 5,5 mM </c:v>
                </c:pt>
                <c:pt idx="2">
                  <c:v> 15 mM </c:v>
                </c:pt>
                <c:pt idx="3">
                  <c:v>55 mM </c:v>
                </c:pt>
              </c:strCache>
            </c:strRef>
          </c:cat>
          <c:val>
            <c:numRef>
              <c:f>'HK2'!$C$52:$C$55</c:f>
              <c:numCache>
                <c:formatCode>General</c:formatCode>
                <c:ptCount val="4"/>
                <c:pt idx="0">
                  <c:v>278</c:v>
                </c:pt>
                <c:pt idx="1">
                  <c:v>134</c:v>
                </c:pt>
                <c:pt idx="2">
                  <c:v>66</c:v>
                </c:pt>
                <c:pt idx="3">
                  <c:v>100</c:v>
                </c:pt>
              </c:numCache>
            </c:numRef>
          </c:val>
          <c:extLst xmlns:c16r2="http://schemas.microsoft.com/office/drawing/2015/06/chart">
            <c:ext xmlns:c16="http://schemas.microsoft.com/office/drawing/2014/chart" uri="{C3380CC4-5D6E-409C-BE32-E72D297353CC}">
              <c16:uniqueId val="{00000001-4CB0-4ADD-8973-274A911F44EF}"/>
            </c:ext>
          </c:extLst>
        </c:ser>
        <c:ser>
          <c:idx val="2"/>
          <c:order val="2"/>
          <c:tx>
            <c:v>24.saat</c:v>
          </c:tx>
          <c:invertIfNegative val="0"/>
          <c:errBars>
            <c:errBarType val="both"/>
            <c:errValType val="stdErr"/>
            <c:noEndCap val="0"/>
          </c:errBars>
          <c:cat>
            <c:strRef>
              <c:f>'HK2'!$Q$42:$Q$45</c:f>
              <c:strCache>
                <c:ptCount val="4"/>
                <c:pt idx="0">
                  <c:v> 0 mM </c:v>
                </c:pt>
                <c:pt idx="1">
                  <c:v> 5,5 mM </c:v>
                </c:pt>
                <c:pt idx="2">
                  <c:v> 15 mM </c:v>
                </c:pt>
                <c:pt idx="3">
                  <c:v>55 mM </c:v>
                </c:pt>
              </c:strCache>
            </c:strRef>
          </c:cat>
          <c:val>
            <c:numRef>
              <c:f>'HK2'!$C$68:$C$71</c:f>
              <c:numCache>
                <c:formatCode>General</c:formatCode>
                <c:ptCount val="4"/>
                <c:pt idx="0">
                  <c:v>106</c:v>
                </c:pt>
                <c:pt idx="1">
                  <c:v>208</c:v>
                </c:pt>
                <c:pt idx="2">
                  <c:v>188</c:v>
                </c:pt>
                <c:pt idx="3">
                  <c:v>152</c:v>
                </c:pt>
              </c:numCache>
            </c:numRef>
          </c:val>
          <c:extLst xmlns:c16r2="http://schemas.microsoft.com/office/drawing/2015/06/chart">
            <c:ext xmlns:c16="http://schemas.microsoft.com/office/drawing/2014/chart" uri="{C3380CC4-5D6E-409C-BE32-E72D297353CC}">
              <c16:uniqueId val="{00000002-4CB0-4ADD-8973-274A911F44EF}"/>
            </c:ext>
          </c:extLst>
        </c:ser>
        <c:ser>
          <c:idx val="3"/>
          <c:order val="3"/>
          <c:tx>
            <c:v>48.saat</c:v>
          </c:tx>
          <c:invertIfNegative val="0"/>
          <c:errBars>
            <c:errBarType val="both"/>
            <c:errValType val="stdErr"/>
            <c:noEndCap val="0"/>
          </c:errBars>
          <c:cat>
            <c:strRef>
              <c:f>'HK2'!$Q$42:$Q$45</c:f>
              <c:strCache>
                <c:ptCount val="4"/>
                <c:pt idx="0">
                  <c:v> 0 mM </c:v>
                </c:pt>
                <c:pt idx="1">
                  <c:v> 5,5 mM </c:v>
                </c:pt>
                <c:pt idx="2">
                  <c:v> 15 mM </c:v>
                </c:pt>
                <c:pt idx="3">
                  <c:v>55 mM </c:v>
                </c:pt>
              </c:strCache>
            </c:strRef>
          </c:cat>
          <c:val>
            <c:numRef>
              <c:f>'HK2'!$C$88:$C$91</c:f>
              <c:numCache>
                <c:formatCode>General</c:formatCode>
                <c:ptCount val="4"/>
                <c:pt idx="0">
                  <c:v>198</c:v>
                </c:pt>
                <c:pt idx="1">
                  <c:v>196</c:v>
                </c:pt>
                <c:pt idx="2">
                  <c:v>146</c:v>
                </c:pt>
                <c:pt idx="3">
                  <c:v>250</c:v>
                </c:pt>
              </c:numCache>
            </c:numRef>
          </c:val>
          <c:extLst xmlns:c16r2="http://schemas.microsoft.com/office/drawing/2015/06/chart">
            <c:ext xmlns:c16="http://schemas.microsoft.com/office/drawing/2014/chart" uri="{C3380CC4-5D6E-409C-BE32-E72D297353CC}">
              <c16:uniqueId val="{00000003-4CB0-4ADD-8973-274A911F44EF}"/>
            </c:ext>
          </c:extLst>
        </c:ser>
        <c:dLbls>
          <c:showLegendKey val="0"/>
          <c:showVal val="0"/>
          <c:showCatName val="0"/>
          <c:showSerName val="0"/>
          <c:showPercent val="0"/>
          <c:showBubbleSize val="0"/>
        </c:dLbls>
        <c:gapWidth val="150"/>
        <c:axId val="409354240"/>
        <c:axId val="409356160"/>
      </c:barChart>
      <c:catAx>
        <c:axId val="409354240"/>
        <c:scaling>
          <c:orientation val="minMax"/>
        </c:scaling>
        <c:delete val="0"/>
        <c:axPos val="b"/>
        <c:title>
          <c:tx>
            <c:rich>
              <a:bodyPr/>
              <a:lstStyle/>
              <a:p>
                <a:pPr>
                  <a:defRPr/>
                </a:pPr>
                <a:r>
                  <a:rPr lang="tr-TR"/>
                  <a:t>HİPOKSİ</a:t>
                </a:r>
              </a:p>
            </c:rich>
          </c:tx>
          <c:layout>
            <c:manualLayout>
              <c:xMode val="edge"/>
              <c:yMode val="edge"/>
              <c:x val="0.41867541557305338"/>
              <c:y val="3.6087780694079939E-2"/>
            </c:manualLayout>
          </c:layout>
          <c:overlay val="0"/>
        </c:title>
        <c:numFmt formatCode="General" sourceLinked="0"/>
        <c:majorTickMark val="out"/>
        <c:minorTickMark val="none"/>
        <c:tickLblPos val="nextTo"/>
        <c:crossAx val="409356160"/>
        <c:crosses val="autoZero"/>
        <c:auto val="1"/>
        <c:lblAlgn val="ctr"/>
        <c:lblOffset val="100"/>
        <c:noMultiLvlLbl val="0"/>
      </c:catAx>
      <c:valAx>
        <c:axId val="409356160"/>
        <c:scaling>
          <c:orientation val="minMax"/>
        </c:scaling>
        <c:delete val="0"/>
        <c:axPos val="l"/>
        <c:title>
          <c:tx>
            <c:rich>
              <a:bodyPr rot="-5400000" vert="horz"/>
              <a:lstStyle/>
              <a:p>
                <a:pPr>
                  <a:defRPr/>
                </a:pPr>
                <a:r>
                  <a:rPr lang="tr-TR"/>
                  <a:t>HK 2 pg/mL</a:t>
                </a:r>
              </a:p>
            </c:rich>
          </c:tx>
          <c:layout>
            <c:manualLayout>
              <c:xMode val="edge"/>
              <c:yMode val="edge"/>
              <c:x val="1.48565179352581E-2"/>
              <c:y val="0.36741105278506847"/>
            </c:manualLayout>
          </c:layout>
          <c:overlay val="0"/>
        </c:title>
        <c:numFmt formatCode="General" sourceLinked="1"/>
        <c:majorTickMark val="out"/>
        <c:minorTickMark val="none"/>
        <c:tickLblPos val="nextTo"/>
        <c:crossAx val="40935424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0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layout>
        <c:manualLayout>
          <c:xMode val="edge"/>
          <c:yMode val="edge"/>
          <c:x val="0.40431933508311468"/>
          <c:y val="6.0185185185185147E-2"/>
        </c:manualLayout>
      </c:layout>
      <c:overlay val="0"/>
    </c:title>
    <c:autoTitleDeleted val="0"/>
    <c:plotArea>
      <c:layout>
        <c:manualLayout>
          <c:layoutTarget val="inner"/>
          <c:xMode val="edge"/>
          <c:yMode val="edge"/>
          <c:x val="0.17781802274715691"/>
          <c:y val="0.17628499562554681"/>
          <c:w val="0.77773753280840285"/>
          <c:h val="0.54261555847185772"/>
        </c:manualLayout>
      </c:layout>
      <c:barChart>
        <c:barDir val="col"/>
        <c:grouping val="clustered"/>
        <c:varyColors val="0"/>
        <c:ser>
          <c:idx val="0"/>
          <c:order val="0"/>
          <c:tx>
            <c:v>normoksi</c:v>
          </c:tx>
          <c:invertIfNegative val="0"/>
          <c:errBars>
            <c:errBarType val="both"/>
            <c:errValType val="stdErr"/>
            <c:noEndCap val="0"/>
          </c:errBars>
          <c:cat>
            <c:strRef>
              <c:f>'HK2'!$Q$35:$Q$38</c:f>
              <c:strCache>
                <c:ptCount val="4"/>
                <c:pt idx="0">
                  <c:v>6.saat</c:v>
                </c:pt>
                <c:pt idx="1">
                  <c:v>12.saat</c:v>
                </c:pt>
                <c:pt idx="2">
                  <c:v>24.saat</c:v>
                </c:pt>
                <c:pt idx="3">
                  <c:v>48.saat</c:v>
                </c:pt>
              </c:strCache>
            </c:strRef>
          </c:cat>
          <c:val>
            <c:numRef>
              <c:f>('HK2'!$C$35,'HK2'!$C$48,'HK2'!$C$64,'HK2'!$C$84)</c:f>
              <c:numCache>
                <c:formatCode>General</c:formatCode>
                <c:ptCount val="4"/>
                <c:pt idx="0">
                  <c:v>206</c:v>
                </c:pt>
                <c:pt idx="1">
                  <c:v>208</c:v>
                </c:pt>
                <c:pt idx="2">
                  <c:v>212</c:v>
                </c:pt>
                <c:pt idx="3">
                  <c:v>210</c:v>
                </c:pt>
              </c:numCache>
            </c:numRef>
          </c:val>
          <c:extLst xmlns:c16r2="http://schemas.microsoft.com/office/drawing/2015/06/chart">
            <c:ext xmlns:c16="http://schemas.microsoft.com/office/drawing/2014/chart" uri="{C3380CC4-5D6E-409C-BE32-E72D297353CC}">
              <c16:uniqueId val="{00000000-3DDE-48CD-933C-8C85937914BF}"/>
            </c:ext>
          </c:extLst>
        </c:ser>
        <c:ser>
          <c:idx val="1"/>
          <c:order val="1"/>
          <c:tx>
            <c:v>hipoksi</c:v>
          </c:tx>
          <c:invertIfNegative val="0"/>
          <c:errBars>
            <c:errBarType val="both"/>
            <c:errValType val="stdErr"/>
            <c:noEndCap val="0"/>
          </c:errBars>
          <c:cat>
            <c:strRef>
              <c:f>'HK2'!$Q$35:$Q$38</c:f>
              <c:strCache>
                <c:ptCount val="4"/>
                <c:pt idx="0">
                  <c:v>6.saat</c:v>
                </c:pt>
                <c:pt idx="1">
                  <c:v>12.saat</c:v>
                </c:pt>
                <c:pt idx="2">
                  <c:v>24.saat</c:v>
                </c:pt>
                <c:pt idx="3">
                  <c:v>48.saat</c:v>
                </c:pt>
              </c:strCache>
            </c:strRef>
          </c:cat>
          <c:val>
            <c:numRef>
              <c:f>('HK2'!$C$39,'HK2'!$C$52,'HK2'!$C$68,'HK2'!$C$88)</c:f>
              <c:numCache>
                <c:formatCode>General</c:formatCode>
                <c:ptCount val="4"/>
                <c:pt idx="0">
                  <c:v>130</c:v>
                </c:pt>
                <c:pt idx="1">
                  <c:v>278</c:v>
                </c:pt>
                <c:pt idx="2">
                  <c:v>106</c:v>
                </c:pt>
                <c:pt idx="3">
                  <c:v>198</c:v>
                </c:pt>
              </c:numCache>
            </c:numRef>
          </c:val>
          <c:extLst xmlns:c16r2="http://schemas.microsoft.com/office/drawing/2015/06/chart">
            <c:ext xmlns:c16="http://schemas.microsoft.com/office/drawing/2014/chart" uri="{C3380CC4-5D6E-409C-BE32-E72D297353CC}">
              <c16:uniqueId val="{00000001-3DDE-48CD-933C-8C85937914BF}"/>
            </c:ext>
          </c:extLst>
        </c:ser>
        <c:dLbls>
          <c:showLegendKey val="0"/>
          <c:showVal val="0"/>
          <c:showCatName val="0"/>
          <c:showSerName val="0"/>
          <c:showPercent val="0"/>
          <c:showBubbleSize val="0"/>
        </c:dLbls>
        <c:gapWidth val="150"/>
        <c:axId val="377422208"/>
        <c:axId val="377423744"/>
      </c:barChart>
      <c:catAx>
        <c:axId val="377422208"/>
        <c:scaling>
          <c:orientation val="minMax"/>
        </c:scaling>
        <c:delete val="0"/>
        <c:axPos val="b"/>
        <c:numFmt formatCode="General" sourceLinked="0"/>
        <c:majorTickMark val="none"/>
        <c:minorTickMark val="none"/>
        <c:tickLblPos val="nextTo"/>
        <c:crossAx val="377423744"/>
        <c:crosses val="autoZero"/>
        <c:auto val="1"/>
        <c:lblAlgn val="ctr"/>
        <c:lblOffset val="100"/>
        <c:noMultiLvlLbl val="0"/>
      </c:catAx>
      <c:valAx>
        <c:axId val="377423744"/>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HK 2 pg/mL</a:t>
                </a:r>
              </a:p>
            </c:rich>
          </c:tx>
          <c:layout>
            <c:manualLayout>
              <c:xMode val="edge"/>
              <c:yMode val="edge"/>
              <c:x val="4.0565835520559756E-2"/>
              <c:y val="0.26947944006999131"/>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37742220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lgn="ctr">
              <a:defRPr sz="1000">
                <a:latin typeface="Times New Roman" pitchFamily="18" charset="0"/>
                <a:cs typeface="Times New Roman" pitchFamily="18" charset="0"/>
              </a:defRPr>
            </a:pPr>
            <a:r>
              <a:rPr lang="tr-TR" sz="1000">
                <a:latin typeface="Times New Roman" pitchFamily="18" charset="0"/>
                <a:cs typeface="Times New Roman" pitchFamily="18" charset="0"/>
              </a:rPr>
              <a:t>5,5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layout>
        <c:manualLayout>
          <c:xMode val="edge"/>
          <c:yMode val="edge"/>
          <c:x val="0.39204155730533685"/>
          <c:y val="2.7777777777777863E-2"/>
        </c:manualLayout>
      </c:layout>
      <c:overlay val="0"/>
    </c:title>
    <c:autoTitleDeleted val="0"/>
    <c:plotArea>
      <c:layout/>
      <c:barChart>
        <c:barDir val="col"/>
        <c:grouping val="clustered"/>
        <c:varyColors val="0"/>
        <c:ser>
          <c:idx val="0"/>
          <c:order val="0"/>
          <c:tx>
            <c:v>normoksi</c:v>
          </c:tx>
          <c:invertIfNegative val="0"/>
          <c:errBars>
            <c:errBarType val="both"/>
            <c:errValType val="stdErr"/>
            <c:noEndCap val="0"/>
          </c:errBars>
          <c:cat>
            <c:strRef>
              <c:f>'HK2'!$Q$35:$Q$38</c:f>
              <c:strCache>
                <c:ptCount val="4"/>
                <c:pt idx="0">
                  <c:v>6.saat</c:v>
                </c:pt>
                <c:pt idx="1">
                  <c:v>12.saat</c:v>
                </c:pt>
                <c:pt idx="2">
                  <c:v>24.saat</c:v>
                </c:pt>
                <c:pt idx="3">
                  <c:v>48.saat</c:v>
                </c:pt>
              </c:strCache>
            </c:strRef>
          </c:cat>
          <c:val>
            <c:numRef>
              <c:f>('HK2'!$C$36,'HK2'!$C$49,'HK2'!$C$65,'HK2'!$C$85)</c:f>
              <c:numCache>
                <c:formatCode>General</c:formatCode>
                <c:ptCount val="4"/>
                <c:pt idx="0">
                  <c:v>196</c:v>
                </c:pt>
                <c:pt idx="1">
                  <c:v>160</c:v>
                </c:pt>
                <c:pt idx="2">
                  <c:v>118</c:v>
                </c:pt>
                <c:pt idx="3">
                  <c:v>126</c:v>
                </c:pt>
              </c:numCache>
            </c:numRef>
          </c:val>
          <c:extLst xmlns:c16r2="http://schemas.microsoft.com/office/drawing/2015/06/chart">
            <c:ext xmlns:c16="http://schemas.microsoft.com/office/drawing/2014/chart" uri="{C3380CC4-5D6E-409C-BE32-E72D297353CC}">
              <c16:uniqueId val="{00000000-A7B6-4CBA-8C13-430E9E98BCC7}"/>
            </c:ext>
          </c:extLst>
        </c:ser>
        <c:ser>
          <c:idx val="1"/>
          <c:order val="1"/>
          <c:tx>
            <c:v>hipoksi</c:v>
          </c:tx>
          <c:invertIfNegative val="0"/>
          <c:errBars>
            <c:errBarType val="both"/>
            <c:errValType val="stdErr"/>
            <c:noEndCap val="0"/>
          </c:errBars>
          <c:cat>
            <c:strRef>
              <c:f>'HK2'!$Q$35:$Q$38</c:f>
              <c:strCache>
                <c:ptCount val="4"/>
                <c:pt idx="0">
                  <c:v>6.saat</c:v>
                </c:pt>
                <c:pt idx="1">
                  <c:v>12.saat</c:v>
                </c:pt>
                <c:pt idx="2">
                  <c:v>24.saat</c:v>
                </c:pt>
                <c:pt idx="3">
                  <c:v>48.saat</c:v>
                </c:pt>
              </c:strCache>
            </c:strRef>
          </c:cat>
          <c:val>
            <c:numRef>
              <c:f>('HK2'!$C$40,'HK2'!$C$53,'HK2'!$C$69,'HK2'!$C$89)</c:f>
              <c:numCache>
                <c:formatCode>General</c:formatCode>
                <c:ptCount val="4"/>
                <c:pt idx="0">
                  <c:v>102</c:v>
                </c:pt>
                <c:pt idx="1">
                  <c:v>134</c:v>
                </c:pt>
                <c:pt idx="2">
                  <c:v>208</c:v>
                </c:pt>
                <c:pt idx="3">
                  <c:v>196</c:v>
                </c:pt>
              </c:numCache>
            </c:numRef>
          </c:val>
          <c:extLst xmlns:c16r2="http://schemas.microsoft.com/office/drawing/2015/06/chart">
            <c:ext xmlns:c16="http://schemas.microsoft.com/office/drawing/2014/chart" uri="{C3380CC4-5D6E-409C-BE32-E72D297353CC}">
              <c16:uniqueId val="{00000001-A7B6-4CBA-8C13-430E9E98BCC7}"/>
            </c:ext>
          </c:extLst>
        </c:ser>
        <c:dLbls>
          <c:showLegendKey val="0"/>
          <c:showVal val="0"/>
          <c:showCatName val="0"/>
          <c:showSerName val="0"/>
          <c:showPercent val="0"/>
          <c:showBubbleSize val="0"/>
        </c:dLbls>
        <c:gapWidth val="150"/>
        <c:axId val="377465856"/>
        <c:axId val="377471744"/>
      </c:barChart>
      <c:catAx>
        <c:axId val="377465856"/>
        <c:scaling>
          <c:orientation val="minMax"/>
        </c:scaling>
        <c:delete val="0"/>
        <c:axPos val="b"/>
        <c:numFmt formatCode="General" sourceLinked="0"/>
        <c:majorTickMark val="none"/>
        <c:minorTickMark val="none"/>
        <c:tickLblPos val="nextTo"/>
        <c:crossAx val="377471744"/>
        <c:crosses val="autoZero"/>
        <c:auto val="1"/>
        <c:lblAlgn val="ctr"/>
        <c:lblOffset val="100"/>
        <c:noMultiLvlLbl val="0"/>
      </c:catAx>
      <c:valAx>
        <c:axId val="377471744"/>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HK 2 pg/mL</a:t>
                </a: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37746585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15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layout>
        <c:manualLayout>
          <c:xMode val="edge"/>
          <c:yMode val="edge"/>
          <c:x val="0.40015266841644792"/>
          <c:y val="6.0185185185185147E-2"/>
        </c:manualLayout>
      </c:layout>
      <c:overlay val="0"/>
    </c:title>
    <c:autoTitleDeleted val="0"/>
    <c:plotArea>
      <c:layout>
        <c:manualLayout>
          <c:layoutTarget val="inner"/>
          <c:xMode val="edge"/>
          <c:yMode val="edge"/>
          <c:x val="0.17781802274715691"/>
          <c:y val="0.16702573636628754"/>
          <c:w val="0.77773753280840285"/>
          <c:h val="0.54261555847185772"/>
        </c:manualLayout>
      </c:layout>
      <c:barChart>
        <c:barDir val="col"/>
        <c:grouping val="clustered"/>
        <c:varyColors val="0"/>
        <c:ser>
          <c:idx val="0"/>
          <c:order val="0"/>
          <c:tx>
            <c:v>normoksi</c:v>
          </c:tx>
          <c:invertIfNegative val="0"/>
          <c:errBars>
            <c:errBarType val="both"/>
            <c:errValType val="stdErr"/>
            <c:noEndCap val="0"/>
          </c:errBars>
          <c:cat>
            <c:strRef>
              <c:f>'HK2'!$Q$35:$Q$38</c:f>
              <c:strCache>
                <c:ptCount val="4"/>
                <c:pt idx="0">
                  <c:v>6.saat</c:v>
                </c:pt>
                <c:pt idx="1">
                  <c:v>12.saat</c:v>
                </c:pt>
                <c:pt idx="2">
                  <c:v>24.saat</c:v>
                </c:pt>
                <c:pt idx="3">
                  <c:v>48.saat</c:v>
                </c:pt>
              </c:strCache>
            </c:strRef>
          </c:cat>
          <c:val>
            <c:numRef>
              <c:f>('HK2'!$C$37,'HK2'!$C$50,'HK2'!$C$66,'HK2'!$C$86)</c:f>
              <c:numCache>
                <c:formatCode>General</c:formatCode>
                <c:ptCount val="4"/>
                <c:pt idx="0">
                  <c:v>92</c:v>
                </c:pt>
                <c:pt idx="1">
                  <c:v>246</c:v>
                </c:pt>
                <c:pt idx="2">
                  <c:v>62</c:v>
                </c:pt>
                <c:pt idx="3">
                  <c:v>240</c:v>
                </c:pt>
              </c:numCache>
            </c:numRef>
          </c:val>
          <c:extLst xmlns:c16r2="http://schemas.microsoft.com/office/drawing/2015/06/chart">
            <c:ext xmlns:c16="http://schemas.microsoft.com/office/drawing/2014/chart" uri="{C3380CC4-5D6E-409C-BE32-E72D297353CC}">
              <c16:uniqueId val="{00000000-B8B3-4E15-9CA0-0FA628FE19A1}"/>
            </c:ext>
          </c:extLst>
        </c:ser>
        <c:ser>
          <c:idx val="1"/>
          <c:order val="1"/>
          <c:tx>
            <c:v>hipoksi</c:v>
          </c:tx>
          <c:invertIfNegative val="0"/>
          <c:errBars>
            <c:errBarType val="both"/>
            <c:errValType val="stdErr"/>
            <c:noEndCap val="0"/>
          </c:errBars>
          <c:cat>
            <c:strRef>
              <c:f>'HK2'!$Q$35:$Q$38</c:f>
              <c:strCache>
                <c:ptCount val="4"/>
                <c:pt idx="0">
                  <c:v>6.saat</c:v>
                </c:pt>
                <c:pt idx="1">
                  <c:v>12.saat</c:v>
                </c:pt>
                <c:pt idx="2">
                  <c:v>24.saat</c:v>
                </c:pt>
                <c:pt idx="3">
                  <c:v>48.saat</c:v>
                </c:pt>
              </c:strCache>
            </c:strRef>
          </c:cat>
          <c:val>
            <c:numRef>
              <c:f>('HK2'!$C$41,'HK2'!$C$54,'HK2'!$C$70,'HK2'!$C$90)</c:f>
              <c:numCache>
                <c:formatCode>General</c:formatCode>
                <c:ptCount val="4"/>
                <c:pt idx="0">
                  <c:v>130</c:v>
                </c:pt>
                <c:pt idx="1">
                  <c:v>66</c:v>
                </c:pt>
                <c:pt idx="2">
                  <c:v>188</c:v>
                </c:pt>
                <c:pt idx="3">
                  <c:v>146</c:v>
                </c:pt>
              </c:numCache>
            </c:numRef>
          </c:val>
          <c:extLst xmlns:c16r2="http://schemas.microsoft.com/office/drawing/2015/06/chart">
            <c:ext xmlns:c16="http://schemas.microsoft.com/office/drawing/2014/chart" uri="{C3380CC4-5D6E-409C-BE32-E72D297353CC}">
              <c16:uniqueId val="{00000001-B8B3-4E15-9CA0-0FA628FE19A1}"/>
            </c:ext>
          </c:extLst>
        </c:ser>
        <c:dLbls>
          <c:showLegendKey val="0"/>
          <c:showVal val="0"/>
          <c:showCatName val="0"/>
          <c:showSerName val="0"/>
          <c:showPercent val="0"/>
          <c:showBubbleSize val="0"/>
        </c:dLbls>
        <c:gapWidth val="150"/>
        <c:axId val="386360064"/>
        <c:axId val="386361600"/>
      </c:barChart>
      <c:catAx>
        <c:axId val="386360064"/>
        <c:scaling>
          <c:orientation val="minMax"/>
        </c:scaling>
        <c:delete val="0"/>
        <c:axPos val="b"/>
        <c:numFmt formatCode="General" sourceLinked="0"/>
        <c:majorTickMark val="none"/>
        <c:minorTickMark val="none"/>
        <c:tickLblPos val="nextTo"/>
        <c:crossAx val="386361600"/>
        <c:crosses val="autoZero"/>
        <c:auto val="1"/>
        <c:lblAlgn val="ctr"/>
        <c:lblOffset val="100"/>
        <c:noMultiLvlLbl val="0"/>
      </c:catAx>
      <c:valAx>
        <c:axId val="386361600"/>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HK 2 pg/mL</a:t>
                </a:r>
              </a:p>
            </c:rich>
          </c:tx>
          <c:layout>
            <c:manualLayout>
              <c:xMode val="edge"/>
              <c:yMode val="edge"/>
              <c:x val="3.333333333333334E-2"/>
              <c:y val="0.31577573636628758"/>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8636006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tr-TR" sz="1000"/>
              <a:t>55 mM Glukoz</a:t>
            </a:r>
          </a:p>
        </c:rich>
      </c:tx>
      <c:layout>
        <c:manualLayout>
          <c:xMode val="edge"/>
          <c:yMode val="edge"/>
          <c:x val="0.4029304461942258"/>
          <c:y val="4.8338368580060374E-2"/>
        </c:manualLayout>
      </c:layout>
      <c:overlay val="0"/>
    </c:title>
    <c:autoTitleDeleted val="0"/>
    <c:plotArea>
      <c:layout>
        <c:manualLayout>
          <c:layoutTarget val="inner"/>
          <c:xMode val="edge"/>
          <c:yMode val="edge"/>
          <c:x val="0.17781802274715691"/>
          <c:y val="0.14237277631962617"/>
          <c:w val="0.77773753280840285"/>
          <c:h val="0.57652777777777753"/>
        </c:manualLayout>
      </c:layout>
      <c:barChart>
        <c:barDir val="col"/>
        <c:grouping val="clustered"/>
        <c:varyColors val="0"/>
        <c:ser>
          <c:idx val="0"/>
          <c:order val="0"/>
          <c:tx>
            <c:v>normoksi</c:v>
          </c:tx>
          <c:invertIfNegative val="0"/>
          <c:errBars>
            <c:errBarType val="both"/>
            <c:errValType val="stdErr"/>
            <c:noEndCap val="0"/>
          </c:errBars>
          <c:cat>
            <c:strRef>
              <c:f>'HK2'!$Q$35:$Q$38</c:f>
              <c:strCache>
                <c:ptCount val="4"/>
                <c:pt idx="0">
                  <c:v>6.saat</c:v>
                </c:pt>
                <c:pt idx="1">
                  <c:v>12.saat</c:v>
                </c:pt>
                <c:pt idx="2">
                  <c:v>24.saat</c:v>
                </c:pt>
                <c:pt idx="3">
                  <c:v>48.saat</c:v>
                </c:pt>
              </c:strCache>
            </c:strRef>
          </c:cat>
          <c:val>
            <c:numRef>
              <c:f>('HK2'!$C$38,'HK2'!$C$51,'HK2'!$C$67,'HK2'!$C$87)</c:f>
              <c:numCache>
                <c:formatCode>General</c:formatCode>
                <c:ptCount val="4"/>
                <c:pt idx="0">
                  <c:v>154</c:v>
                </c:pt>
                <c:pt idx="1">
                  <c:v>288</c:v>
                </c:pt>
                <c:pt idx="2">
                  <c:v>126</c:v>
                </c:pt>
                <c:pt idx="3">
                  <c:v>232</c:v>
                </c:pt>
              </c:numCache>
            </c:numRef>
          </c:val>
          <c:extLst xmlns:c16r2="http://schemas.microsoft.com/office/drawing/2015/06/chart">
            <c:ext xmlns:c16="http://schemas.microsoft.com/office/drawing/2014/chart" uri="{C3380CC4-5D6E-409C-BE32-E72D297353CC}">
              <c16:uniqueId val="{00000000-AA65-4B74-9A5C-7A6421C54809}"/>
            </c:ext>
          </c:extLst>
        </c:ser>
        <c:ser>
          <c:idx val="1"/>
          <c:order val="1"/>
          <c:tx>
            <c:v>hipoksi</c:v>
          </c:tx>
          <c:invertIfNegative val="0"/>
          <c:errBars>
            <c:errBarType val="both"/>
            <c:errValType val="stdErr"/>
            <c:noEndCap val="0"/>
          </c:errBars>
          <c:cat>
            <c:strRef>
              <c:f>'HK2'!$Q$35:$Q$38</c:f>
              <c:strCache>
                <c:ptCount val="4"/>
                <c:pt idx="0">
                  <c:v>6.saat</c:v>
                </c:pt>
                <c:pt idx="1">
                  <c:v>12.saat</c:v>
                </c:pt>
                <c:pt idx="2">
                  <c:v>24.saat</c:v>
                </c:pt>
                <c:pt idx="3">
                  <c:v>48.saat</c:v>
                </c:pt>
              </c:strCache>
            </c:strRef>
          </c:cat>
          <c:val>
            <c:numRef>
              <c:f>('HK2'!$C$42,'HK2'!$C$55,'HK2'!$C$71,'HK2'!$C$91)</c:f>
              <c:numCache>
                <c:formatCode>General</c:formatCode>
                <c:ptCount val="4"/>
                <c:pt idx="0">
                  <c:v>236</c:v>
                </c:pt>
                <c:pt idx="1">
                  <c:v>100</c:v>
                </c:pt>
                <c:pt idx="2">
                  <c:v>152</c:v>
                </c:pt>
                <c:pt idx="3">
                  <c:v>250</c:v>
                </c:pt>
              </c:numCache>
            </c:numRef>
          </c:val>
          <c:extLst xmlns:c16r2="http://schemas.microsoft.com/office/drawing/2015/06/chart">
            <c:ext xmlns:c16="http://schemas.microsoft.com/office/drawing/2014/chart" uri="{C3380CC4-5D6E-409C-BE32-E72D297353CC}">
              <c16:uniqueId val="{00000001-AA65-4B74-9A5C-7A6421C54809}"/>
            </c:ext>
          </c:extLst>
        </c:ser>
        <c:dLbls>
          <c:showLegendKey val="0"/>
          <c:showVal val="0"/>
          <c:showCatName val="0"/>
          <c:showSerName val="0"/>
          <c:showPercent val="0"/>
          <c:showBubbleSize val="0"/>
        </c:dLbls>
        <c:gapWidth val="150"/>
        <c:axId val="386275584"/>
        <c:axId val="386277376"/>
      </c:barChart>
      <c:catAx>
        <c:axId val="386275584"/>
        <c:scaling>
          <c:orientation val="minMax"/>
        </c:scaling>
        <c:delete val="0"/>
        <c:axPos val="b"/>
        <c:numFmt formatCode="General" sourceLinked="0"/>
        <c:majorTickMark val="none"/>
        <c:minorTickMark val="none"/>
        <c:tickLblPos val="nextTo"/>
        <c:crossAx val="386277376"/>
        <c:crosses val="autoZero"/>
        <c:auto val="1"/>
        <c:lblAlgn val="ctr"/>
        <c:lblOffset val="100"/>
        <c:noMultiLvlLbl val="0"/>
      </c:catAx>
      <c:valAx>
        <c:axId val="386277376"/>
        <c:scaling>
          <c:orientation val="minMax"/>
        </c:scaling>
        <c:delete val="0"/>
        <c:axPos val="l"/>
        <c:title>
          <c:tx>
            <c:rich>
              <a:bodyPr/>
              <a:lstStyle/>
              <a:p>
                <a:pPr>
                  <a:defRPr sz="1000"/>
                </a:pPr>
                <a:r>
                  <a:rPr lang="tr-TR" sz="1000"/>
                  <a:t>HK 2 pg/mL</a:t>
                </a:r>
              </a:p>
            </c:rich>
          </c:tx>
          <c:layout>
            <c:manualLayout>
              <c:xMode val="edge"/>
              <c:yMode val="edge"/>
              <c:x val="4.7222222222222332E-2"/>
              <c:y val="0.28030110819481047"/>
            </c:manualLayout>
          </c:layout>
          <c:overlay val="0"/>
        </c:title>
        <c:numFmt formatCode="General" sourceLinked="1"/>
        <c:majorTickMark val="none"/>
        <c:minorTickMark val="none"/>
        <c:tickLblPos val="nextTo"/>
        <c:crossAx val="38627558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67321459031457"/>
          <c:y val="8.4053310397582848E-2"/>
          <c:w val="0.71836001749781275"/>
          <c:h val="0.87405074365704283"/>
        </c:manualLayout>
      </c:layout>
      <c:lineChart>
        <c:grouping val="standard"/>
        <c:varyColors val="0"/>
        <c:ser>
          <c:idx val="0"/>
          <c:order val="0"/>
          <c:tx>
            <c:v>0 mM</c:v>
          </c:tx>
          <c:errBars>
            <c:errDir val="y"/>
            <c:errBarType val="both"/>
            <c:errValType val="stdErr"/>
            <c:noEndCap val="0"/>
          </c:errBars>
          <c:cat>
            <c:strRef>
              <c:f>'PFK1'!$R$35:$R$38</c:f>
              <c:strCache>
                <c:ptCount val="4"/>
                <c:pt idx="0">
                  <c:v>6.saat</c:v>
                </c:pt>
                <c:pt idx="1">
                  <c:v>12.saat</c:v>
                </c:pt>
                <c:pt idx="2">
                  <c:v>24.saat</c:v>
                </c:pt>
                <c:pt idx="3">
                  <c:v>48.saat</c:v>
                </c:pt>
              </c:strCache>
            </c:strRef>
          </c:cat>
          <c:val>
            <c:numRef>
              <c:f>('PFK1'!$C$36,'PFK1'!$C$49,'PFK1'!$C$65,'PFK1'!$C$85)</c:f>
              <c:numCache>
                <c:formatCode>General</c:formatCode>
                <c:ptCount val="4"/>
                <c:pt idx="0">
                  <c:v>0.92900000000000005</c:v>
                </c:pt>
                <c:pt idx="1">
                  <c:v>0.59699999999999998</c:v>
                </c:pt>
                <c:pt idx="2">
                  <c:v>0.97800000000000065</c:v>
                </c:pt>
                <c:pt idx="3">
                  <c:v>0.61300000000000165</c:v>
                </c:pt>
              </c:numCache>
            </c:numRef>
          </c:val>
          <c:smooth val="0"/>
          <c:extLst xmlns:c16r2="http://schemas.microsoft.com/office/drawing/2015/06/chart">
            <c:ext xmlns:c16="http://schemas.microsoft.com/office/drawing/2014/chart" uri="{C3380CC4-5D6E-409C-BE32-E72D297353CC}">
              <c16:uniqueId val="{00000000-B268-42AF-8262-4316492FF4E9}"/>
            </c:ext>
          </c:extLst>
        </c:ser>
        <c:ser>
          <c:idx val="1"/>
          <c:order val="1"/>
          <c:tx>
            <c:v>5,5 mM</c:v>
          </c:tx>
          <c:errBars>
            <c:errDir val="y"/>
            <c:errBarType val="both"/>
            <c:errValType val="stdErr"/>
            <c:noEndCap val="0"/>
          </c:errBars>
          <c:cat>
            <c:strRef>
              <c:f>'PFK1'!$R$35:$R$38</c:f>
              <c:strCache>
                <c:ptCount val="4"/>
                <c:pt idx="0">
                  <c:v>6.saat</c:v>
                </c:pt>
                <c:pt idx="1">
                  <c:v>12.saat</c:v>
                </c:pt>
                <c:pt idx="2">
                  <c:v>24.saat</c:v>
                </c:pt>
                <c:pt idx="3">
                  <c:v>48.saat</c:v>
                </c:pt>
              </c:strCache>
            </c:strRef>
          </c:cat>
          <c:val>
            <c:numRef>
              <c:f>('PFK1'!$C$37,'PFK1'!$C$50,'PFK1'!$C$66,'PFK1'!$C$86)</c:f>
              <c:numCache>
                <c:formatCode>General</c:formatCode>
                <c:ptCount val="4"/>
                <c:pt idx="0">
                  <c:v>0.78300000000000003</c:v>
                </c:pt>
                <c:pt idx="1">
                  <c:v>0.24900000000000044</c:v>
                </c:pt>
                <c:pt idx="2">
                  <c:v>0.33800000000000135</c:v>
                </c:pt>
                <c:pt idx="3">
                  <c:v>0.45100000000000001</c:v>
                </c:pt>
              </c:numCache>
            </c:numRef>
          </c:val>
          <c:smooth val="0"/>
          <c:extLst xmlns:c16r2="http://schemas.microsoft.com/office/drawing/2015/06/chart">
            <c:ext xmlns:c16="http://schemas.microsoft.com/office/drawing/2014/chart" uri="{C3380CC4-5D6E-409C-BE32-E72D297353CC}">
              <c16:uniqueId val="{00000001-B268-42AF-8262-4316492FF4E9}"/>
            </c:ext>
          </c:extLst>
        </c:ser>
        <c:ser>
          <c:idx val="2"/>
          <c:order val="2"/>
          <c:tx>
            <c:v>15 mM</c:v>
          </c:tx>
          <c:errBars>
            <c:errDir val="y"/>
            <c:errBarType val="both"/>
            <c:errValType val="stdErr"/>
            <c:noEndCap val="0"/>
          </c:errBars>
          <c:cat>
            <c:strRef>
              <c:f>'PFK1'!$R$35:$R$38</c:f>
              <c:strCache>
                <c:ptCount val="4"/>
                <c:pt idx="0">
                  <c:v>6.saat</c:v>
                </c:pt>
                <c:pt idx="1">
                  <c:v>12.saat</c:v>
                </c:pt>
                <c:pt idx="2">
                  <c:v>24.saat</c:v>
                </c:pt>
                <c:pt idx="3">
                  <c:v>48.saat</c:v>
                </c:pt>
              </c:strCache>
            </c:strRef>
          </c:cat>
          <c:val>
            <c:numRef>
              <c:f>('PFK1'!$C$38,'PFK1'!$C$51,'PFK1'!$C$67,'PFK1'!$C$87)</c:f>
              <c:numCache>
                <c:formatCode>General</c:formatCode>
                <c:ptCount val="4"/>
                <c:pt idx="0">
                  <c:v>4.5999999999999999E-2</c:v>
                </c:pt>
                <c:pt idx="1">
                  <c:v>0.68600000000000005</c:v>
                </c:pt>
                <c:pt idx="2">
                  <c:v>1.4E-2</c:v>
                </c:pt>
                <c:pt idx="3">
                  <c:v>0.64600000000000224</c:v>
                </c:pt>
              </c:numCache>
            </c:numRef>
          </c:val>
          <c:smooth val="0"/>
          <c:extLst xmlns:c16r2="http://schemas.microsoft.com/office/drawing/2015/06/chart">
            <c:ext xmlns:c16="http://schemas.microsoft.com/office/drawing/2014/chart" uri="{C3380CC4-5D6E-409C-BE32-E72D297353CC}">
              <c16:uniqueId val="{00000002-B268-42AF-8262-4316492FF4E9}"/>
            </c:ext>
          </c:extLst>
        </c:ser>
        <c:ser>
          <c:idx val="3"/>
          <c:order val="3"/>
          <c:tx>
            <c:v>55 mM</c:v>
          </c:tx>
          <c:errBars>
            <c:errDir val="y"/>
            <c:errBarType val="both"/>
            <c:errValType val="stdErr"/>
            <c:noEndCap val="0"/>
          </c:errBars>
          <c:cat>
            <c:strRef>
              <c:f>'PFK1'!$R$35:$R$38</c:f>
              <c:strCache>
                <c:ptCount val="4"/>
                <c:pt idx="0">
                  <c:v>6.saat</c:v>
                </c:pt>
                <c:pt idx="1">
                  <c:v>12.saat</c:v>
                </c:pt>
                <c:pt idx="2">
                  <c:v>24.saat</c:v>
                </c:pt>
                <c:pt idx="3">
                  <c:v>48.saat</c:v>
                </c:pt>
              </c:strCache>
            </c:strRef>
          </c:cat>
          <c:val>
            <c:numRef>
              <c:f>('PFK1'!$C$39,'PFK1'!$C$52,'PFK1'!$C$68,'PFK1'!$C$88)</c:f>
              <c:numCache>
                <c:formatCode>General</c:formatCode>
                <c:ptCount val="4"/>
                <c:pt idx="0">
                  <c:v>0.20800000000000021</c:v>
                </c:pt>
                <c:pt idx="1">
                  <c:v>1.1319999999999955</c:v>
                </c:pt>
                <c:pt idx="2">
                  <c:v>0.314000000000001</c:v>
                </c:pt>
                <c:pt idx="3">
                  <c:v>0.89700000000000002</c:v>
                </c:pt>
              </c:numCache>
            </c:numRef>
          </c:val>
          <c:smooth val="0"/>
          <c:extLst xmlns:c16r2="http://schemas.microsoft.com/office/drawing/2015/06/chart">
            <c:ext xmlns:c16="http://schemas.microsoft.com/office/drawing/2014/chart" uri="{C3380CC4-5D6E-409C-BE32-E72D297353CC}">
              <c16:uniqueId val="{00000003-B268-42AF-8262-4316492FF4E9}"/>
            </c:ext>
          </c:extLst>
        </c:ser>
        <c:dLbls>
          <c:showLegendKey val="0"/>
          <c:showVal val="0"/>
          <c:showCatName val="0"/>
          <c:showSerName val="0"/>
          <c:showPercent val="0"/>
          <c:showBubbleSize val="0"/>
        </c:dLbls>
        <c:marker val="1"/>
        <c:smooth val="0"/>
        <c:axId val="386325504"/>
        <c:axId val="386331776"/>
      </c:lineChart>
      <c:catAx>
        <c:axId val="386325504"/>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NORMOKSİ</a:t>
                </a:r>
              </a:p>
            </c:rich>
          </c:tx>
          <c:layout>
            <c:manualLayout>
              <c:xMode val="edge"/>
              <c:yMode val="edge"/>
              <c:x val="0.40167541557305336"/>
              <c:y val="1.2939632545931772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86331776"/>
        <c:crosses val="autoZero"/>
        <c:auto val="1"/>
        <c:lblAlgn val="ctr"/>
        <c:lblOffset val="100"/>
        <c:noMultiLvlLbl val="0"/>
      </c:catAx>
      <c:valAx>
        <c:axId val="386331776"/>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PFKP</a:t>
                </a:r>
                <a:r>
                  <a:rPr lang="tr-TR" sz="1000" baseline="0">
                    <a:latin typeface="Times New Roman" pitchFamily="18" charset="0"/>
                    <a:cs typeface="Times New Roman" pitchFamily="18" charset="0"/>
                  </a:rPr>
                  <a:t> ng/mL</a:t>
                </a:r>
                <a:endParaRPr lang="tr-TR" sz="1000">
                  <a:latin typeface="Times New Roman" pitchFamily="18" charset="0"/>
                  <a:cs typeface="Times New Roman" pitchFamily="18" charset="0"/>
                </a:endParaRPr>
              </a:p>
            </c:rich>
          </c:tx>
          <c:layout>
            <c:manualLayout>
              <c:xMode val="edge"/>
              <c:yMode val="edge"/>
              <c:x val="0"/>
              <c:y val="0.32077537182852273"/>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86325504"/>
        <c:crosses val="autoZero"/>
        <c:crossBetween val="between"/>
      </c:valAx>
    </c:plotArea>
    <c:legend>
      <c:legendPos val="r"/>
      <c:layout>
        <c:manualLayout>
          <c:xMode val="edge"/>
          <c:yMode val="edge"/>
          <c:x val="0.82658567050188025"/>
          <c:y val="0.33757568607452426"/>
          <c:w val="0.1706528871391077"/>
          <c:h val="0.33486876640420243"/>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spPr>
    <a:solidFill>
      <a:schemeClr val="bg1">
        <a:lumMod val="75000"/>
      </a:schemeClr>
    </a:solidFill>
    <a:ln>
      <a:solidFill>
        <a:schemeClr val="bg1">
          <a:lumMod val="85000"/>
        </a:schemeClr>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1017954516692"/>
          <c:y val="0.15642308848658326"/>
          <c:w val="0.69474834513610362"/>
          <c:h val="0.78145815106445027"/>
        </c:manualLayout>
      </c:layout>
      <c:lineChart>
        <c:grouping val="standard"/>
        <c:varyColors val="0"/>
        <c:ser>
          <c:idx val="0"/>
          <c:order val="0"/>
          <c:tx>
            <c:v>0 mM</c:v>
          </c:tx>
          <c:errBars>
            <c:errDir val="y"/>
            <c:errBarType val="both"/>
            <c:errValType val="stdErr"/>
            <c:noEndCap val="0"/>
          </c:errBars>
          <c:cat>
            <c:strRef>
              <c:f>'PFK1'!$R$35:$R$38</c:f>
              <c:strCache>
                <c:ptCount val="4"/>
                <c:pt idx="0">
                  <c:v>6.saat</c:v>
                </c:pt>
                <c:pt idx="1">
                  <c:v>12.saat</c:v>
                </c:pt>
                <c:pt idx="2">
                  <c:v>24.saat</c:v>
                </c:pt>
                <c:pt idx="3">
                  <c:v>48.saat</c:v>
                </c:pt>
              </c:strCache>
            </c:strRef>
          </c:cat>
          <c:val>
            <c:numRef>
              <c:f>('PFK1'!$C$40,'PFK1'!$C$53,'PFK1'!$C$69,'PFK1'!$C$89)</c:f>
              <c:numCache>
                <c:formatCode>General</c:formatCode>
                <c:ptCount val="4"/>
                <c:pt idx="0">
                  <c:v>0.82399999999999995</c:v>
                </c:pt>
                <c:pt idx="1">
                  <c:v>0.62900000000000222</c:v>
                </c:pt>
                <c:pt idx="2">
                  <c:v>0.67800000000000271</c:v>
                </c:pt>
                <c:pt idx="3">
                  <c:v>0.23300000000000001</c:v>
                </c:pt>
              </c:numCache>
            </c:numRef>
          </c:val>
          <c:smooth val="0"/>
          <c:extLst xmlns:c16r2="http://schemas.microsoft.com/office/drawing/2015/06/chart">
            <c:ext xmlns:c16="http://schemas.microsoft.com/office/drawing/2014/chart" uri="{C3380CC4-5D6E-409C-BE32-E72D297353CC}">
              <c16:uniqueId val="{00000000-2C57-406D-9B26-FA6A62230C60}"/>
            </c:ext>
          </c:extLst>
        </c:ser>
        <c:ser>
          <c:idx val="1"/>
          <c:order val="1"/>
          <c:tx>
            <c:v>5,5 mM</c:v>
          </c:tx>
          <c:errBars>
            <c:errDir val="y"/>
            <c:errBarType val="both"/>
            <c:errValType val="stdErr"/>
            <c:noEndCap val="0"/>
          </c:errBars>
          <c:cat>
            <c:strRef>
              <c:f>'PFK1'!$R$35:$R$38</c:f>
              <c:strCache>
                <c:ptCount val="4"/>
                <c:pt idx="0">
                  <c:v>6.saat</c:v>
                </c:pt>
                <c:pt idx="1">
                  <c:v>12.saat</c:v>
                </c:pt>
                <c:pt idx="2">
                  <c:v>24.saat</c:v>
                </c:pt>
                <c:pt idx="3">
                  <c:v>48.saat</c:v>
                </c:pt>
              </c:strCache>
            </c:strRef>
          </c:cat>
          <c:val>
            <c:numRef>
              <c:f>('PFK1'!$C$41,'PFK1'!$C$54,'PFK1'!$C$70)</c:f>
              <c:numCache>
                <c:formatCode>General</c:formatCode>
                <c:ptCount val="3"/>
                <c:pt idx="0">
                  <c:v>0.24100000000000021</c:v>
                </c:pt>
                <c:pt idx="1">
                  <c:v>0.25700000000000001</c:v>
                </c:pt>
                <c:pt idx="2">
                  <c:v>0.48400000000000032</c:v>
                </c:pt>
              </c:numCache>
            </c:numRef>
          </c:val>
          <c:smooth val="0"/>
          <c:extLst xmlns:c16r2="http://schemas.microsoft.com/office/drawing/2015/06/chart">
            <c:ext xmlns:c16="http://schemas.microsoft.com/office/drawing/2014/chart" uri="{C3380CC4-5D6E-409C-BE32-E72D297353CC}">
              <c16:uniqueId val="{00000001-2C57-406D-9B26-FA6A62230C60}"/>
            </c:ext>
          </c:extLst>
        </c:ser>
        <c:ser>
          <c:idx val="2"/>
          <c:order val="2"/>
          <c:tx>
            <c:v>15 mM</c:v>
          </c:tx>
          <c:errBars>
            <c:errDir val="y"/>
            <c:errBarType val="both"/>
            <c:errValType val="stdErr"/>
            <c:noEndCap val="0"/>
          </c:errBars>
          <c:cat>
            <c:strRef>
              <c:f>'PFK1'!$R$35:$R$38</c:f>
              <c:strCache>
                <c:ptCount val="4"/>
                <c:pt idx="0">
                  <c:v>6.saat</c:v>
                </c:pt>
                <c:pt idx="1">
                  <c:v>12.saat</c:v>
                </c:pt>
                <c:pt idx="2">
                  <c:v>24.saat</c:v>
                </c:pt>
                <c:pt idx="3">
                  <c:v>48.saat</c:v>
                </c:pt>
              </c:strCache>
            </c:strRef>
          </c:cat>
          <c:val>
            <c:numRef>
              <c:f>('PFK1'!$C$42,'PFK1'!$C$55,'PFK1'!$C$71,'PFK1'!$C$91)</c:f>
              <c:numCache>
                <c:formatCode>General</c:formatCode>
                <c:ptCount val="4"/>
                <c:pt idx="0">
                  <c:v>0.68600000000000005</c:v>
                </c:pt>
                <c:pt idx="1">
                  <c:v>2.0000000000000011E-2</c:v>
                </c:pt>
                <c:pt idx="2">
                  <c:v>0.79100000000000004</c:v>
                </c:pt>
                <c:pt idx="3">
                  <c:v>0.66200000000000259</c:v>
                </c:pt>
              </c:numCache>
            </c:numRef>
          </c:val>
          <c:smooth val="0"/>
          <c:extLst xmlns:c16r2="http://schemas.microsoft.com/office/drawing/2015/06/chart">
            <c:ext xmlns:c16="http://schemas.microsoft.com/office/drawing/2014/chart" uri="{C3380CC4-5D6E-409C-BE32-E72D297353CC}">
              <c16:uniqueId val="{00000002-2C57-406D-9B26-FA6A62230C60}"/>
            </c:ext>
          </c:extLst>
        </c:ser>
        <c:ser>
          <c:idx val="3"/>
          <c:order val="3"/>
          <c:tx>
            <c:v>55 mM</c:v>
          </c:tx>
          <c:errBars>
            <c:errDir val="y"/>
            <c:errBarType val="both"/>
            <c:errValType val="stdErr"/>
            <c:noEndCap val="0"/>
          </c:errBars>
          <c:cat>
            <c:strRef>
              <c:f>'PFK1'!$R$35:$R$38</c:f>
              <c:strCache>
                <c:ptCount val="4"/>
                <c:pt idx="0">
                  <c:v>6.saat</c:v>
                </c:pt>
                <c:pt idx="1">
                  <c:v>12.saat</c:v>
                </c:pt>
                <c:pt idx="2">
                  <c:v>24.saat</c:v>
                </c:pt>
                <c:pt idx="3">
                  <c:v>48.saat</c:v>
                </c:pt>
              </c:strCache>
            </c:strRef>
          </c:cat>
          <c:val>
            <c:numRef>
              <c:f>('PFK1'!$C$43,'PFK1'!$C$56,'PFK1'!$C$72,'PFK1'!$C$92)</c:f>
              <c:numCache>
                <c:formatCode>General</c:formatCode>
                <c:ptCount val="4"/>
                <c:pt idx="0">
                  <c:v>0.57299999999999995</c:v>
                </c:pt>
                <c:pt idx="1">
                  <c:v>0.224</c:v>
                </c:pt>
                <c:pt idx="2">
                  <c:v>0.39500000000000135</c:v>
                </c:pt>
                <c:pt idx="3">
                  <c:v>0.77500000000000235</c:v>
                </c:pt>
              </c:numCache>
            </c:numRef>
          </c:val>
          <c:smooth val="0"/>
          <c:extLst xmlns:c16r2="http://schemas.microsoft.com/office/drawing/2015/06/chart">
            <c:ext xmlns:c16="http://schemas.microsoft.com/office/drawing/2014/chart" uri="{C3380CC4-5D6E-409C-BE32-E72D297353CC}">
              <c16:uniqueId val="{00000003-2C57-406D-9B26-FA6A62230C60}"/>
            </c:ext>
          </c:extLst>
        </c:ser>
        <c:dLbls>
          <c:showLegendKey val="0"/>
          <c:showVal val="0"/>
          <c:showCatName val="0"/>
          <c:showSerName val="0"/>
          <c:showPercent val="0"/>
          <c:showBubbleSize val="0"/>
        </c:dLbls>
        <c:marker val="1"/>
        <c:smooth val="0"/>
        <c:axId val="388061824"/>
        <c:axId val="386671360"/>
      </c:lineChart>
      <c:catAx>
        <c:axId val="388061824"/>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HİPOKSİ</a:t>
                </a:r>
              </a:p>
            </c:rich>
          </c:tx>
          <c:layout>
            <c:manualLayout>
              <c:xMode val="edge"/>
              <c:yMode val="edge"/>
              <c:x val="0.40699897831563048"/>
              <c:y val="4.1934931506849356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86671360"/>
        <c:crosses val="autoZero"/>
        <c:auto val="1"/>
        <c:lblAlgn val="ctr"/>
        <c:lblOffset val="100"/>
        <c:noMultiLvlLbl val="0"/>
      </c:catAx>
      <c:valAx>
        <c:axId val="386671360"/>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PFKP</a:t>
                </a:r>
                <a:r>
                  <a:rPr lang="tr-TR" sz="1000" baseline="0">
                    <a:latin typeface="Times New Roman" pitchFamily="18" charset="0"/>
                    <a:cs typeface="Times New Roman" pitchFamily="18" charset="0"/>
                  </a:rPr>
                  <a:t> ng/mL</a:t>
                </a:r>
                <a:endParaRPr lang="tr-TR" sz="1000">
                  <a:latin typeface="Times New Roman" pitchFamily="18" charset="0"/>
                  <a:cs typeface="Times New Roman" pitchFamily="18" charset="0"/>
                </a:endParaRPr>
              </a:p>
            </c:rich>
          </c:tx>
          <c:layout>
            <c:manualLayout>
              <c:xMode val="edge"/>
              <c:yMode val="edge"/>
              <c:x val="1.8962786884343861E-2"/>
              <c:y val="0.3775759905313914"/>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88061824"/>
        <c:crosses val="autoZero"/>
        <c:crossBetween val="between"/>
      </c:valAx>
    </c:plotArea>
    <c:legend>
      <c:legendPos val="r"/>
      <c:layout>
        <c:manualLayout>
          <c:xMode val="edge"/>
          <c:yMode val="edge"/>
          <c:x val="0.82761705101327765"/>
          <c:y val="0.33625738783618708"/>
          <c:w val="0.17238294898672271"/>
          <c:h val="0.32781011069268617"/>
        </c:manualLayout>
      </c:layou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spPr>
    <a:solidFill>
      <a:schemeClr val="bg1">
        <a:lumMod val="75000"/>
      </a:schemeClr>
    </a:soli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7228018372703507"/>
          <c:y val="0.12576795211053948"/>
          <c:w val="0.6874711286089239"/>
          <c:h val="0.79457910964270506"/>
        </c:manualLayout>
      </c:layout>
      <c:barChart>
        <c:barDir val="col"/>
        <c:grouping val="clustered"/>
        <c:varyColors val="0"/>
        <c:ser>
          <c:idx val="0"/>
          <c:order val="0"/>
          <c:tx>
            <c:v>6.saat</c:v>
          </c:tx>
          <c:invertIfNegative val="0"/>
          <c:errBars>
            <c:errBarType val="both"/>
            <c:errValType val="stdErr"/>
            <c:noEndCap val="0"/>
          </c:errBars>
          <c:cat>
            <c:strRef>
              <c:f>'PFK1'!$R$42:$R$45</c:f>
              <c:strCache>
                <c:ptCount val="4"/>
                <c:pt idx="0">
                  <c:v> 0 mM </c:v>
                </c:pt>
                <c:pt idx="1">
                  <c:v> 5,5 mM </c:v>
                </c:pt>
                <c:pt idx="2">
                  <c:v> 15 mM </c:v>
                </c:pt>
                <c:pt idx="3">
                  <c:v>55 mM </c:v>
                </c:pt>
              </c:strCache>
            </c:strRef>
          </c:cat>
          <c:val>
            <c:numRef>
              <c:f>'PFK1'!$C$36:$C$39</c:f>
              <c:numCache>
                <c:formatCode>General</c:formatCode>
                <c:ptCount val="4"/>
                <c:pt idx="0">
                  <c:v>0.92900000000000005</c:v>
                </c:pt>
                <c:pt idx="1">
                  <c:v>0.78300000000000003</c:v>
                </c:pt>
                <c:pt idx="2">
                  <c:v>4.5999999999999999E-2</c:v>
                </c:pt>
                <c:pt idx="3">
                  <c:v>0.20800000000000021</c:v>
                </c:pt>
              </c:numCache>
            </c:numRef>
          </c:val>
          <c:extLst xmlns:c16r2="http://schemas.microsoft.com/office/drawing/2015/06/chart">
            <c:ext xmlns:c16="http://schemas.microsoft.com/office/drawing/2014/chart" uri="{C3380CC4-5D6E-409C-BE32-E72D297353CC}">
              <c16:uniqueId val="{00000000-35F1-46B6-B2AB-449F6DF8F063}"/>
            </c:ext>
          </c:extLst>
        </c:ser>
        <c:ser>
          <c:idx val="1"/>
          <c:order val="1"/>
          <c:tx>
            <c:v>12.saat</c:v>
          </c:tx>
          <c:invertIfNegative val="0"/>
          <c:errBars>
            <c:errBarType val="both"/>
            <c:errValType val="stdErr"/>
            <c:noEndCap val="0"/>
          </c:errBars>
          <c:cat>
            <c:strRef>
              <c:f>'PFK1'!$R$42:$R$45</c:f>
              <c:strCache>
                <c:ptCount val="4"/>
                <c:pt idx="0">
                  <c:v> 0 mM </c:v>
                </c:pt>
                <c:pt idx="1">
                  <c:v> 5,5 mM </c:v>
                </c:pt>
                <c:pt idx="2">
                  <c:v> 15 mM </c:v>
                </c:pt>
                <c:pt idx="3">
                  <c:v>55 mM </c:v>
                </c:pt>
              </c:strCache>
            </c:strRef>
          </c:cat>
          <c:val>
            <c:numRef>
              <c:f>'PFK1'!$C$49:$C$52</c:f>
              <c:numCache>
                <c:formatCode>General</c:formatCode>
                <c:ptCount val="4"/>
                <c:pt idx="0">
                  <c:v>0.59699999999999998</c:v>
                </c:pt>
                <c:pt idx="1">
                  <c:v>0.24900000000000044</c:v>
                </c:pt>
                <c:pt idx="2">
                  <c:v>0.68600000000000005</c:v>
                </c:pt>
                <c:pt idx="3">
                  <c:v>1.1319999999999955</c:v>
                </c:pt>
              </c:numCache>
            </c:numRef>
          </c:val>
          <c:extLst xmlns:c16r2="http://schemas.microsoft.com/office/drawing/2015/06/chart">
            <c:ext xmlns:c16="http://schemas.microsoft.com/office/drawing/2014/chart" uri="{C3380CC4-5D6E-409C-BE32-E72D297353CC}">
              <c16:uniqueId val="{00000001-35F1-46B6-B2AB-449F6DF8F063}"/>
            </c:ext>
          </c:extLst>
        </c:ser>
        <c:ser>
          <c:idx val="2"/>
          <c:order val="2"/>
          <c:tx>
            <c:v>24.saat</c:v>
          </c:tx>
          <c:invertIfNegative val="0"/>
          <c:errBars>
            <c:errBarType val="both"/>
            <c:errValType val="stdErr"/>
            <c:noEndCap val="0"/>
          </c:errBars>
          <c:cat>
            <c:strRef>
              <c:f>'PFK1'!$R$42:$R$45</c:f>
              <c:strCache>
                <c:ptCount val="4"/>
                <c:pt idx="0">
                  <c:v> 0 mM </c:v>
                </c:pt>
                <c:pt idx="1">
                  <c:v> 5,5 mM </c:v>
                </c:pt>
                <c:pt idx="2">
                  <c:v> 15 mM </c:v>
                </c:pt>
                <c:pt idx="3">
                  <c:v>55 mM </c:v>
                </c:pt>
              </c:strCache>
            </c:strRef>
          </c:cat>
          <c:val>
            <c:numRef>
              <c:f>'PFK1'!$C$65:$C$68</c:f>
              <c:numCache>
                <c:formatCode>General</c:formatCode>
                <c:ptCount val="4"/>
                <c:pt idx="0">
                  <c:v>0.97800000000000065</c:v>
                </c:pt>
                <c:pt idx="1">
                  <c:v>0.33800000000000135</c:v>
                </c:pt>
                <c:pt idx="2">
                  <c:v>1.4E-2</c:v>
                </c:pt>
                <c:pt idx="3">
                  <c:v>0.314000000000001</c:v>
                </c:pt>
              </c:numCache>
            </c:numRef>
          </c:val>
          <c:extLst xmlns:c16r2="http://schemas.microsoft.com/office/drawing/2015/06/chart">
            <c:ext xmlns:c16="http://schemas.microsoft.com/office/drawing/2014/chart" uri="{C3380CC4-5D6E-409C-BE32-E72D297353CC}">
              <c16:uniqueId val="{00000002-35F1-46B6-B2AB-449F6DF8F063}"/>
            </c:ext>
          </c:extLst>
        </c:ser>
        <c:ser>
          <c:idx val="3"/>
          <c:order val="3"/>
          <c:tx>
            <c:v>48.saat</c:v>
          </c:tx>
          <c:invertIfNegative val="0"/>
          <c:errBars>
            <c:errBarType val="both"/>
            <c:errValType val="stdErr"/>
            <c:noEndCap val="0"/>
          </c:errBars>
          <c:cat>
            <c:strRef>
              <c:f>'PFK1'!$R$42:$R$45</c:f>
              <c:strCache>
                <c:ptCount val="4"/>
                <c:pt idx="0">
                  <c:v> 0 mM </c:v>
                </c:pt>
                <c:pt idx="1">
                  <c:v> 5,5 mM </c:v>
                </c:pt>
                <c:pt idx="2">
                  <c:v> 15 mM </c:v>
                </c:pt>
                <c:pt idx="3">
                  <c:v>55 mM </c:v>
                </c:pt>
              </c:strCache>
            </c:strRef>
          </c:cat>
          <c:val>
            <c:numRef>
              <c:f>'PFK1'!$C$85:$C$88</c:f>
              <c:numCache>
                <c:formatCode>General</c:formatCode>
                <c:ptCount val="4"/>
                <c:pt idx="0">
                  <c:v>0.61300000000000165</c:v>
                </c:pt>
                <c:pt idx="1">
                  <c:v>0.45100000000000001</c:v>
                </c:pt>
                <c:pt idx="2">
                  <c:v>0.64600000000000224</c:v>
                </c:pt>
                <c:pt idx="3">
                  <c:v>0.89700000000000002</c:v>
                </c:pt>
              </c:numCache>
            </c:numRef>
          </c:val>
          <c:extLst xmlns:c16r2="http://schemas.microsoft.com/office/drawing/2015/06/chart">
            <c:ext xmlns:c16="http://schemas.microsoft.com/office/drawing/2014/chart" uri="{C3380CC4-5D6E-409C-BE32-E72D297353CC}">
              <c16:uniqueId val="{00000003-35F1-46B6-B2AB-449F6DF8F063}"/>
            </c:ext>
          </c:extLst>
        </c:ser>
        <c:dLbls>
          <c:showLegendKey val="0"/>
          <c:showVal val="0"/>
          <c:showCatName val="0"/>
          <c:showSerName val="0"/>
          <c:showPercent val="0"/>
          <c:showBubbleSize val="0"/>
        </c:dLbls>
        <c:gapWidth val="150"/>
        <c:axId val="386713856"/>
        <c:axId val="386716032"/>
      </c:barChart>
      <c:catAx>
        <c:axId val="386713856"/>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NORMOKSİ</a:t>
                </a:r>
              </a:p>
            </c:rich>
          </c:tx>
          <c:layout>
            <c:manualLayout>
              <c:xMode val="edge"/>
              <c:yMode val="edge"/>
              <c:x val="0.40859208223972032"/>
              <c:y val="2.682852143482067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86716032"/>
        <c:crosses val="autoZero"/>
        <c:auto val="1"/>
        <c:lblAlgn val="ctr"/>
        <c:lblOffset val="100"/>
        <c:noMultiLvlLbl val="0"/>
      </c:catAx>
      <c:valAx>
        <c:axId val="386716032"/>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PFKP ng/mL</a:t>
                </a:r>
              </a:p>
            </c:rich>
          </c:tx>
          <c:layout>
            <c:manualLayout>
              <c:xMode val="edge"/>
              <c:yMode val="edge"/>
              <c:x val="4.0611111111111112E-2"/>
              <c:y val="0.32044546515019084"/>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86713856"/>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5123627586296101"/>
          <c:y val="9.3001455687080153E-2"/>
          <c:w val="0.71340179352581645"/>
          <c:h val="0.79822506561679785"/>
        </c:manualLayout>
      </c:layout>
      <c:barChart>
        <c:barDir val="col"/>
        <c:grouping val="clustered"/>
        <c:varyColors val="0"/>
        <c:ser>
          <c:idx val="0"/>
          <c:order val="0"/>
          <c:tx>
            <c:strRef>
              <c:f>'hipoksi %canlılık-İREM'!$A$5</c:f>
              <c:strCache>
                <c:ptCount val="1"/>
                <c:pt idx="0">
                  <c:v>3.SAAT</c:v>
                </c:pt>
              </c:strCache>
            </c:strRef>
          </c:tx>
          <c:invertIfNegative val="0"/>
          <c:errBars>
            <c:errBarType val="both"/>
            <c:errValType val="percentage"/>
            <c:noEndCap val="0"/>
            <c:val val="5"/>
          </c:errBars>
          <c:cat>
            <c:strRef>
              <c:f>'hipoksi %canlılık-İREM'!$B$4:$E$4</c:f>
              <c:strCache>
                <c:ptCount val="4"/>
                <c:pt idx="0">
                  <c:v>0 mM</c:v>
                </c:pt>
                <c:pt idx="1">
                  <c:v>5.5 mM</c:v>
                </c:pt>
                <c:pt idx="2">
                  <c:v>15 mM</c:v>
                </c:pt>
                <c:pt idx="3">
                  <c:v>55 mM</c:v>
                </c:pt>
              </c:strCache>
            </c:strRef>
          </c:cat>
          <c:val>
            <c:numRef>
              <c:f>'hipoksi %canlılık-İREM'!$B$5:$E$5</c:f>
              <c:numCache>
                <c:formatCode>0.00</c:formatCode>
                <c:ptCount val="4"/>
                <c:pt idx="0" formatCode="General">
                  <c:v>100</c:v>
                </c:pt>
                <c:pt idx="1">
                  <c:v>134.5643</c:v>
                </c:pt>
                <c:pt idx="2">
                  <c:v>150.2216</c:v>
                </c:pt>
                <c:pt idx="3">
                  <c:v>148.44899999999998</c:v>
                </c:pt>
              </c:numCache>
            </c:numRef>
          </c:val>
          <c:extLst xmlns:c16r2="http://schemas.microsoft.com/office/drawing/2015/06/chart">
            <c:ext xmlns:c16="http://schemas.microsoft.com/office/drawing/2014/chart" uri="{C3380CC4-5D6E-409C-BE32-E72D297353CC}">
              <c16:uniqueId val="{00000000-994B-49EB-9A6F-BFE8B382ED8D}"/>
            </c:ext>
          </c:extLst>
        </c:ser>
        <c:ser>
          <c:idx val="1"/>
          <c:order val="1"/>
          <c:tx>
            <c:strRef>
              <c:f>'hipoksi %canlılık-İREM'!$A$6</c:f>
              <c:strCache>
                <c:ptCount val="1"/>
                <c:pt idx="0">
                  <c:v>6.SAAT</c:v>
                </c:pt>
              </c:strCache>
            </c:strRef>
          </c:tx>
          <c:invertIfNegative val="0"/>
          <c:errBars>
            <c:errBarType val="both"/>
            <c:errValType val="percentage"/>
            <c:noEndCap val="0"/>
            <c:val val="5"/>
          </c:errBars>
          <c:cat>
            <c:strRef>
              <c:f>'hipoksi %canlılık-İREM'!$B$4:$E$4</c:f>
              <c:strCache>
                <c:ptCount val="4"/>
                <c:pt idx="0">
                  <c:v>0 mM</c:v>
                </c:pt>
                <c:pt idx="1">
                  <c:v>5.5 mM</c:v>
                </c:pt>
                <c:pt idx="2">
                  <c:v>15 mM</c:v>
                </c:pt>
                <c:pt idx="3">
                  <c:v>55 mM</c:v>
                </c:pt>
              </c:strCache>
            </c:strRef>
          </c:cat>
          <c:val>
            <c:numRef>
              <c:f>'hipoksi %canlılık-İREM'!$B$6:$E$6</c:f>
              <c:numCache>
                <c:formatCode>General</c:formatCode>
                <c:ptCount val="4"/>
                <c:pt idx="0">
                  <c:v>100</c:v>
                </c:pt>
                <c:pt idx="1">
                  <c:v>106.0684</c:v>
                </c:pt>
                <c:pt idx="2">
                  <c:v>138.48140000000171</c:v>
                </c:pt>
                <c:pt idx="3">
                  <c:v>154.32840000000198</c:v>
                </c:pt>
              </c:numCache>
            </c:numRef>
          </c:val>
          <c:extLst xmlns:c16r2="http://schemas.microsoft.com/office/drawing/2015/06/chart">
            <c:ext xmlns:c16="http://schemas.microsoft.com/office/drawing/2014/chart" uri="{C3380CC4-5D6E-409C-BE32-E72D297353CC}">
              <c16:uniqueId val="{00000001-994B-49EB-9A6F-BFE8B382ED8D}"/>
            </c:ext>
          </c:extLst>
        </c:ser>
        <c:ser>
          <c:idx val="2"/>
          <c:order val="2"/>
          <c:tx>
            <c:strRef>
              <c:f>'hipoksi %canlılık-İREM'!$A$7</c:f>
              <c:strCache>
                <c:ptCount val="1"/>
                <c:pt idx="0">
                  <c:v>12.SAAT</c:v>
                </c:pt>
              </c:strCache>
            </c:strRef>
          </c:tx>
          <c:invertIfNegative val="0"/>
          <c:errBars>
            <c:errBarType val="both"/>
            <c:errValType val="percentage"/>
            <c:noEndCap val="0"/>
            <c:val val="5"/>
          </c:errBars>
          <c:cat>
            <c:strRef>
              <c:f>'hipoksi %canlılık-İREM'!$B$4:$E$4</c:f>
              <c:strCache>
                <c:ptCount val="4"/>
                <c:pt idx="0">
                  <c:v>0 mM</c:v>
                </c:pt>
                <c:pt idx="1">
                  <c:v>5.5 mM</c:v>
                </c:pt>
                <c:pt idx="2">
                  <c:v>15 mM</c:v>
                </c:pt>
                <c:pt idx="3">
                  <c:v>55 mM</c:v>
                </c:pt>
              </c:strCache>
            </c:strRef>
          </c:cat>
          <c:val>
            <c:numRef>
              <c:f>'hipoksi %canlılık-İREM'!$B$7:$E$7</c:f>
              <c:numCache>
                <c:formatCode>General</c:formatCode>
                <c:ptCount val="4"/>
                <c:pt idx="0">
                  <c:v>100</c:v>
                </c:pt>
                <c:pt idx="1">
                  <c:v>120.09160000000062</c:v>
                </c:pt>
                <c:pt idx="2">
                  <c:v>136.19110000000001</c:v>
                </c:pt>
                <c:pt idx="3">
                  <c:v>226.39620000000087</c:v>
                </c:pt>
              </c:numCache>
            </c:numRef>
          </c:val>
          <c:extLst xmlns:c16r2="http://schemas.microsoft.com/office/drawing/2015/06/chart">
            <c:ext xmlns:c16="http://schemas.microsoft.com/office/drawing/2014/chart" uri="{C3380CC4-5D6E-409C-BE32-E72D297353CC}">
              <c16:uniqueId val="{00000002-994B-49EB-9A6F-BFE8B382ED8D}"/>
            </c:ext>
          </c:extLst>
        </c:ser>
        <c:ser>
          <c:idx val="3"/>
          <c:order val="3"/>
          <c:tx>
            <c:strRef>
              <c:f>'hipoksi %canlılık-İREM'!$A$8</c:f>
              <c:strCache>
                <c:ptCount val="1"/>
                <c:pt idx="0">
                  <c:v>24.SAAT</c:v>
                </c:pt>
              </c:strCache>
            </c:strRef>
          </c:tx>
          <c:invertIfNegative val="0"/>
          <c:errBars>
            <c:errBarType val="both"/>
            <c:errValType val="percentage"/>
            <c:noEndCap val="0"/>
            <c:val val="5"/>
          </c:errBars>
          <c:cat>
            <c:strRef>
              <c:f>'hipoksi %canlılık-İREM'!$B$4:$E$4</c:f>
              <c:strCache>
                <c:ptCount val="4"/>
                <c:pt idx="0">
                  <c:v>0 mM</c:v>
                </c:pt>
                <c:pt idx="1">
                  <c:v>5.5 mM</c:v>
                </c:pt>
                <c:pt idx="2">
                  <c:v>15 mM</c:v>
                </c:pt>
                <c:pt idx="3">
                  <c:v>55 mM</c:v>
                </c:pt>
              </c:strCache>
            </c:strRef>
          </c:cat>
          <c:val>
            <c:numRef>
              <c:f>'hipoksi %canlılık-İREM'!$B$8:$E$8</c:f>
              <c:numCache>
                <c:formatCode>General</c:formatCode>
                <c:ptCount val="4"/>
                <c:pt idx="0">
                  <c:v>100</c:v>
                </c:pt>
                <c:pt idx="1">
                  <c:v>125.8516884400177</c:v>
                </c:pt>
                <c:pt idx="2">
                  <c:v>139.83201774039767</c:v>
                </c:pt>
                <c:pt idx="3">
                  <c:v>228.07440855767581</c:v>
                </c:pt>
              </c:numCache>
            </c:numRef>
          </c:val>
          <c:extLst xmlns:c16r2="http://schemas.microsoft.com/office/drawing/2015/06/chart">
            <c:ext xmlns:c16="http://schemas.microsoft.com/office/drawing/2014/chart" uri="{C3380CC4-5D6E-409C-BE32-E72D297353CC}">
              <c16:uniqueId val="{00000003-994B-49EB-9A6F-BFE8B382ED8D}"/>
            </c:ext>
          </c:extLst>
        </c:ser>
        <c:ser>
          <c:idx val="4"/>
          <c:order val="4"/>
          <c:tx>
            <c:strRef>
              <c:f>'hipoksi %canlılık-İREM'!$A$9</c:f>
              <c:strCache>
                <c:ptCount val="1"/>
                <c:pt idx="0">
                  <c:v>48.SAAT</c:v>
                </c:pt>
              </c:strCache>
            </c:strRef>
          </c:tx>
          <c:invertIfNegative val="0"/>
          <c:errBars>
            <c:errBarType val="both"/>
            <c:errValType val="percentage"/>
            <c:noEndCap val="0"/>
            <c:val val="5"/>
          </c:errBars>
          <c:cat>
            <c:strRef>
              <c:f>'hipoksi %canlılık-İREM'!$B$4:$E$4</c:f>
              <c:strCache>
                <c:ptCount val="4"/>
                <c:pt idx="0">
                  <c:v>0 mM</c:v>
                </c:pt>
                <c:pt idx="1">
                  <c:v>5.5 mM</c:v>
                </c:pt>
                <c:pt idx="2">
                  <c:v>15 mM</c:v>
                </c:pt>
                <c:pt idx="3">
                  <c:v>55 mM</c:v>
                </c:pt>
              </c:strCache>
            </c:strRef>
          </c:cat>
          <c:val>
            <c:numRef>
              <c:f>'hipoksi %canlılık-İREM'!$B$9:$E$9</c:f>
              <c:numCache>
                <c:formatCode>General</c:formatCode>
                <c:ptCount val="4"/>
                <c:pt idx="0">
                  <c:v>100</c:v>
                </c:pt>
                <c:pt idx="1">
                  <c:v>141.17649999999998</c:v>
                </c:pt>
                <c:pt idx="2">
                  <c:v>155.22640000000001</c:v>
                </c:pt>
                <c:pt idx="3">
                  <c:v>191.53620000000001</c:v>
                </c:pt>
              </c:numCache>
            </c:numRef>
          </c:val>
          <c:extLst xmlns:c16r2="http://schemas.microsoft.com/office/drawing/2015/06/chart">
            <c:ext xmlns:c16="http://schemas.microsoft.com/office/drawing/2014/chart" uri="{C3380CC4-5D6E-409C-BE32-E72D297353CC}">
              <c16:uniqueId val="{00000004-994B-49EB-9A6F-BFE8B382ED8D}"/>
            </c:ext>
          </c:extLst>
        </c:ser>
        <c:dLbls>
          <c:showLegendKey val="0"/>
          <c:showVal val="0"/>
          <c:showCatName val="0"/>
          <c:showSerName val="0"/>
          <c:showPercent val="0"/>
          <c:showBubbleSize val="0"/>
        </c:dLbls>
        <c:gapWidth val="150"/>
        <c:axId val="377340672"/>
        <c:axId val="377342592"/>
      </c:barChart>
      <c:catAx>
        <c:axId val="377340672"/>
        <c:scaling>
          <c:orientation val="minMax"/>
        </c:scaling>
        <c:delete val="0"/>
        <c:axPos val="b"/>
        <c:title>
          <c:tx>
            <c:rich>
              <a:bodyPr/>
              <a:lstStyle/>
              <a:p>
                <a:pPr>
                  <a:defRPr sz="1000"/>
                </a:pPr>
                <a:r>
                  <a:rPr lang="tr-TR" sz="1000">
                    <a:latin typeface="Times New Roman" pitchFamily="18" charset="0"/>
                    <a:cs typeface="Times New Roman" pitchFamily="18" charset="0"/>
                  </a:rPr>
                  <a:t>Hipoksi</a:t>
                </a:r>
              </a:p>
            </c:rich>
          </c:tx>
          <c:layout>
            <c:manualLayout>
              <c:xMode val="edge"/>
              <c:yMode val="edge"/>
              <c:x val="0.41226574803149579"/>
              <c:y val="1.2939632545931772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377342592"/>
        <c:crosses val="autoZero"/>
        <c:auto val="1"/>
        <c:lblAlgn val="ctr"/>
        <c:lblOffset val="100"/>
        <c:noMultiLvlLbl val="0"/>
      </c:catAx>
      <c:valAx>
        <c:axId val="377342592"/>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Hücre</a:t>
                </a:r>
                <a:r>
                  <a:rPr lang="tr-TR" sz="1000" baseline="0">
                    <a:latin typeface="Times New Roman" pitchFamily="18" charset="0"/>
                    <a:cs typeface="Times New Roman" pitchFamily="18" charset="0"/>
                  </a:rPr>
                  <a:t> Canlılığı (%)</a:t>
                </a:r>
                <a:endParaRPr lang="tr-TR" sz="1000">
                  <a:latin typeface="Times New Roman" pitchFamily="18" charset="0"/>
                  <a:cs typeface="Times New Roman" pitchFamily="18" charset="0"/>
                </a:endParaRPr>
              </a:p>
            </c:rich>
          </c:tx>
          <c:layout>
            <c:manualLayout>
              <c:xMode val="edge"/>
              <c:yMode val="edge"/>
              <c:x val="2.0073887822845728E-2"/>
              <c:y val="0.2491848163826319"/>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377340672"/>
        <c:crosses val="autoZero"/>
        <c:crossBetween val="between"/>
      </c:valAx>
    </c:plotArea>
    <c:legend>
      <c:legendPos val="r"/>
      <c:layout>
        <c:manualLayout>
          <c:xMode val="edge"/>
          <c:yMode val="edge"/>
          <c:x val="0.84961236208346691"/>
          <c:y val="0.28977584278288332"/>
          <c:w val="0.14198791327554638"/>
          <c:h val="0.42004444566380467"/>
        </c:manualLayout>
      </c:layout>
      <c:overlay val="0"/>
      <c:txPr>
        <a:bodyPr/>
        <a:lstStyle/>
        <a:p>
          <a:pPr>
            <a:defRPr sz="9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4158573928258969"/>
          <c:y val="9.7696850393701268E-2"/>
          <c:w val="0.72372112860892668"/>
          <c:h val="0.82727981918926863"/>
        </c:manualLayout>
      </c:layout>
      <c:barChart>
        <c:barDir val="col"/>
        <c:grouping val="clustered"/>
        <c:varyColors val="0"/>
        <c:ser>
          <c:idx val="0"/>
          <c:order val="0"/>
          <c:tx>
            <c:v>6.saat</c:v>
          </c:tx>
          <c:invertIfNegative val="0"/>
          <c:errBars>
            <c:errBarType val="both"/>
            <c:errValType val="stdErr"/>
            <c:noEndCap val="0"/>
          </c:errBars>
          <c:cat>
            <c:strRef>
              <c:f>'PFK1'!$R$42:$R$45</c:f>
              <c:strCache>
                <c:ptCount val="4"/>
                <c:pt idx="0">
                  <c:v> 0 mM </c:v>
                </c:pt>
                <c:pt idx="1">
                  <c:v> 5,5 mM </c:v>
                </c:pt>
                <c:pt idx="2">
                  <c:v> 15 mM </c:v>
                </c:pt>
                <c:pt idx="3">
                  <c:v>55 mM </c:v>
                </c:pt>
              </c:strCache>
            </c:strRef>
          </c:cat>
          <c:val>
            <c:numRef>
              <c:f>'PFK1'!$C$40:$C$43</c:f>
              <c:numCache>
                <c:formatCode>General</c:formatCode>
                <c:ptCount val="4"/>
                <c:pt idx="0">
                  <c:v>0.82399999999999995</c:v>
                </c:pt>
                <c:pt idx="1">
                  <c:v>0.24100000000000021</c:v>
                </c:pt>
                <c:pt idx="2">
                  <c:v>0.68600000000000005</c:v>
                </c:pt>
                <c:pt idx="3">
                  <c:v>0.57299999999999995</c:v>
                </c:pt>
              </c:numCache>
            </c:numRef>
          </c:val>
          <c:extLst xmlns:c16r2="http://schemas.microsoft.com/office/drawing/2015/06/chart">
            <c:ext xmlns:c16="http://schemas.microsoft.com/office/drawing/2014/chart" uri="{C3380CC4-5D6E-409C-BE32-E72D297353CC}">
              <c16:uniqueId val="{00000000-BC7A-4AF7-82CD-F58949704D99}"/>
            </c:ext>
          </c:extLst>
        </c:ser>
        <c:ser>
          <c:idx val="1"/>
          <c:order val="1"/>
          <c:tx>
            <c:v>12.saat</c:v>
          </c:tx>
          <c:invertIfNegative val="0"/>
          <c:errBars>
            <c:errBarType val="both"/>
            <c:errValType val="stdErr"/>
            <c:noEndCap val="0"/>
          </c:errBars>
          <c:cat>
            <c:strRef>
              <c:f>'PFK1'!$R$42:$R$45</c:f>
              <c:strCache>
                <c:ptCount val="4"/>
                <c:pt idx="0">
                  <c:v> 0 mM </c:v>
                </c:pt>
                <c:pt idx="1">
                  <c:v> 5,5 mM </c:v>
                </c:pt>
                <c:pt idx="2">
                  <c:v> 15 mM </c:v>
                </c:pt>
                <c:pt idx="3">
                  <c:v>55 mM </c:v>
                </c:pt>
              </c:strCache>
            </c:strRef>
          </c:cat>
          <c:val>
            <c:numRef>
              <c:f>'PFK1'!$C$53:$C$56</c:f>
              <c:numCache>
                <c:formatCode>General</c:formatCode>
                <c:ptCount val="4"/>
                <c:pt idx="0">
                  <c:v>0.62900000000000222</c:v>
                </c:pt>
                <c:pt idx="1">
                  <c:v>0.25700000000000001</c:v>
                </c:pt>
                <c:pt idx="2">
                  <c:v>2.0000000000000011E-2</c:v>
                </c:pt>
                <c:pt idx="3">
                  <c:v>0.224</c:v>
                </c:pt>
              </c:numCache>
            </c:numRef>
          </c:val>
          <c:extLst xmlns:c16r2="http://schemas.microsoft.com/office/drawing/2015/06/chart">
            <c:ext xmlns:c16="http://schemas.microsoft.com/office/drawing/2014/chart" uri="{C3380CC4-5D6E-409C-BE32-E72D297353CC}">
              <c16:uniqueId val="{00000001-BC7A-4AF7-82CD-F58949704D99}"/>
            </c:ext>
          </c:extLst>
        </c:ser>
        <c:ser>
          <c:idx val="2"/>
          <c:order val="2"/>
          <c:tx>
            <c:v>24.saat</c:v>
          </c:tx>
          <c:invertIfNegative val="0"/>
          <c:errBars>
            <c:errBarType val="both"/>
            <c:errValType val="stdErr"/>
            <c:noEndCap val="0"/>
          </c:errBars>
          <c:cat>
            <c:strRef>
              <c:f>'PFK1'!$R$42:$R$45</c:f>
              <c:strCache>
                <c:ptCount val="4"/>
                <c:pt idx="0">
                  <c:v> 0 mM </c:v>
                </c:pt>
                <c:pt idx="1">
                  <c:v> 5,5 mM </c:v>
                </c:pt>
                <c:pt idx="2">
                  <c:v> 15 mM </c:v>
                </c:pt>
                <c:pt idx="3">
                  <c:v>55 mM </c:v>
                </c:pt>
              </c:strCache>
            </c:strRef>
          </c:cat>
          <c:val>
            <c:numRef>
              <c:f>'PFK1'!$C$69:$C$72</c:f>
              <c:numCache>
                <c:formatCode>General</c:formatCode>
                <c:ptCount val="4"/>
                <c:pt idx="0">
                  <c:v>0.67800000000000271</c:v>
                </c:pt>
                <c:pt idx="1">
                  <c:v>0.48400000000000032</c:v>
                </c:pt>
                <c:pt idx="2">
                  <c:v>0.79100000000000004</c:v>
                </c:pt>
                <c:pt idx="3">
                  <c:v>0.39500000000000135</c:v>
                </c:pt>
              </c:numCache>
            </c:numRef>
          </c:val>
          <c:extLst xmlns:c16r2="http://schemas.microsoft.com/office/drawing/2015/06/chart">
            <c:ext xmlns:c16="http://schemas.microsoft.com/office/drawing/2014/chart" uri="{C3380CC4-5D6E-409C-BE32-E72D297353CC}">
              <c16:uniqueId val="{00000002-BC7A-4AF7-82CD-F58949704D99}"/>
            </c:ext>
          </c:extLst>
        </c:ser>
        <c:ser>
          <c:idx val="3"/>
          <c:order val="3"/>
          <c:tx>
            <c:v>48.saat</c:v>
          </c:tx>
          <c:invertIfNegative val="0"/>
          <c:errBars>
            <c:errBarType val="both"/>
            <c:errValType val="stdErr"/>
            <c:noEndCap val="0"/>
          </c:errBars>
          <c:cat>
            <c:strRef>
              <c:f>'PFK1'!$R$42:$R$45</c:f>
              <c:strCache>
                <c:ptCount val="4"/>
                <c:pt idx="0">
                  <c:v> 0 mM </c:v>
                </c:pt>
                <c:pt idx="1">
                  <c:v> 5,5 mM </c:v>
                </c:pt>
                <c:pt idx="2">
                  <c:v> 15 mM </c:v>
                </c:pt>
                <c:pt idx="3">
                  <c:v>55 mM </c:v>
                </c:pt>
              </c:strCache>
            </c:strRef>
          </c:cat>
          <c:val>
            <c:numRef>
              <c:f>'PFK1'!$C$89:$C$92</c:f>
              <c:numCache>
                <c:formatCode>General</c:formatCode>
                <c:ptCount val="4"/>
                <c:pt idx="0">
                  <c:v>0.23300000000000001</c:v>
                </c:pt>
                <c:pt idx="1">
                  <c:v>0.67800000000000271</c:v>
                </c:pt>
                <c:pt idx="2">
                  <c:v>0.66200000000000259</c:v>
                </c:pt>
                <c:pt idx="3">
                  <c:v>0.77500000000000235</c:v>
                </c:pt>
              </c:numCache>
            </c:numRef>
          </c:val>
          <c:extLst xmlns:c16r2="http://schemas.microsoft.com/office/drawing/2015/06/chart">
            <c:ext xmlns:c16="http://schemas.microsoft.com/office/drawing/2014/chart" uri="{C3380CC4-5D6E-409C-BE32-E72D297353CC}">
              <c16:uniqueId val="{00000003-BC7A-4AF7-82CD-F58949704D99}"/>
            </c:ext>
          </c:extLst>
        </c:ser>
        <c:dLbls>
          <c:showLegendKey val="0"/>
          <c:showVal val="0"/>
          <c:showCatName val="0"/>
          <c:showSerName val="0"/>
          <c:showPercent val="0"/>
          <c:showBubbleSize val="0"/>
        </c:dLbls>
        <c:gapWidth val="150"/>
        <c:axId val="409323392"/>
        <c:axId val="409325568"/>
      </c:barChart>
      <c:catAx>
        <c:axId val="409323392"/>
        <c:scaling>
          <c:orientation val="minMax"/>
        </c:scaling>
        <c:delete val="0"/>
        <c:axPos val="b"/>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HİPOKSİ</a:t>
                </a:r>
              </a:p>
            </c:rich>
          </c:tx>
          <c:layout>
            <c:manualLayout>
              <c:xMode val="edge"/>
              <c:yMode val="edge"/>
              <c:x val="0.41466841644794517"/>
              <c:y val="2.2198891805191003E-2"/>
            </c:manualLayout>
          </c:layout>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409325568"/>
        <c:crosses val="autoZero"/>
        <c:auto val="1"/>
        <c:lblAlgn val="ctr"/>
        <c:lblOffset val="100"/>
        <c:noMultiLvlLbl val="0"/>
      </c:catAx>
      <c:valAx>
        <c:axId val="409325568"/>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PFKP</a:t>
                </a:r>
                <a:r>
                  <a:rPr lang="tr-TR" sz="1000" baseline="0">
                    <a:latin typeface="Times New Roman" pitchFamily="18" charset="0"/>
                    <a:cs typeface="Times New Roman" pitchFamily="18" charset="0"/>
                  </a:rPr>
                  <a:t> ng/mL</a:t>
                </a:r>
                <a:endParaRPr lang="tr-TR" sz="1000">
                  <a:latin typeface="Times New Roman" pitchFamily="18" charset="0"/>
                  <a:cs typeface="Times New Roman" pitchFamily="18" charset="0"/>
                </a:endParaRPr>
              </a:p>
            </c:rich>
          </c:tx>
          <c:layout>
            <c:manualLayout>
              <c:xMode val="edge"/>
              <c:yMode val="edge"/>
              <c:x val="3.1912073490813701E-2"/>
              <c:y val="0.34181396717933693"/>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tr-TR"/>
          </a:p>
        </c:txPr>
        <c:crossAx val="409323392"/>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0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layout>
        <c:manualLayout>
          <c:xMode val="edge"/>
          <c:yMode val="edge"/>
          <c:x val="0.42392248138794303"/>
          <c:y val="2.7751719163172026E-2"/>
        </c:manualLayout>
      </c:layout>
      <c:overlay val="0"/>
    </c:title>
    <c:autoTitleDeleted val="0"/>
    <c:plotArea>
      <c:layout>
        <c:manualLayout>
          <c:layoutTarget val="inner"/>
          <c:xMode val="edge"/>
          <c:yMode val="edge"/>
          <c:x val="0.17904026147674998"/>
          <c:y val="0.13426346946173737"/>
          <c:w val="0.77633899536142892"/>
          <c:h val="0.59630077819219951"/>
        </c:manualLayout>
      </c:layout>
      <c:barChart>
        <c:barDir val="col"/>
        <c:grouping val="clustered"/>
        <c:varyColors val="0"/>
        <c:ser>
          <c:idx val="0"/>
          <c:order val="0"/>
          <c:tx>
            <c:v>normoksi</c:v>
          </c:tx>
          <c:invertIfNegative val="0"/>
          <c:errBars>
            <c:errBarType val="both"/>
            <c:errValType val="stdErr"/>
            <c:noEndCap val="0"/>
          </c:errBars>
          <c:cat>
            <c:strRef>
              <c:f>'PFK1'!$R$35:$R$38</c:f>
              <c:strCache>
                <c:ptCount val="4"/>
                <c:pt idx="0">
                  <c:v>6.saat</c:v>
                </c:pt>
                <c:pt idx="1">
                  <c:v>12.saat</c:v>
                </c:pt>
                <c:pt idx="2">
                  <c:v>24.saat</c:v>
                </c:pt>
                <c:pt idx="3">
                  <c:v>48.saat</c:v>
                </c:pt>
              </c:strCache>
            </c:strRef>
          </c:cat>
          <c:val>
            <c:numRef>
              <c:f>('PFK1'!$C$36,'PFK1'!$C$49,'PFK1'!$C$65,'PFK1'!$C$85)</c:f>
              <c:numCache>
                <c:formatCode>General</c:formatCode>
                <c:ptCount val="4"/>
                <c:pt idx="0">
                  <c:v>0.92900000000000005</c:v>
                </c:pt>
                <c:pt idx="1">
                  <c:v>0.59699999999999998</c:v>
                </c:pt>
                <c:pt idx="2">
                  <c:v>0.97800000000000065</c:v>
                </c:pt>
                <c:pt idx="3">
                  <c:v>0.61300000000000165</c:v>
                </c:pt>
              </c:numCache>
            </c:numRef>
          </c:val>
          <c:extLst xmlns:c16r2="http://schemas.microsoft.com/office/drawing/2015/06/chart">
            <c:ext xmlns:c16="http://schemas.microsoft.com/office/drawing/2014/chart" uri="{C3380CC4-5D6E-409C-BE32-E72D297353CC}">
              <c16:uniqueId val="{00000000-C621-4DA5-B7BA-16F8818C06F5}"/>
            </c:ext>
          </c:extLst>
        </c:ser>
        <c:ser>
          <c:idx val="1"/>
          <c:order val="1"/>
          <c:tx>
            <c:v>hipoksi</c:v>
          </c:tx>
          <c:invertIfNegative val="0"/>
          <c:errBars>
            <c:errBarType val="both"/>
            <c:errValType val="stdErr"/>
            <c:noEndCap val="0"/>
          </c:errBars>
          <c:cat>
            <c:strRef>
              <c:f>'PFK1'!$R$35:$R$38</c:f>
              <c:strCache>
                <c:ptCount val="4"/>
                <c:pt idx="0">
                  <c:v>6.saat</c:v>
                </c:pt>
                <c:pt idx="1">
                  <c:v>12.saat</c:v>
                </c:pt>
                <c:pt idx="2">
                  <c:v>24.saat</c:v>
                </c:pt>
                <c:pt idx="3">
                  <c:v>48.saat</c:v>
                </c:pt>
              </c:strCache>
            </c:strRef>
          </c:cat>
          <c:val>
            <c:numRef>
              <c:f>('PFK1'!$C$40,'PFK1'!$C$53,'PFK1'!$C$69,'PFK1'!$C$89)</c:f>
              <c:numCache>
                <c:formatCode>General</c:formatCode>
                <c:ptCount val="4"/>
                <c:pt idx="0">
                  <c:v>0.82399999999999995</c:v>
                </c:pt>
                <c:pt idx="1">
                  <c:v>0.62900000000000222</c:v>
                </c:pt>
                <c:pt idx="2">
                  <c:v>0.67800000000000271</c:v>
                </c:pt>
                <c:pt idx="3">
                  <c:v>0.23300000000000001</c:v>
                </c:pt>
              </c:numCache>
            </c:numRef>
          </c:val>
          <c:extLst xmlns:c16r2="http://schemas.microsoft.com/office/drawing/2015/06/chart">
            <c:ext xmlns:c16="http://schemas.microsoft.com/office/drawing/2014/chart" uri="{C3380CC4-5D6E-409C-BE32-E72D297353CC}">
              <c16:uniqueId val="{00000001-C621-4DA5-B7BA-16F8818C06F5}"/>
            </c:ext>
          </c:extLst>
        </c:ser>
        <c:dLbls>
          <c:showLegendKey val="0"/>
          <c:showVal val="0"/>
          <c:showCatName val="0"/>
          <c:showSerName val="0"/>
          <c:showPercent val="0"/>
          <c:showBubbleSize val="0"/>
        </c:dLbls>
        <c:gapWidth val="150"/>
        <c:axId val="409901312"/>
        <c:axId val="409907200"/>
      </c:barChart>
      <c:catAx>
        <c:axId val="409901312"/>
        <c:scaling>
          <c:orientation val="minMax"/>
        </c:scaling>
        <c:delete val="0"/>
        <c:axPos val="b"/>
        <c:numFmt formatCode="General" sourceLinked="0"/>
        <c:majorTickMark val="none"/>
        <c:minorTickMark val="none"/>
        <c:tickLblPos val="nextTo"/>
        <c:crossAx val="409907200"/>
        <c:crosses val="autoZero"/>
        <c:auto val="1"/>
        <c:lblAlgn val="ctr"/>
        <c:lblOffset val="100"/>
        <c:noMultiLvlLbl val="0"/>
      </c:catAx>
      <c:valAx>
        <c:axId val="409907200"/>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PFKP ng/mL</a:t>
                </a:r>
              </a:p>
            </c:rich>
          </c:tx>
          <c:layout>
            <c:manualLayout>
              <c:xMode val="edge"/>
              <c:yMode val="edge"/>
              <c:x val="3.6929916502254891E-2"/>
              <c:y val="0.2814808845062739"/>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40990131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tr-TR" sz="1000"/>
              <a:t>5,5 mM Glukoz</a:t>
            </a:r>
          </a:p>
        </c:rich>
      </c:tx>
      <c:layout>
        <c:manualLayout>
          <c:xMode val="edge"/>
          <c:yMode val="edge"/>
          <c:x val="0.40501377952755946"/>
          <c:y val="6.0756538503858329E-2"/>
        </c:manualLayout>
      </c:layout>
      <c:overlay val="0"/>
    </c:title>
    <c:autoTitleDeleted val="0"/>
    <c:plotArea>
      <c:layout>
        <c:manualLayout>
          <c:layoutTarget val="inner"/>
          <c:xMode val="edge"/>
          <c:yMode val="edge"/>
          <c:x val="0.17893703538630118"/>
          <c:y val="0.17612033130119134"/>
          <c:w val="0.77773753280840285"/>
          <c:h val="0.54261555847185772"/>
        </c:manualLayout>
      </c:layout>
      <c:barChart>
        <c:barDir val="col"/>
        <c:grouping val="clustered"/>
        <c:varyColors val="0"/>
        <c:ser>
          <c:idx val="0"/>
          <c:order val="0"/>
          <c:tx>
            <c:v>normoksi</c:v>
          </c:tx>
          <c:invertIfNegative val="0"/>
          <c:errBars>
            <c:errBarType val="both"/>
            <c:errValType val="stdErr"/>
            <c:noEndCap val="0"/>
          </c:errBars>
          <c:cat>
            <c:strRef>
              <c:f>'PFK1'!$R$35:$R$38</c:f>
              <c:strCache>
                <c:ptCount val="4"/>
                <c:pt idx="0">
                  <c:v>6.saat</c:v>
                </c:pt>
                <c:pt idx="1">
                  <c:v>12.saat</c:v>
                </c:pt>
                <c:pt idx="2">
                  <c:v>24.saat</c:v>
                </c:pt>
                <c:pt idx="3">
                  <c:v>48.saat</c:v>
                </c:pt>
              </c:strCache>
            </c:strRef>
          </c:cat>
          <c:val>
            <c:numRef>
              <c:f>('PFK1'!$C$37,'PFK1'!$C$50,'PFK1'!$C$66,'PFK1'!$C$86)</c:f>
              <c:numCache>
                <c:formatCode>General</c:formatCode>
                <c:ptCount val="4"/>
                <c:pt idx="0">
                  <c:v>0.78300000000000003</c:v>
                </c:pt>
                <c:pt idx="1">
                  <c:v>0.24900000000000044</c:v>
                </c:pt>
                <c:pt idx="2">
                  <c:v>0.33800000000000135</c:v>
                </c:pt>
                <c:pt idx="3">
                  <c:v>0.45100000000000001</c:v>
                </c:pt>
              </c:numCache>
            </c:numRef>
          </c:val>
          <c:extLst xmlns:c16r2="http://schemas.microsoft.com/office/drawing/2015/06/chart">
            <c:ext xmlns:c16="http://schemas.microsoft.com/office/drawing/2014/chart" uri="{C3380CC4-5D6E-409C-BE32-E72D297353CC}">
              <c16:uniqueId val="{00000000-F77D-4A00-9E9C-0859C7054EC7}"/>
            </c:ext>
          </c:extLst>
        </c:ser>
        <c:ser>
          <c:idx val="1"/>
          <c:order val="1"/>
          <c:tx>
            <c:v>hipoksi</c:v>
          </c:tx>
          <c:invertIfNegative val="0"/>
          <c:errBars>
            <c:errBarType val="both"/>
            <c:errValType val="stdErr"/>
            <c:noEndCap val="0"/>
          </c:errBars>
          <c:cat>
            <c:strRef>
              <c:f>'PFK1'!$R$35:$R$38</c:f>
              <c:strCache>
                <c:ptCount val="4"/>
                <c:pt idx="0">
                  <c:v>6.saat</c:v>
                </c:pt>
                <c:pt idx="1">
                  <c:v>12.saat</c:v>
                </c:pt>
                <c:pt idx="2">
                  <c:v>24.saat</c:v>
                </c:pt>
                <c:pt idx="3">
                  <c:v>48.saat</c:v>
                </c:pt>
              </c:strCache>
            </c:strRef>
          </c:cat>
          <c:val>
            <c:numRef>
              <c:f>('PFK1'!$C$41,'PFK1'!$C$54,'PFK1'!$C$70,'PFK1'!$C$90)</c:f>
              <c:numCache>
                <c:formatCode>General</c:formatCode>
                <c:ptCount val="4"/>
                <c:pt idx="0">
                  <c:v>0.24100000000000021</c:v>
                </c:pt>
                <c:pt idx="1">
                  <c:v>0.25700000000000001</c:v>
                </c:pt>
                <c:pt idx="2">
                  <c:v>0.48400000000000032</c:v>
                </c:pt>
                <c:pt idx="3">
                  <c:v>0.67800000000000271</c:v>
                </c:pt>
              </c:numCache>
            </c:numRef>
          </c:val>
          <c:extLst xmlns:c16r2="http://schemas.microsoft.com/office/drawing/2015/06/chart">
            <c:ext xmlns:c16="http://schemas.microsoft.com/office/drawing/2014/chart" uri="{C3380CC4-5D6E-409C-BE32-E72D297353CC}">
              <c16:uniqueId val="{00000001-F77D-4A00-9E9C-0859C7054EC7}"/>
            </c:ext>
          </c:extLst>
        </c:ser>
        <c:dLbls>
          <c:showLegendKey val="0"/>
          <c:showVal val="0"/>
          <c:showCatName val="0"/>
          <c:showSerName val="0"/>
          <c:showPercent val="0"/>
          <c:showBubbleSize val="0"/>
        </c:dLbls>
        <c:gapWidth val="150"/>
        <c:axId val="409440256"/>
        <c:axId val="409441792"/>
      </c:barChart>
      <c:catAx>
        <c:axId val="409440256"/>
        <c:scaling>
          <c:orientation val="minMax"/>
        </c:scaling>
        <c:delete val="0"/>
        <c:axPos val="b"/>
        <c:numFmt formatCode="General" sourceLinked="0"/>
        <c:majorTickMark val="none"/>
        <c:minorTickMark val="none"/>
        <c:tickLblPos val="nextTo"/>
        <c:crossAx val="409441792"/>
        <c:crosses val="autoZero"/>
        <c:auto val="1"/>
        <c:lblAlgn val="ctr"/>
        <c:lblOffset val="100"/>
        <c:noMultiLvlLbl val="0"/>
      </c:catAx>
      <c:valAx>
        <c:axId val="409441792"/>
        <c:scaling>
          <c:orientation val="minMax"/>
        </c:scaling>
        <c:delete val="0"/>
        <c:axPos val="l"/>
        <c:title>
          <c:tx>
            <c:rich>
              <a:bodyPr/>
              <a:lstStyle/>
              <a:p>
                <a:pPr>
                  <a:defRPr sz="1000"/>
                </a:pPr>
                <a:r>
                  <a:rPr lang="tr-TR" sz="1000"/>
                  <a:t>PFKP ng/mL</a:t>
                </a:r>
              </a:p>
            </c:rich>
          </c:tx>
          <c:layout>
            <c:manualLayout>
              <c:xMode val="edge"/>
              <c:yMode val="edge"/>
              <c:x val="3.7982283464567085E-2"/>
              <c:y val="0.29373869932925312"/>
            </c:manualLayout>
          </c:layout>
          <c:overlay val="0"/>
        </c:title>
        <c:numFmt formatCode="General" sourceLinked="1"/>
        <c:majorTickMark val="none"/>
        <c:minorTickMark val="none"/>
        <c:tickLblPos val="nextTo"/>
        <c:crossAx val="40944025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15 mM</a:t>
            </a:r>
            <a:r>
              <a:rPr lang="tr-TR" sz="1000" baseline="0">
                <a:latin typeface="Times New Roman" pitchFamily="18" charset="0"/>
                <a:cs typeface="Times New Roman" pitchFamily="18" charset="0"/>
              </a:rPr>
              <a:t> Glukoz</a:t>
            </a:r>
            <a:endParaRPr lang="tr-TR" sz="1000">
              <a:latin typeface="Times New Roman" pitchFamily="18" charset="0"/>
              <a:cs typeface="Times New Roman" pitchFamily="18" charset="0"/>
            </a:endParaRPr>
          </a:p>
        </c:rich>
      </c:tx>
      <c:overlay val="0"/>
    </c:title>
    <c:autoTitleDeleted val="0"/>
    <c:plotArea>
      <c:layout>
        <c:manualLayout>
          <c:layoutTarget val="inner"/>
          <c:xMode val="edge"/>
          <c:yMode val="edge"/>
          <c:x val="0.17901532629782374"/>
          <c:y val="0.12440067554229819"/>
          <c:w val="0.77773753280840285"/>
          <c:h val="0.62556386579811241"/>
        </c:manualLayout>
      </c:layout>
      <c:barChart>
        <c:barDir val="col"/>
        <c:grouping val="clustered"/>
        <c:varyColors val="0"/>
        <c:ser>
          <c:idx val="0"/>
          <c:order val="0"/>
          <c:tx>
            <c:v>normoksi</c:v>
          </c:tx>
          <c:invertIfNegative val="0"/>
          <c:errBars>
            <c:errBarType val="both"/>
            <c:errValType val="stdErr"/>
            <c:noEndCap val="0"/>
          </c:errBars>
          <c:cat>
            <c:strRef>
              <c:f>'PFK1'!$R$35:$R$38</c:f>
              <c:strCache>
                <c:ptCount val="4"/>
                <c:pt idx="0">
                  <c:v>6.saat</c:v>
                </c:pt>
                <c:pt idx="1">
                  <c:v>12.saat</c:v>
                </c:pt>
                <c:pt idx="2">
                  <c:v>24.saat</c:v>
                </c:pt>
                <c:pt idx="3">
                  <c:v>48.saat</c:v>
                </c:pt>
              </c:strCache>
            </c:strRef>
          </c:cat>
          <c:val>
            <c:numRef>
              <c:f>('PFK1'!$C$38,'PFK1'!$C$51,'PFK1'!$C$67,'PFK1'!$C$87)</c:f>
              <c:numCache>
                <c:formatCode>General</c:formatCode>
                <c:ptCount val="4"/>
                <c:pt idx="0">
                  <c:v>4.5999999999999999E-2</c:v>
                </c:pt>
                <c:pt idx="1">
                  <c:v>0.68600000000000005</c:v>
                </c:pt>
                <c:pt idx="2">
                  <c:v>1.4E-2</c:v>
                </c:pt>
                <c:pt idx="3">
                  <c:v>0.64600000000000224</c:v>
                </c:pt>
              </c:numCache>
            </c:numRef>
          </c:val>
          <c:extLst xmlns:c16r2="http://schemas.microsoft.com/office/drawing/2015/06/chart">
            <c:ext xmlns:c16="http://schemas.microsoft.com/office/drawing/2014/chart" uri="{C3380CC4-5D6E-409C-BE32-E72D297353CC}">
              <c16:uniqueId val="{00000000-25E0-4142-A700-DDAC24C1DD55}"/>
            </c:ext>
          </c:extLst>
        </c:ser>
        <c:ser>
          <c:idx val="1"/>
          <c:order val="1"/>
          <c:tx>
            <c:v>hipoksi</c:v>
          </c:tx>
          <c:invertIfNegative val="0"/>
          <c:errBars>
            <c:errBarType val="both"/>
            <c:errValType val="stdErr"/>
            <c:noEndCap val="0"/>
          </c:errBars>
          <c:cat>
            <c:strRef>
              <c:f>'PFK1'!$R$35:$R$38</c:f>
              <c:strCache>
                <c:ptCount val="4"/>
                <c:pt idx="0">
                  <c:v>6.saat</c:v>
                </c:pt>
                <c:pt idx="1">
                  <c:v>12.saat</c:v>
                </c:pt>
                <c:pt idx="2">
                  <c:v>24.saat</c:v>
                </c:pt>
                <c:pt idx="3">
                  <c:v>48.saat</c:v>
                </c:pt>
              </c:strCache>
            </c:strRef>
          </c:cat>
          <c:val>
            <c:numRef>
              <c:f>('PFK1'!$C$42,'PFK1'!$C$55,'PFK1'!$C$71,'PFK1'!$C$91)</c:f>
              <c:numCache>
                <c:formatCode>General</c:formatCode>
                <c:ptCount val="4"/>
                <c:pt idx="0">
                  <c:v>0.68600000000000005</c:v>
                </c:pt>
                <c:pt idx="1">
                  <c:v>2.0000000000000011E-2</c:v>
                </c:pt>
                <c:pt idx="2">
                  <c:v>0.79100000000000004</c:v>
                </c:pt>
                <c:pt idx="3">
                  <c:v>0.66200000000000259</c:v>
                </c:pt>
              </c:numCache>
            </c:numRef>
          </c:val>
          <c:extLst xmlns:c16r2="http://schemas.microsoft.com/office/drawing/2015/06/chart">
            <c:ext xmlns:c16="http://schemas.microsoft.com/office/drawing/2014/chart" uri="{C3380CC4-5D6E-409C-BE32-E72D297353CC}">
              <c16:uniqueId val="{00000001-25E0-4142-A700-DDAC24C1DD55}"/>
            </c:ext>
          </c:extLst>
        </c:ser>
        <c:dLbls>
          <c:showLegendKey val="0"/>
          <c:showVal val="0"/>
          <c:showCatName val="0"/>
          <c:showSerName val="0"/>
          <c:showPercent val="0"/>
          <c:showBubbleSize val="0"/>
        </c:dLbls>
        <c:gapWidth val="150"/>
        <c:axId val="409556480"/>
        <c:axId val="409558016"/>
      </c:barChart>
      <c:catAx>
        <c:axId val="409556480"/>
        <c:scaling>
          <c:orientation val="minMax"/>
        </c:scaling>
        <c:delete val="0"/>
        <c:axPos val="b"/>
        <c:numFmt formatCode="General" sourceLinked="0"/>
        <c:majorTickMark val="none"/>
        <c:minorTickMark val="none"/>
        <c:tickLblPos val="nextTo"/>
        <c:crossAx val="409558016"/>
        <c:crosses val="autoZero"/>
        <c:auto val="1"/>
        <c:lblAlgn val="ctr"/>
        <c:lblOffset val="100"/>
        <c:noMultiLvlLbl val="0"/>
      </c:catAx>
      <c:valAx>
        <c:axId val="409558016"/>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PFKP ng/mL</a:t>
                </a:r>
              </a:p>
            </c:rich>
          </c:tx>
          <c:layout>
            <c:manualLayout>
              <c:xMode val="edge"/>
              <c:yMode val="edge"/>
              <c:x val="2.7777777777777991E-2"/>
              <c:y val="0.29639732891340181"/>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40955648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tr-TR" sz="1000"/>
              <a:t>55 mM Glukoz</a:t>
            </a:r>
          </a:p>
        </c:rich>
      </c:tx>
      <c:layout>
        <c:manualLayout>
          <c:xMode val="edge"/>
          <c:yMode val="edge"/>
          <c:x val="0.40690436507936573"/>
          <c:y val="4.2043791754119993E-2"/>
        </c:manualLayout>
      </c:layout>
      <c:overlay val="0"/>
    </c:title>
    <c:autoTitleDeleted val="0"/>
    <c:plotArea>
      <c:layout>
        <c:manualLayout>
          <c:layoutTarget val="inner"/>
          <c:xMode val="edge"/>
          <c:yMode val="edge"/>
          <c:x val="0.17781802274715691"/>
          <c:y val="0.15313684747739986"/>
          <c:w val="0.77773753280840285"/>
          <c:h val="0.54261555847185772"/>
        </c:manualLayout>
      </c:layout>
      <c:barChart>
        <c:barDir val="col"/>
        <c:grouping val="clustered"/>
        <c:varyColors val="0"/>
        <c:ser>
          <c:idx val="0"/>
          <c:order val="0"/>
          <c:tx>
            <c:v>normoksi</c:v>
          </c:tx>
          <c:invertIfNegative val="0"/>
          <c:errBars>
            <c:errBarType val="both"/>
            <c:errValType val="stdErr"/>
            <c:noEndCap val="0"/>
          </c:errBars>
          <c:cat>
            <c:strRef>
              <c:f>'PFK1'!$R$35:$R$38</c:f>
              <c:strCache>
                <c:ptCount val="4"/>
                <c:pt idx="0">
                  <c:v>6.saat</c:v>
                </c:pt>
                <c:pt idx="1">
                  <c:v>12.saat</c:v>
                </c:pt>
                <c:pt idx="2">
                  <c:v>24.saat</c:v>
                </c:pt>
                <c:pt idx="3">
                  <c:v>48.saat</c:v>
                </c:pt>
              </c:strCache>
            </c:strRef>
          </c:cat>
          <c:val>
            <c:numRef>
              <c:f>('PFK1'!$C$39,'PFK1'!$C$52,'PFK1'!$C$68,'PFK1'!$C$88)</c:f>
              <c:numCache>
                <c:formatCode>General</c:formatCode>
                <c:ptCount val="4"/>
                <c:pt idx="0">
                  <c:v>0.20800000000000021</c:v>
                </c:pt>
                <c:pt idx="1">
                  <c:v>1.1319999999999955</c:v>
                </c:pt>
                <c:pt idx="2">
                  <c:v>0.314000000000001</c:v>
                </c:pt>
                <c:pt idx="3">
                  <c:v>0.89700000000000002</c:v>
                </c:pt>
              </c:numCache>
            </c:numRef>
          </c:val>
          <c:extLst xmlns:c16r2="http://schemas.microsoft.com/office/drawing/2015/06/chart">
            <c:ext xmlns:c16="http://schemas.microsoft.com/office/drawing/2014/chart" uri="{C3380CC4-5D6E-409C-BE32-E72D297353CC}">
              <c16:uniqueId val="{00000000-E611-4755-9C27-9CA95D60655F}"/>
            </c:ext>
          </c:extLst>
        </c:ser>
        <c:ser>
          <c:idx val="1"/>
          <c:order val="1"/>
          <c:tx>
            <c:v>hipoksi</c:v>
          </c:tx>
          <c:invertIfNegative val="0"/>
          <c:errBars>
            <c:errBarType val="both"/>
            <c:errValType val="stdErr"/>
            <c:noEndCap val="0"/>
          </c:errBars>
          <c:cat>
            <c:strRef>
              <c:f>'PFK1'!$R$35:$R$38</c:f>
              <c:strCache>
                <c:ptCount val="4"/>
                <c:pt idx="0">
                  <c:v>6.saat</c:v>
                </c:pt>
                <c:pt idx="1">
                  <c:v>12.saat</c:v>
                </c:pt>
                <c:pt idx="2">
                  <c:v>24.saat</c:v>
                </c:pt>
                <c:pt idx="3">
                  <c:v>48.saat</c:v>
                </c:pt>
              </c:strCache>
            </c:strRef>
          </c:cat>
          <c:val>
            <c:numRef>
              <c:f>('PFK1'!$C$43,'PFK1'!$C$56,'PFK1'!$C$72,'PFK1'!$C$92)</c:f>
              <c:numCache>
                <c:formatCode>General</c:formatCode>
                <c:ptCount val="4"/>
                <c:pt idx="0">
                  <c:v>0.57299999999999995</c:v>
                </c:pt>
                <c:pt idx="1">
                  <c:v>0.224</c:v>
                </c:pt>
                <c:pt idx="2">
                  <c:v>0.39500000000000135</c:v>
                </c:pt>
                <c:pt idx="3">
                  <c:v>0.77500000000000235</c:v>
                </c:pt>
              </c:numCache>
            </c:numRef>
          </c:val>
          <c:extLst xmlns:c16r2="http://schemas.microsoft.com/office/drawing/2015/06/chart">
            <c:ext xmlns:c16="http://schemas.microsoft.com/office/drawing/2014/chart" uri="{C3380CC4-5D6E-409C-BE32-E72D297353CC}">
              <c16:uniqueId val="{00000001-E611-4755-9C27-9CA95D60655F}"/>
            </c:ext>
          </c:extLst>
        </c:ser>
        <c:dLbls>
          <c:showLegendKey val="0"/>
          <c:showVal val="0"/>
          <c:showCatName val="0"/>
          <c:showSerName val="0"/>
          <c:showPercent val="0"/>
          <c:showBubbleSize val="0"/>
        </c:dLbls>
        <c:gapWidth val="150"/>
        <c:axId val="409594880"/>
        <c:axId val="409600768"/>
      </c:barChart>
      <c:catAx>
        <c:axId val="409594880"/>
        <c:scaling>
          <c:orientation val="minMax"/>
        </c:scaling>
        <c:delete val="0"/>
        <c:axPos val="b"/>
        <c:numFmt formatCode="General" sourceLinked="0"/>
        <c:majorTickMark val="none"/>
        <c:minorTickMark val="none"/>
        <c:tickLblPos val="nextTo"/>
        <c:crossAx val="409600768"/>
        <c:crosses val="autoZero"/>
        <c:auto val="1"/>
        <c:lblAlgn val="ctr"/>
        <c:lblOffset val="100"/>
        <c:noMultiLvlLbl val="0"/>
      </c:catAx>
      <c:valAx>
        <c:axId val="409600768"/>
        <c:scaling>
          <c:orientation val="minMax"/>
        </c:scaling>
        <c:delete val="0"/>
        <c:axPos val="l"/>
        <c:title>
          <c:tx>
            <c:rich>
              <a:bodyPr/>
              <a:lstStyle/>
              <a:p>
                <a:pPr>
                  <a:defRPr sz="1000"/>
                </a:pPr>
                <a:r>
                  <a:rPr lang="tr-TR" sz="1000"/>
                  <a:t>PFKP ng/mL</a:t>
                </a:r>
              </a:p>
            </c:rich>
          </c:tx>
          <c:layout>
            <c:manualLayout>
              <c:xMode val="edge"/>
              <c:yMode val="edge"/>
              <c:x val="3.6338225017470444E-2"/>
              <c:y val="0.27793748976892957"/>
            </c:manualLayout>
          </c:layout>
          <c:overlay val="0"/>
        </c:title>
        <c:numFmt formatCode="General" sourceLinked="1"/>
        <c:majorTickMark val="none"/>
        <c:minorTickMark val="none"/>
        <c:tickLblPos val="nextTo"/>
        <c:crossAx val="40959488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4960914260717412"/>
          <c:y val="0.13936351706036745"/>
          <c:w val="0.69041601049868762"/>
          <c:h val="0.76581765820939141"/>
        </c:manualLayout>
      </c:layout>
      <c:lineChart>
        <c:grouping val="standard"/>
        <c:varyColors val="0"/>
        <c:ser>
          <c:idx val="0"/>
          <c:order val="0"/>
          <c:tx>
            <c:strRef>
              <c:f>'laktat normoksi son sonuç'!$C$3</c:f>
              <c:strCache>
                <c:ptCount val="1"/>
                <c:pt idx="0">
                  <c:v>0mM</c:v>
                </c:pt>
              </c:strCache>
            </c:strRef>
          </c:tx>
          <c:errBars>
            <c:errDir val="y"/>
            <c:errBarType val="both"/>
            <c:errValType val="stdErr"/>
            <c:noEndCap val="0"/>
          </c:errBars>
          <c:cat>
            <c:strRef>
              <c:f>'laktat normoksi son sonuç'!$B$4:$B$8</c:f>
              <c:strCache>
                <c:ptCount val="5"/>
                <c:pt idx="0">
                  <c:v>3.SAAT </c:v>
                </c:pt>
                <c:pt idx="1">
                  <c:v>6.SAAT </c:v>
                </c:pt>
                <c:pt idx="2">
                  <c:v>12.SAAT </c:v>
                </c:pt>
                <c:pt idx="3">
                  <c:v>24.SAAT </c:v>
                </c:pt>
                <c:pt idx="4">
                  <c:v>48.SAAT </c:v>
                </c:pt>
              </c:strCache>
            </c:strRef>
          </c:cat>
          <c:val>
            <c:numRef>
              <c:f>'laktat normoksi son sonuç'!$C$4:$C$8</c:f>
              <c:numCache>
                <c:formatCode>General</c:formatCode>
                <c:ptCount val="5"/>
                <c:pt idx="0">
                  <c:v>1.74</c:v>
                </c:pt>
                <c:pt idx="1">
                  <c:v>1.35</c:v>
                </c:pt>
                <c:pt idx="2">
                  <c:v>1.85</c:v>
                </c:pt>
                <c:pt idx="3">
                  <c:v>1.55</c:v>
                </c:pt>
                <c:pt idx="4">
                  <c:v>0.27</c:v>
                </c:pt>
              </c:numCache>
            </c:numRef>
          </c:val>
          <c:smooth val="0"/>
          <c:extLst xmlns:c16r2="http://schemas.microsoft.com/office/drawing/2015/06/chart">
            <c:ext xmlns:c16="http://schemas.microsoft.com/office/drawing/2014/chart" uri="{C3380CC4-5D6E-409C-BE32-E72D297353CC}">
              <c16:uniqueId val="{00000000-D168-4753-9E3A-58F4778A4085}"/>
            </c:ext>
          </c:extLst>
        </c:ser>
        <c:ser>
          <c:idx val="1"/>
          <c:order val="1"/>
          <c:tx>
            <c:strRef>
              <c:f>'laktat normoksi son sonuç'!$D$3</c:f>
              <c:strCache>
                <c:ptCount val="1"/>
                <c:pt idx="0">
                  <c:v>5.5mM</c:v>
                </c:pt>
              </c:strCache>
            </c:strRef>
          </c:tx>
          <c:errBars>
            <c:errDir val="y"/>
            <c:errBarType val="both"/>
            <c:errValType val="stdErr"/>
            <c:noEndCap val="0"/>
          </c:errBars>
          <c:cat>
            <c:strRef>
              <c:f>'laktat normoksi son sonuç'!$B$4:$B$8</c:f>
              <c:strCache>
                <c:ptCount val="5"/>
                <c:pt idx="0">
                  <c:v>3.SAAT </c:v>
                </c:pt>
                <c:pt idx="1">
                  <c:v>6.SAAT </c:v>
                </c:pt>
                <c:pt idx="2">
                  <c:v>12.SAAT </c:v>
                </c:pt>
                <c:pt idx="3">
                  <c:v>24.SAAT </c:v>
                </c:pt>
                <c:pt idx="4">
                  <c:v>48.SAAT </c:v>
                </c:pt>
              </c:strCache>
            </c:strRef>
          </c:cat>
          <c:val>
            <c:numRef>
              <c:f>'laktat normoksi son sonuç'!$D$4:$D$8</c:f>
              <c:numCache>
                <c:formatCode>General</c:formatCode>
                <c:ptCount val="5"/>
                <c:pt idx="0">
                  <c:v>2.02</c:v>
                </c:pt>
                <c:pt idx="1">
                  <c:v>2.3499999999999988</c:v>
                </c:pt>
                <c:pt idx="2">
                  <c:v>4.18</c:v>
                </c:pt>
                <c:pt idx="3">
                  <c:v>8.3600000000000048</c:v>
                </c:pt>
                <c:pt idx="4">
                  <c:v>6.35</c:v>
                </c:pt>
              </c:numCache>
            </c:numRef>
          </c:val>
          <c:smooth val="0"/>
          <c:extLst xmlns:c16r2="http://schemas.microsoft.com/office/drawing/2015/06/chart">
            <c:ext xmlns:c16="http://schemas.microsoft.com/office/drawing/2014/chart" uri="{C3380CC4-5D6E-409C-BE32-E72D297353CC}">
              <c16:uniqueId val="{00000001-D168-4753-9E3A-58F4778A4085}"/>
            </c:ext>
          </c:extLst>
        </c:ser>
        <c:ser>
          <c:idx val="2"/>
          <c:order val="2"/>
          <c:tx>
            <c:strRef>
              <c:f>'laktat normoksi son sonuç'!$E$3</c:f>
              <c:strCache>
                <c:ptCount val="1"/>
                <c:pt idx="0">
                  <c:v>15mM</c:v>
                </c:pt>
              </c:strCache>
            </c:strRef>
          </c:tx>
          <c:errBars>
            <c:errDir val="y"/>
            <c:errBarType val="both"/>
            <c:errValType val="stdErr"/>
            <c:noEndCap val="0"/>
          </c:errBars>
          <c:cat>
            <c:strRef>
              <c:f>'laktat normoksi son sonuç'!$B$4:$B$8</c:f>
              <c:strCache>
                <c:ptCount val="5"/>
                <c:pt idx="0">
                  <c:v>3.SAAT </c:v>
                </c:pt>
                <c:pt idx="1">
                  <c:v>6.SAAT </c:v>
                </c:pt>
                <c:pt idx="2">
                  <c:v>12.SAAT </c:v>
                </c:pt>
                <c:pt idx="3">
                  <c:v>24.SAAT </c:v>
                </c:pt>
                <c:pt idx="4">
                  <c:v>48.SAAT </c:v>
                </c:pt>
              </c:strCache>
            </c:strRef>
          </c:cat>
          <c:val>
            <c:numRef>
              <c:f>'laktat normoksi son sonuç'!$E$4:$E$8</c:f>
              <c:numCache>
                <c:formatCode>General</c:formatCode>
                <c:ptCount val="5"/>
                <c:pt idx="0">
                  <c:v>0.88</c:v>
                </c:pt>
                <c:pt idx="1">
                  <c:v>2.48</c:v>
                </c:pt>
                <c:pt idx="2">
                  <c:v>5.2700000000000014</c:v>
                </c:pt>
                <c:pt idx="3">
                  <c:v>6.72</c:v>
                </c:pt>
                <c:pt idx="4">
                  <c:v>6.08</c:v>
                </c:pt>
              </c:numCache>
            </c:numRef>
          </c:val>
          <c:smooth val="0"/>
          <c:extLst xmlns:c16r2="http://schemas.microsoft.com/office/drawing/2015/06/chart">
            <c:ext xmlns:c16="http://schemas.microsoft.com/office/drawing/2014/chart" uri="{C3380CC4-5D6E-409C-BE32-E72D297353CC}">
              <c16:uniqueId val="{00000002-D168-4753-9E3A-58F4778A4085}"/>
            </c:ext>
          </c:extLst>
        </c:ser>
        <c:ser>
          <c:idx val="3"/>
          <c:order val="3"/>
          <c:tx>
            <c:strRef>
              <c:f>'laktat normoksi son sonuç'!$F$3</c:f>
              <c:strCache>
                <c:ptCount val="1"/>
                <c:pt idx="0">
                  <c:v>55mM</c:v>
                </c:pt>
              </c:strCache>
            </c:strRef>
          </c:tx>
          <c:errBars>
            <c:errDir val="y"/>
            <c:errBarType val="both"/>
            <c:errValType val="stdErr"/>
            <c:noEndCap val="0"/>
          </c:errBars>
          <c:cat>
            <c:strRef>
              <c:f>'laktat normoksi son sonuç'!$B$4:$B$8</c:f>
              <c:strCache>
                <c:ptCount val="5"/>
                <c:pt idx="0">
                  <c:v>3.SAAT </c:v>
                </c:pt>
                <c:pt idx="1">
                  <c:v>6.SAAT </c:v>
                </c:pt>
                <c:pt idx="2">
                  <c:v>12.SAAT </c:v>
                </c:pt>
                <c:pt idx="3">
                  <c:v>24.SAAT </c:v>
                </c:pt>
                <c:pt idx="4">
                  <c:v>48.SAAT </c:v>
                </c:pt>
              </c:strCache>
            </c:strRef>
          </c:cat>
          <c:val>
            <c:numRef>
              <c:f>'laktat normoksi son sonuç'!$F$4:$F$8</c:f>
              <c:numCache>
                <c:formatCode>General</c:formatCode>
                <c:ptCount val="5"/>
                <c:pt idx="0">
                  <c:v>1.9000000000000001</c:v>
                </c:pt>
                <c:pt idx="1">
                  <c:v>2.5</c:v>
                </c:pt>
                <c:pt idx="2">
                  <c:v>4.9300000000000024</c:v>
                </c:pt>
                <c:pt idx="3">
                  <c:v>8.3600000000000048</c:v>
                </c:pt>
                <c:pt idx="4">
                  <c:v>7.25</c:v>
                </c:pt>
              </c:numCache>
            </c:numRef>
          </c:val>
          <c:smooth val="0"/>
          <c:extLst xmlns:c16r2="http://schemas.microsoft.com/office/drawing/2015/06/chart">
            <c:ext xmlns:c16="http://schemas.microsoft.com/office/drawing/2014/chart" uri="{C3380CC4-5D6E-409C-BE32-E72D297353CC}">
              <c16:uniqueId val="{00000003-D168-4753-9E3A-58F4778A4085}"/>
            </c:ext>
          </c:extLst>
        </c:ser>
        <c:dLbls>
          <c:showLegendKey val="0"/>
          <c:showVal val="0"/>
          <c:showCatName val="0"/>
          <c:showSerName val="0"/>
          <c:showPercent val="0"/>
          <c:showBubbleSize val="0"/>
        </c:dLbls>
        <c:marker val="1"/>
        <c:smooth val="0"/>
        <c:axId val="409649152"/>
        <c:axId val="409651072"/>
      </c:lineChart>
      <c:catAx>
        <c:axId val="409649152"/>
        <c:scaling>
          <c:orientation val="minMax"/>
        </c:scaling>
        <c:delete val="0"/>
        <c:axPos val="b"/>
        <c:title>
          <c:tx>
            <c:rich>
              <a:bodyPr/>
              <a:lstStyle/>
              <a:p>
                <a:pPr>
                  <a:defRPr sz="1000"/>
                </a:pPr>
                <a:r>
                  <a:rPr lang="tr-TR" sz="1000"/>
                  <a:t>Normoksi</a:t>
                </a:r>
              </a:p>
            </c:rich>
          </c:tx>
          <c:layout>
            <c:manualLayout>
              <c:xMode val="edge"/>
              <c:yMode val="edge"/>
              <c:x val="0.41182289336316241"/>
              <c:y val="3.6087780694079939E-2"/>
            </c:manualLayout>
          </c:layout>
          <c:overlay val="0"/>
        </c:title>
        <c:numFmt formatCode="General" sourceLinked="0"/>
        <c:majorTickMark val="out"/>
        <c:minorTickMark val="none"/>
        <c:tickLblPos val="nextTo"/>
        <c:crossAx val="409651072"/>
        <c:crosses val="autoZero"/>
        <c:auto val="1"/>
        <c:lblAlgn val="ctr"/>
        <c:lblOffset val="100"/>
        <c:noMultiLvlLbl val="0"/>
      </c:catAx>
      <c:valAx>
        <c:axId val="409651072"/>
        <c:scaling>
          <c:orientation val="minMax"/>
        </c:scaling>
        <c:delete val="0"/>
        <c:axPos val="l"/>
        <c:title>
          <c:tx>
            <c:rich>
              <a:bodyPr rot="-5400000" vert="horz"/>
              <a:lstStyle/>
              <a:p>
                <a:pPr>
                  <a:defRPr sz="1000"/>
                </a:pPr>
                <a:r>
                  <a:rPr lang="tr-TR" sz="1000"/>
                  <a:t>Laktat mM</a:t>
                </a:r>
              </a:p>
            </c:rich>
          </c:tx>
          <c:layout>
            <c:manualLayout>
              <c:xMode val="edge"/>
              <c:yMode val="edge"/>
              <c:x val="4.7326435495898662E-2"/>
              <c:y val="0.38532771945173538"/>
            </c:manualLayout>
          </c:layout>
          <c:overlay val="0"/>
        </c:title>
        <c:numFmt formatCode="General" sourceLinked="1"/>
        <c:majorTickMark val="out"/>
        <c:minorTickMark val="none"/>
        <c:tickLblPos val="nextTo"/>
        <c:crossAx val="409649152"/>
        <c:crosses val="autoZero"/>
        <c:crossBetween val="between"/>
      </c:valAx>
    </c:plotArea>
    <c:legend>
      <c:legendPos val="r"/>
      <c:overlay val="0"/>
    </c:legend>
    <c:plotVisOnly val="1"/>
    <c:dispBlanksAs val="gap"/>
    <c:showDLblsOverMax val="0"/>
  </c:chart>
  <c:txPr>
    <a:bodyPr/>
    <a:lstStyle/>
    <a:p>
      <a:pPr>
        <a:defRPr>
          <a:solidFill>
            <a:schemeClr val="bg1"/>
          </a:solidFill>
          <a:latin typeface="Times New Roman" pitchFamily="18" charset="0"/>
          <a:cs typeface="Times New Roman" pitchFamily="18" charset="0"/>
        </a:defRPr>
      </a:pPr>
      <a:endParaRPr lang="tr-TR"/>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3325306211723534"/>
          <c:y val="0.13010425780110821"/>
          <c:w val="0.716330927384079"/>
          <c:h val="0.80484179060950833"/>
        </c:manualLayout>
      </c:layout>
      <c:lineChart>
        <c:grouping val="standard"/>
        <c:varyColors val="0"/>
        <c:ser>
          <c:idx val="0"/>
          <c:order val="0"/>
          <c:tx>
            <c:strRef>
              <c:f>'laktat hipoksi son sonuç'!$C$3</c:f>
              <c:strCache>
                <c:ptCount val="1"/>
                <c:pt idx="0">
                  <c:v>0mM</c:v>
                </c:pt>
              </c:strCache>
            </c:strRef>
          </c:tx>
          <c:errBars>
            <c:errDir val="y"/>
            <c:errBarType val="both"/>
            <c:errValType val="stdErr"/>
            <c:noEndCap val="0"/>
          </c:errBars>
          <c:cat>
            <c:strRef>
              <c:f>'laktat hipoksi son sonuç'!$B$4:$B$8</c:f>
              <c:strCache>
                <c:ptCount val="5"/>
                <c:pt idx="0">
                  <c:v>3.SAAT </c:v>
                </c:pt>
                <c:pt idx="1">
                  <c:v>6.SAAT </c:v>
                </c:pt>
                <c:pt idx="2">
                  <c:v>12.SAAT </c:v>
                </c:pt>
                <c:pt idx="3">
                  <c:v>24.SAAT </c:v>
                </c:pt>
                <c:pt idx="4">
                  <c:v>48.SAAT </c:v>
                </c:pt>
              </c:strCache>
            </c:strRef>
          </c:cat>
          <c:val>
            <c:numRef>
              <c:f>'laktat hipoksi son sonuç'!$C$4:$C$8</c:f>
              <c:numCache>
                <c:formatCode>General</c:formatCode>
                <c:ptCount val="5"/>
                <c:pt idx="0">
                  <c:v>1.32</c:v>
                </c:pt>
                <c:pt idx="1">
                  <c:v>2</c:v>
                </c:pt>
                <c:pt idx="2">
                  <c:v>1.59</c:v>
                </c:pt>
                <c:pt idx="3">
                  <c:v>1.960000000000004</c:v>
                </c:pt>
                <c:pt idx="4">
                  <c:v>1.08</c:v>
                </c:pt>
              </c:numCache>
            </c:numRef>
          </c:val>
          <c:smooth val="0"/>
          <c:extLst xmlns:c16r2="http://schemas.microsoft.com/office/drawing/2015/06/chart">
            <c:ext xmlns:c16="http://schemas.microsoft.com/office/drawing/2014/chart" uri="{C3380CC4-5D6E-409C-BE32-E72D297353CC}">
              <c16:uniqueId val="{00000000-BFA7-4E2E-955C-9686BE2D6831}"/>
            </c:ext>
          </c:extLst>
        </c:ser>
        <c:ser>
          <c:idx val="1"/>
          <c:order val="1"/>
          <c:tx>
            <c:strRef>
              <c:f>'laktat hipoksi son sonuç'!$D$3</c:f>
              <c:strCache>
                <c:ptCount val="1"/>
                <c:pt idx="0">
                  <c:v>5.5mM</c:v>
                </c:pt>
              </c:strCache>
            </c:strRef>
          </c:tx>
          <c:errBars>
            <c:errDir val="y"/>
            <c:errBarType val="both"/>
            <c:errValType val="stdErr"/>
            <c:noEndCap val="0"/>
          </c:errBars>
          <c:cat>
            <c:strRef>
              <c:f>'laktat hipoksi son sonuç'!$B$4:$B$8</c:f>
              <c:strCache>
                <c:ptCount val="5"/>
                <c:pt idx="0">
                  <c:v>3.SAAT </c:v>
                </c:pt>
                <c:pt idx="1">
                  <c:v>6.SAAT </c:v>
                </c:pt>
                <c:pt idx="2">
                  <c:v>12.SAAT </c:v>
                </c:pt>
                <c:pt idx="3">
                  <c:v>24.SAAT </c:v>
                </c:pt>
                <c:pt idx="4">
                  <c:v>48.SAAT </c:v>
                </c:pt>
              </c:strCache>
            </c:strRef>
          </c:cat>
          <c:val>
            <c:numRef>
              <c:f>'laktat hipoksi son sonuç'!$D$4:$D$8</c:f>
              <c:numCache>
                <c:formatCode>General</c:formatCode>
                <c:ptCount val="5"/>
                <c:pt idx="0">
                  <c:v>1.9200000000000021</c:v>
                </c:pt>
                <c:pt idx="1">
                  <c:v>2.17</c:v>
                </c:pt>
                <c:pt idx="2">
                  <c:v>4.1499999999999995</c:v>
                </c:pt>
                <c:pt idx="3">
                  <c:v>10.040000000000001</c:v>
                </c:pt>
                <c:pt idx="4">
                  <c:v>9.48</c:v>
                </c:pt>
              </c:numCache>
            </c:numRef>
          </c:val>
          <c:smooth val="0"/>
          <c:extLst xmlns:c16r2="http://schemas.microsoft.com/office/drawing/2015/06/chart">
            <c:ext xmlns:c16="http://schemas.microsoft.com/office/drawing/2014/chart" uri="{C3380CC4-5D6E-409C-BE32-E72D297353CC}">
              <c16:uniqueId val="{00000001-BFA7-4E2E-955C-9686BE2D6831}"/>
            </c:ext>
          </c:extLst>
        </c:ser>
        <c:ser>
          <c:idx val="2"/>
          <c:order val="2"/>
          <c:tx>
            <c:strRef>
              <c:f>'laktat hipoksi son sonuç'!$E$3</c:f>
              <c:strCache>
                <c:ptCount val="1"/>
                <c:pt idx="0">
                  <c:v>15mM</c:v>
                </c:pt>
              </c:strCache>
            </c:strRef>
          </c:tx>
          <c:errBars>
            <c:errDir val="y"/>
            <c:errBarType val="both"/>
            <c:errValType val="stdErr"/>
            <c:noEndCap val="0"/>
          </c:errBars>
          <c:cat>
            <c:strRef>
              <c:f>'laktat hipoksi son sonuç'!$B$4:$B$8</c:f>
              <c:strCache>
                <c:ptCount val="5"/>
                <c:pt idx="0">
                  <c:v>3.SAAT </c:v>
                </c:pt>
                <c:pt idx="1">
                  <c:v>6.SAAT </c:v>
                </c:pt>
                <c:pt idx="2">
                  <c:v>12.SAAT </c:v>
                </c:pt>
                <c:pt idx="3">
                  <c:v>24.SAAT </c:v>
                </c:pt>
                <c:pt idx="4">
                  <c:v>48.SAAT </c:v>
                </c:pt>
              </c:strCache>
            </c:strRef>
          </c:cat>
          <c:val>
            <c:numRef>
              <c:f>'laktat hipoksi son sonuç'!$E$4:$E$8</c:f>
              <c:numCache>
                <c:formatCode>General</c:formatCode>
                <c:ptCount val="5"/>
                <c:pt idx="0">
                  <c:v>0.68</c:v>
                </c:pt>
                <c:pt idx="1">
                  <c:v>2.69</c:v>
                </c:pt>
                <c:pt idx="2">
                  <c:v>5.85</c:v>
                </c:pt>
                <c:pt idx="3">
                  <c:v>6.26</c:v>
                </c:pt>
                <c:pt idx="4">
                  <c:v>13.01</c:v>
                </c:pt>
              </c:numCache>
            </c:numRef>
          </c:val>
          <c:smooth val="0"/>
          <c:extLst xmlns:c16r2="http://schemas.microsoft.com/office/drawing/2015/06/chart">
            <c:ext xmlns:c16="http://schemas.microsoft.com/office/drawing/2014/chart" uri="{C3380CC4-5D6E-409C-BE32-E72D297353CC}">
              <c16:uniqueId val="{00000002-BFA7-4E2E-955C-9686BE2D6831}"/>
            </c:ext>
          </c:extLst>
        </c:ser>
        <c:ser>
          <c:idx val="3"/>
          <c:order val="3"/>
          <c:tx>
            <c:strRef>
              <c:f>'laktat hipoksi son sonuç'!$F$3</c:f>
              <c:strCache>
                <c:ptCount val="1"/>
                <c:pt idx="0">
                  <c:v>55mM</c:v>
                </c:pt>
              </c:strCache>
            </c:strRef>
          </c:tx>
          <c:errBars>
            <c:errDir val="y"/>
            <c:errBarType val="both"/>
            <c:errValType val="stdErr"/>
            <c:noEndCap val="0"/>
          </c:errBars>
          <c:cat>
            <c:strRef>
              <c:f>'laktat hipoksi son sonuç'!$B$4:$B$8</c:f>
              <c:strCache>
                <c:ptCount val="5"/>
                <c:pt idx="0">
                  <c:v>3.SAAT </c:v>
                </c:pt>
                <c:pt idx="1">
                  <c:v>6.SAAT </c:v>
                </c:pt>
                <c:pt idx="2">
                  <c:v>12.SAAT </c:v>
                </c:pt>
                <c:pt idx="3">
                  <c:v>24.SAAT </c:v>
                </c:pt>
                <c:pt idx="4">
                  <c:v>48.SAAT </c:v>
                </c:pt>
              </c:strCache>
            </c:strRef>
          </c:cat>
          <c:val>
            <c:numRef>
              <c:f>'laktat hipoksi son sonuç'!$F$4:$F$8</c:f>
              <c:numCache>
                <c:formatCode>General</c:formatCode>
                <c:ptCount val="5"/>
                <c:pt idx="0">
                  <c:v>1.970000000000004</c:v>
                </c:pt>
                <c:pt idx="1">
                  <c:v>2.72</c:v>
                </c:pt>
                <c:pt idx="2">
                  <c:v>4.84</c:v>
                </c:pt>
                <c:pt idx="3">
                  <c:v>9.7800000000000011</c:v>
                </c:pt>
                <c:pt idx="4">
                  <c:v>15.04</c:v>
                </c:pt>
              </c:numCache>
            </c:numRef>
          </c:val>
          <c:smooth val="0"/>
          <c:extLst xmlns:c16r2="http://schemas.microsoft.com/office/drawing/2015/06/chart">
            <c:ext xmlns:c16="http://schemas.microsoft.com/office/drawing/2014/chart" uri="{C3380CC4-5D6E-409C-BE32-E72D297353CC}">
              <c16:uniqueId val="{00000003-BFA7-4E2E-955C-9686BE2D6831}"/>
            </c:ext>
          </c:extLst>
        </c:ser>
        <c:dLbls>
          <c:showLegendKey val="0"/>
          <c:showVal val="0"/>
          <c:showCatName val="0"/>
          <c:showSerName val="0"/>
          <c:showPercent val="0"/>
          <c:showBubbleSize val="0"/>
        </c:dLbls>
        <c:marker val="1"/>
        <c:smooth val="0"/>
        <c:axId val="410157440"/>
        <c:axId val="410159360"/>
      </c:lineChart>
      <c:catAx>
        <c:axId val="410157440"/>
        <c:scaling>
          <c:orientation val="minMax"/>
        </c:scaling>
        <c:delete val="0"/>
        <c:axPos val="b"/>
        <c:title>
          <c:tx>
            <c:rich>
              <a:bodyPr/>
              <a:lstStyle/>
              <a:p>
                <a:pPr>
                  <a:defRPr sz="1000"/>
                </a:pPr>
                <a:r>
                  <a:rPr lang="tr-TR" sz="1000"/>
                  <a:t>Hipoksi</a:t>
                </a:r>
              </a:p>
            </c:rich>
          </c:tx>
          <c:layout>
            <c:manualLayout>
              <c:xMode val="edge"/>
              <c:yMode val="edge"/>
              <c:x val="0.43992475940507586"/>
              <c:y val="2.682852143482067E-2"/>
            </c:manualLayout>
          </c:layout>
          <c:overlay val="0"/>
        </c:title>
        <c:numFmt formatCode="General" sourceLinked="0"/>
        <c:majorTickMark val="out"/>
        <c:minorTickMark val="none"/>
        <c:tickLblPos val="nextTo"/>
        <c:crossAx val="410159360"/>
        <c:crosses val="autoZero"/>
        <c:auto val="1"/>
        <c:lblAlgn val="ctr"/>
        <c:lblOffset val="100"/>
        <c:noMultiLvlLbl val="0"/>
      </c:catAx>
      <c:valAx>
        <c:axId val="410159360"/>
        <c:scaling>
          <c:orientation val="minMax"/>
        </c:scaling>
        <c:delete val="0"/>
        <c:axPos val="l"/>
        <c:title>
          <c:tx>
            <c:rich>
              <a:bodyPr rot="-5400000" vert="horz"/>
              <a:lstStyle/>
              <a:p>
                <a:pPr>
                  <a:defRPr sz="1000"/>
                </a:pPr>
                <a:r>
                  <a:rPr lang="tr-TR" sz="1000"/>
                  <a:t>Laktat mM</a:t>
                </a:r>
              </a:p>
            </c:rich>
          </c:tx>
          <c:overlay val="0"/>
        </c:title>
        <c:numFmt formatCode="General" sourceLinked="1"/>
        <c:majorTickMark val="out"/>
        <c:minorTickMark val="none"/>
        <c:tickLblPos val="nextTo"/>
        <c:crossAx val="41015744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0046086011400444"/>
          <c:y val="0.12547462817147856"/>
          <c:w val="0.76573512685914502"/>
          <c:h val="0.73444808982210552"/>
        </c:manualLayout>
      </c:layout>
      <c:barChart>
        <c:barDir val="col"/>
        <c:grouping val="clustered"/>
        <c:varyColors val="0"/>
        <c:ser>
          <c:idx val="0"/>
          <c:order val="0"/>
          <c:tx>
            <c:v>3.saat</c:v>
          </c:tx>
          <c:invertIfNegative val="0"/>
          <c:errBars>
            <c:errBarType val="both"/>
            <c:errValType val="stdErr"/>
            <c:noEndCap val="0"/>
          </c:errBars>
          <c:cat>
            <c:strRef>
              <c:f>'laktat normoksi son sonuç'!$C$3:$F$3</c:f>
              <c:strCache>
                <c:ptCount val="4"/>
                <c:pt idx="0">
                  <c:v>0mM</c:v>
                </c:pt>
                <c:pt idx="1">
                  <c:v>5.5mM</c:v>
                </c:pt>
                <c:pt idx="2">
                  <c:v>15mM</c:v>
                </c:pt>
                <c:pt idx="3">
                  <c:v>55mM</c:v>
                </c:pt>
              </c:strCache>
            </c:strRef>
          </c:cat>
          <c:val>
            <c:numRef>
              <c:f>'laktat normoksi son sonuç'!$C$4:$F$4</c:f>
              <c:numCache>
                <c:formatCode>General</c:formatCode>
                <c:ptCount val="4"/>
                <c:pt idx="0">
                  <c:v>1.74</c:v>
                </c:pt>
                <c:pt idx="1">
                  <c:v>2.02</c:v>
                </c:pt>
                <c:pt idx="2">
                  <c:v>0.88</c:v>
                </c:pt>
                <c:pt idx="3">
                  <c:v>1.9000000000000001</c:v>
                </c:pt>
              </c:numCache>
            </c:numRef>
          </c:val>
          <c:extLst xmlns:c16r2="http://schemas.microsoft.com/office/drawing/2015/06/chart">
            <c:ext xmlns:c16="http://schemas.microsoft.com/office/drawing/2014/chart" uri="{C3380CC4-5D6E-409C-BE32-E72D297353CC}">
              <c16:uniqueId val="{00000000-9458-4066-9619-2B6880470C42}"/>
            </c:ext>
          </c:extLst>
        </c:ser>
        <c:ser>
          <c:idx val="1"/>
          <c:order val="1"/>
          <c:tx>
            <c:v>6.saat</c:v>
          </c:tx>
          <c:invertIfNegative val="0"/>
          <c:errBars>
            <c:errBarType val="both"/>
            <c:errValType val="stdErr"/>
            <c:noEndCap val="0"/>
          </c:errBars>
          <c:cat>
            <c:strRef>
              <c:f>'laktat normoksi son sonuç'!$C$3:$F$3</c:f>
              <c:strCache>
                <c:ptCount val="4"/>
                <c:pt idx="0">
                  <c:v>0mM</c:v>
                </c:pt>
                <c:pt idx="1">
                  <c:v>5.5mM</c:v>
                </c:pt>
                <c:pt idx="2">
                  <c:v>15mM</c:v>
                </c:pt>
                <c:pt idx="3">
                  <c:v>55mM</c:v>
                </c:pt>
              </c:strCache>
            </c:strRef>
          </c:cat>
          <c:val>
            <c:numRef>
              <c:f>'laktat normoksi son sonuç'!$C$5:$F$5</c:f>
              <c:numCache>
                <c:formatCode>General</c:formatCode>
                <c:ptCount val="4"/>
                <c:pt idx="0">
                  <c:v>1.35</c:v>
                </c:pt>
                <c:pt idx="1">
                  <c:v>2.3499999999999988</c:v>
                </c:pt>
                <c:pt idx="2">
                  <c:v>2.48</c:v>
                </c:pt>
                <c:pt idx="3">
                  <c:v>2.5</c:v>
                </c:pt>
              </c:numCache>
            </c:numRef>
          </c:val>
          <c:extLst xmlns:c16r2="http://schemas.microsoft.com/office/drawing/2015/06/chart">
            <c:ext xmlns:c16="http://schemas.microsoft.com/office/drawing/2014/chart" uri="{C3380CC4-5D6E-409C-BE32-E72D297353CC}">
              <c16:uniqueId val="{00000001-9458-4066-9619-2B6880470C42}"/>
            </c:ext>
          </c:extLst>
        </c:ser>
        <c:ser>
          <c:idx val="2"/>
          <c:order val="2"/>
          <c:tx>
            <c:v>12.saat</c:v>
          </c:tx>
          <c:invertIfNegative val="0"/>
          <c:errBars>
            <c:errBarType val="both"/>
            <c:errValType val="stdErr"/>
            <c:noEndCap val="0"/>
          </c:errBars>
          <c:cat>
            <c:strRef>
              <c:f>'laktat normoksi son sonuç'!$C$3:$F$3</c:f>
              <c:strCache>
                <c:ptCount val="4"/>
                <c:pt idx="0">
                  <c:v>0mM</c:v>
                </c:pt>
                <c:pt idx="1">
                  <c:v>5.5mM</c:v>
                </c:pt>
                <c:pt idx="2">
                  <c:v>15mM</c:v>
                </c:pt>
                <c:pt idx="3">
                  <c:v>55mM</c:v>
                </c:pt>
              </c:strCache>
            </c:strRef>
          </c:cat>
          <c:val>
            <c:numRef>
              <c:f>'laktat normoksi son sonuç'!$C$6:$F$6</c:f>
              <c:numCache>
                <c:formatCode>General</c:formatCode>
                <c:ptCount val="4"/>
                <c:pt idx="0">
                  <c:v>1.85</c:v>
                </c:pt>
                <c:pt idx="1">
                  <c:v>4.18</c:v>
                </c:pt>
                <c:pt idx="2">
                  <c:v>5.2700000000000014</c:v>
                </c:pt>
                <c:pt idx="3">
                  <c:v>4.9300000000000024</c:v>
                </c:pt>
              </c:numCache>
            </c:numRef>
          </c:val>
          <c:extLst xmlns:c16r2="http://schemas.microsoft.com/office/drawing/2015/06/chart">
            <c:ext xmlns:c16="http://schemas.microsoft.com/office/drawing/2014/chart" uri="{C3380CC4-5D6E-409C-BE32-E72D297353CC}">
              <c16:uniqueId val="{00000002-9458-4066-9619-2B6880470C42}"/>
            </c:ext>
          </c:extLst>
        </c:ser>
        <c:ser>
          <c:idx val="3"/>
          <c:order val="3"/>
          <c:tx>
            <c:v>24.saat</c:v>
          </c:tx>
          <c:invertIfNegative val="0"/>
          <c:errBars>
            <c:errBarType val="both"/>
            <c:errValType val="stdErr"/>
            <c:noEndCap val="0"/>
          </c:errBars>
          <c:cat>
            <c:strRef>
              <c:f>'laktat normoksi son sonuç'!$C$3:$F$3</c:f>
              <c:strCache>
                <c:ptCount val="4"/>
                <c:pt idx="0">
                  <c:v>0mM</c:v>
                </c:pt>
                <c:pt idx="1">
                  <c:v>5.5mM</c:v>
                </c:pt>
                <c:pt idx="2">
                  <c:v>15mM</c:v>
                </c:pt>
                <c:pt idx="3">
                  <c:v>55mM</c:v>
                </c:pt>
              </c:strCache>
            </c:strRef>
          </c:cat>
          <c:val>
            <c:numRef>
              <c:f>'laktat normoksi son sonuç'!$C$7:$F$7</c:f>
              <c:numCache>
                <c:formatCode>General</c:formatCode>
                <c:ptCount val="4"/>
                <c:pt idx="0">
                  <c:v>1.55</c:v>
                </c:pt>
                <c:pt idx="1">
                  <c:v>8.3600000000000048</c:v>
                </c:pt>
                <c:pt idx="2">
                  <c:v>6.72</c:v>
                </c:pt>
                <c:pt idx="3">
                  <c:v>8.3600000000000048</c:v>
                </c:pt>
              </c:numCache>
            </c:numRef>
          </c:val>
          <c:extLst xmlns:c16r2="http://schemas.microsoft.com/office/drawing/2015/06/chart">
            <c:ext xmlns:c16="http://schemas.microsoft.com/office/drawing/2014/chart" uri="{C3380CC4-5D6E-409C-BE32-E72D297353CC}">
              <c16:uniqueId val="{00000003-9458-4066-9619-2B6880470C42}"/>
            </c:ext>
          </c:extLst>
        </c:ser>
        <c:ser>
          <c:idx val="4"/>
          <c:order val="4"/>
          <c:tx>
            <c:v>48.saat</c:v>
          </c:tx>
          <c:invertIfNegative val="0"/>
          <c:errBars>
            <c:errBarType val="both"/>
            <c:errValType val="stdErr"/>
            <c:noEndCap val="0"/>
          </c:errBars>
          <c:cat>
            <c:strRef>
              <c:f>'laktat normoksi son sonuç'!$C$3:$F$3</c:f>
              <c:strCache>
                <c:ptCount val="4"/>
                <c:pt idx="0">
                  <c:v>0mM</c:v>
                </c:pt>
                <c:pt idx="1">
                  <c:v>5.5mM</c:v>
                </c:pt>
                <c:pt idx="2">
                  <c:v>15mM</c:v>
                </c:pt>
                <c:pt idx="3">
                  <c:v>55mM</c:v>
                </c:pt>
              </c:strCache>
            </c:strRef>
          </c:cat>
          <c:val>
            <c:numRef>
              <c:f>'laktat normoksi son sonuç'!$C$8:$F$8</c:f>
              <c:numCache>
                <c:formatCode>General</c:formatCode>
                <c:ptCount val="4"/>
                <c:pt idx="0">
                  <c:v>0.27</c:v>
                </c:pt>
                <c:pt idx="1">
                  <c:v>6.35</c:v>
                </c:pt>
                <c:pt idx="2">
                  <c:v>6.08</c:v>
                </c:pt>
                <c:pt idx="3">
                  <c:v>7.25</c:v>
                </c:pt>
              </c:numCache>
            </c:numRef>
          </c:val>
          <c:extLst xmlns:c16r2="http://schemas.microsoft.com/office/drawing/2015/06/chart">
            <c:ext xmlns:c16="http://schemas.microsoft.com/office/drawing/2014/chart" uri="{C3380CC4-5D6E-409C-BE32-E72D297353CC}">
              <c16:uniqueId val="{00000004-9458-4066-9619-2B6880470C42}"/>
            </c:ext>
          </c:extLst>
        </c:ser>
        <c:dLbls>
          <c:showLegendKey val="0"/>
          <c:showVal val="0"/>
          <c:showCatName val="0"/>
          <c:showSerName val="0"/>
          <c:showPercent val="0"/>
          <c:showBubbleSize val="0"/>
        </c:dLbls>
        <c:gapWidth val="150"/>
        <c:axId val="410215936"/>
        <c:axId val="410217856"/>
      </c:barChart>
      <c:catAx>
        <c:axId val="410215936"/>
        <c:scaling>
          <c:orientation val="minMax"/>
        </c:scaling>
        <c:delete val="0"/>
        <c:axPos val="b"/>
        <c:title>
          <c:tx>
            <c:rich>
              <a:bodyPr/>
              <a:lstStyle/>
              <a:p>
                <a:pPr>
                  <a:defRPr/>
                </a:pPr>
                <a:r>
                  <a:rPr lang="tr-TR"/>
                  <a:t>Normoksi</a:t>
                </a:r>
              </a:p>
            </c:rich>
          </c:tx>
          <c:layout>
            <c:manualLayout>
              <c:xMode val="edge"/>
              <c:yMode val="edge"/>
              <c:x val="0.41042901282909355"/>
              <c:y val="2.682852143482067E-2"/>
            </c:manualLayout>
          </c:layout>
          <c:overlay val="0"/>
        </c:title>
        <c:numFmt formatCode="General" sourceLinked="0"/>
        <c:majorTickMark val="out"/>
        <c:minorTickMark val="none"/>
        <c:tickLblPos val="nextTo"/>
        <c:crossAx val="410217856"/>
        <c:crosses val="autoZero"/>
        <c:auto val="1"/>
        <c:lblAlgn val="ctr"/>
        <c:lblOffset val="100"/>
        <c:noMultiLvlLbl val="0"/>
      </c:catAx>
      <c:valAx>
        <c:axId val="410217856"/>
        <c:scaling>
          <c:orientation val="minMax"/>
        </c:scaling>
        <c:delete val="0"/>
        <c:axPos val="l"/>
        <c:title>
          <c:tx>
            <c:rich>
              <a:bodyPr rot="-5400000" vert="horz"/>
              <a:lstStyle/>
              <a:p>
                <a:pPr>
                  <a:defRPr/>
                </a:pPr>
                <a:r>
                  <a:rPr lang="tr-TR"/>
                  <a:t>Laktat mM</a:t>
                </a:r>
              </a:p>
            </c:rich>
          </c:tx>
          <c:overlay val="0"/>
        </c:title>
        <c:numFmt formatCode="General" sourceLinked="1"/>
        <c:majorTickMark val="out"/>
        <c:minorTickMark val="none"/>
        <c:tickLblPos val="nextTo"/>
        <c:crossAx val="41021593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1646625421822321"/>
          <c:y val="0.13010425780110821"/>
          <c:w val="0.76894825646794462"/>
          <c:h val="0.78632327209098862"/>
        </c:manualLayout>
      </c:layout>
      <c:barChart>
        <c:barDir val="col"/>
        <c:grouping val="clustered"/>
        <c:varyColors val="0"/>
        <c:ser>
          <c:idx val="0"/>
          <c:order val="0"/>
          <c:tx>
            <c:v>3.saat</c:v>
          </c:tx>
          <c:invertIfNegative val="0"/>
          <c:errBars>
            <c:errBarType val="both"/>
            <c:errValType val="stdErr"/>
            <c:noEndCap val="0"/>
          </c:errBars>
          <c:cat>
            <c:strRef>
              <c:f>'laktat hipoksi son sonuç'!$C$3:$F$3</c:f>
              <c:strCache>
                <c:ptCount val="4"/>
                <c:pt idx="0">
                  <c:v>0mM</c:v>
                </c:pt>
                <c:pt idx="1">
                  <c:v>5.5mM</c:v>
                </c:pt>
                <c:pt idx="2">
                  <c:v>15mM</c:v>
                </c:pt>
                <c:pt idx="3">
                  <c:v>55mM</c:v>
                </c:pt>
              </c:strCache>
            </c:strRef>
          </c:cat>
          <c:val>
            <c:numRef>
              <c:f>'laktat hipoksi son sonuç'!$C$4:$F$4</c:f>
              <c:numCache>
                <c:formatCode>General</c:formatCode>
                <c:ptCount val="4"/>
                <c:pt idx="0">
                  <c:v>1.32</c:v>
                </c:pt>
                <c:pt idx="1">
                  <c:v>1.9200000000000021</c:v>
                </c:pt>
                <c:pt idx="2">
                  <c:v>0.68</c:v>
                </c:pt>
                <c:pt idx="3">
                  <c:v>1.970000000000004</c:v>
                </c:pt>
              </c:numCache>
            </c:numRef>
          </c:val>
          <c:extLst xmlns:c16r2="http://schemas.microsoft.com/office/drawing/2015/06/chart">
            <c:ext xmlns:c16="http://schemas.microsoft.com/office/drawing/2014/chart" uri="{C3380CC4-5D6E-409C-BE32-E72D297353CC}">
              <c16:uniqueId val="{00000000-537E-4430-8070-1E3ABB6E9719}"/>
            </c:ext>
          </c:extLst>
        </c:ser>
        <c:ser>
          <c:idx val="1"/>
          <c:order val="1"/>
          <c:tx>
            <c:v>6.saat</c:v>
          </c:tx>
          <c:invertIfNegative val="0"/>
          <c:errBars>
            <c:errBarType val="both"/>
            <c:errValType val="stdErr"/>
            <c:noEndCap val="0"/>
          </c:errBars>
          <c:cat>
            <c:strRef>
              <c:f>'laktat hipoksi son sonuç'!$C$3:$F$3</c:f>
              <c:strCache>
                <c:ptCount val="4"/>
                <c:pt idx="0">
                  <c:v>0mM</c:v>
                </c:pt>
                <c:pt idx="1">
                  <c:v>5.5mM</c:v>
                </c:pt>
                <c:pt idx="2">
                  <c:v>15mM</c:v>
                </c:pt>
                <c:pt idx="3">
                  <c:v>55mM</c:v>
                </c:pt>
              </c:strCache>
            </c:strRef>
          </c:cat>
          <c:val>
            <c:numRef>
              <c:f>'laktat hipoksi son sonuç'!$C$5:$F$5</c:f>
              <c:numCache>
                <c:formatCode>General</c:formatCode>
                <c:ptCount val="4"/>
                <c:pt idx="0">
                  <c:v>2</c:v>
                </c:pt>
                <c:pt idx="1">
                  <c:v>2.17</c:v>
                </c:pt>
                <c:pt idx="2">
                  <c:v>2.69</c:v>
                </c:pt>
                <c:pt idx="3">
                  <c:v>2.72</c:v>
                </c:pt>
              </c:numCache>
            </c:numRef>
          </c:val>
          <c:extLst xmlns:c16r2="http://schemas.microsoft.com/office/drawing/2015/06/chart">
            <c:ext xmlns:c16="http://schemas.microsoft.com/office/drawing/2014/chart" uri="{C3380CC4-5D6E-409C-BE32-E72D297353CC}">
              <c16:uniqueId val="{00000001-537E-4430-8070-1E3ABB6E9719}"/>
            </c:ext>
          </c:extLst>
        </c:ser>
        <c:ser>
          <c:idx val="2"/>
          <c:order val="2"/>
          <c:tx>
            <c:v>12.saat</c:v>
          </c:tx>
          <c:invertIfNegative val="0"/>
          <c:errBars>
            <c:errBarType val="both"/>
            <c:errValType val="stdErr"/>
            <c:noEndCap val="0"/>
          </c:errBars>
          <c:cat>
            <c:strRef>
              <c:f>'laktat hipoksi son sonuç'!$C$3:$F$3</c:f>
              <c:strCache>
                <c:ptCount val="4"/>
                <c:pt idx="0">
                  <c:v>0mM</c:v>
                </c:pt>
                <c:pt idx="1">
                  <c:v>5.5mM</c:v>
                </c:pt>
                <c:pt idx="2">
                  <c:v>15mM</c:v>
                </c:pt>
                <c:pt idx="3">
                  <c:v>55mM</c:v>
                </c:pt>
              </c:strCache>
            </c:strRef>
          </c:cat>
          <c:val>
            <c:numRef>
              <c:f>'laktat hipoksi son sonuç'!$C$6:$F$6</c:f>
              <c:numCache>
                <c:formatCode>General</c:formatCode>
                <c:ptCount val="4"/>
                <c:pt idx="0">
                  <c:v>1.59</c:v>
                </c:pt>
                <c:pt idx="1">
                  <c:v>4.1499999999999995</c:v>
                </c:pt>
                <c:pt idx="2">
                  <c:v>5.85</c:v>
                </c:pt>
                <c:pt idx="3">
                  <c:v>4.84</c:v>
                </c:pt>
              </c:numCache>
            </c:numRef>
          </c:val>
          <c:extLst xmlns:c16r2="http://schemas.microsoft.com/office/drawing/2015/06/chart">
            <c:ext xmlns:c16="http://schemas.microsoft.com/office/drawing/2014/chart" uri="{C3380CC4-5D6E-409C-BE32-E72D297353CC}">
              <c16:uniqueId val="{00000002-537E-4430-8070-1E3ABB6E9719}"/>
            </c:ext>
          </c:extLst>
        </c:ser>
        <c:ser>
          <c:idx val="3"/>
          <c:order val="3"/>
          <c:tx>
            <c:v>24.saat</c:v>
          </c:tx>
          <c:invertIfNegative val="0"/>
          <c:errBars>
            <c:errBarType val="both"/>
            <c:errValType val="stdErr"/>
            <c:noEndCap val="0"/>
          </c:errBars>
          <c:cat>
            <c:strRef>
              <c:f>'laktat hipoksi son sonuç'!$C$3:$F$3</c:f>
              <c:strCache>
                <c:ptCount val="4"/>
                <c:pt idx="0">
                  <c:v>0mM</c:v>
                </c:pt>
                <c:pt idx="1">
                  <c:v>5.5mM</c:v>
                </c:pt>
                <c:pt idx="2">
                  <c:v>15mM</c:v>
                </c:pt>
                <c:pt idx="3">
                  <c:v>55mM</c:v>
                </c:pt>
              </c:strCache>
            </c:strRef>
          </c:cat>
          <c:val>
            <c:numRef>
              <c:f>'laktat hipoksi son sonuç'!$C$7:$F$7</c:f>
              <c:numCache>
                <c:formatCode>General</c:formatCode>
                <c:ptCount val="4"/>
                <c:pt idx="0">
                  <c:v>1.960000000000004</c:v>
                </c:pt>
                <c:pt idx="1">
                  <c:v>10.040000000000001</c:v>
                </c:pt>
                <c:pt idx="2">
                  <c:v>6.26</c:v>
                </c:pt>
                <c:pt idx="3">
                  <c:v>9.7800000000000011</c:v>
                </c:pt>
              </c:numCache>
            </c:numRef>
          </c:val>
          <c:extLst xmlns:c16r2="http://schemas.microsoft.com/office/drawing/2015/06/chart">
            <c:ext xmlns:c16="http://schemas.microsoft.com/office/drawing/2014/chart" uri="{C3380CC4-5D6E-409C-BE32-E72D297353CC}">
              <c16:uniqueId val="{00000003-537E-4430-8070-1E3ABB6E9719}"/>
            </c:ext>
          </c:extLst>
        </c:ser>
        <c:ser>
          <c:idx val="4"/>
          <c:order val="4"/>
          <c:tx>
            <c:v>48.saat</c:v>
          </c:tx>
          <c:invertIfNegative val="0"/>
          <c:errBars>
            <c:errBarType val="both"/>
            <c:errValType val="stdErr"/>
            <c:noEndCap val="0"/>
          </c:errBars>
          <c:cat>
            <c:strRef>
              <c:f>'laktat hipoksi son sonuç'!$C$3:$F$3</c:f>
              <c:strCache>
                <c:ptCount val="4"/>
                <c:pt idx="0">
                  <c:v>0mM</c:v>
                </c:pt>
                <c:pt idx="1">
                  <c:v>5.5mM</c:v>
                </c:pt>
                <c:pt idx="2">
                  <c:v>15mM</c:v>
                </c:pt>
                <c:pt idx="3">
                  <c:v>55mM</c:v>
                </c:pt>
              </c:strCache>
            </c:strRef>
          </c:cat>
          <c:val>
            <c:numRef>
              <c:f>'laktat hipoksi son sonuç'!$C$8:$F$8</c:f>
              <c:numCache>
                <c:formatCode>General</c:formatCode>
                <c:ptCount val="4"/>
                <c:pt idx="0">
                  <c:v>1.08</c:v>
                </c:pt>
                <c:pt idx="1">
                  <c:v>9.48</c:v>
                </c:pt>
                <c:pt idx="2">
                  <c:v>13.01</c:v>
                </c:pt>
                <c:pt idx="3">
                  <c:v>15.04</c:v>
                </c:pt>
              </c:numCache>
            </c:numRef>
          </c:val>
          <c:extLst xmlns:c16r2="http://schemas.microsoft.com/office/drawing/2015/06/chart">
            <c:ext xmlns:c16="http://schemas.microsoft.com/office/drawing/2014/chart" uri="{C3380CC4-5D6E-409C-BE32-E72D297353CC}">
              <c16:uniqueId val="{00000004-537E-4430-8070-1E3ABB6E9719}"/>
            </c:ext>
          </c:extLst>
        </c:ser>
        <c:dLbls>
          <c:showLegendKey val="0"/>
          <c:showVal val="0"/>
          <c:showCatName val="0"/>
          <c:showSerName val="0"/>
          <c:showPercent val="0"/>
          <c:showBubbleSize val="0"/>
        </c:dLbls>
        <c:gapWidth val="150"/>
        <c:axId val="410454656"/>
        <c:axId val="410460928"/>
      </c:barChart>
      <c:catAx>
        <c:axId val="410454656"/>
        <c:scaling>
          <c:orientation val="minMax"/>
        </c:scaling>
        <c:delete val="0"/>
        <c:axPos val="b"/>
        <c:title>
          <c:tx>
            <c:rich>
              <a:bodyPr/>
              <a:lstStyle/>
              <a:p>
                <a:pPr>
                  <a:defRPr/>
                </a:pPr>
                <a:r>
                  <a:rPr lang="tr-TR"/>
                  <a:t>Hipoksi</a:t>
                </a:r>
              </a:p>
            </c:rich>
          </c:tx>
          <c:layout>
            <c:manualLayout>
              <c:xMode val="edge"/>
              <c:yMode val="edge"/>
              <c:x val="0.43010753968253967"/>
              <c:y val="3.1458151064450275E-2"/>
            </c:manualLayout>
          </c:layout>
          <c:overlay val="0"/>
        </c:title>
        <c:numFmt formatCode="General" sourceLinked="0"/>
        <c:majorTickMark val="out"/>
        <c:minorTickMark val="none"/>
        <c:tickLblPos val="nextTo"/>
        <c:crossAx val="410460928"/>
        <c:crosses val="autoZero"/>
        <c:auto val="1"/>
        <c:lblAlgn val="ctr"/>
        <c:lblOffset val="100"/>
        <c:noMultiLvlLbl val="0"/>
      </c:catAx>
      <c:valAx>
        <c:axId val="410460928"/>
        <c:scaling>
          <c:orientation val="minMax"/>
        </c:scaling>
        <c:delete val="0"/>
        <c:axPos val="l"/>
        <c:title>
          <c:tx>
            <c:rich>
              <a:bodyPr rot="-5400000" vert="horz"/>
              <a:lstStyle/>
              <a:p>
                <a:pPr>
                  <a:defRPr/>
                </a:pPr>
                <a:r>
                  <a:rPr lang="tr-TR"/>
                  <a:t>Laktat mM</a:t>
                </a:r>
              </a:p>
            </c:rich>
          </c:tx>
          <c:layout>
            <c:manualLayout>
              <c:xMode val="edge"/>
              <c:yMode val="edge"/>
              <c:x val="2.1953373015873075E-2"/>
              <c:y val="0.40021033829104696"/>
            </c:manualLayout>
          </c:layout>
          <c:overlay val="0"/>
        </c:title>
        <c:numFmt formatCode="General" sourceLinked="1"/>
        <c:majorTickMark val="out"/>
        <c:minorTickMark val="none"/>
        <c:tickLblPos val="nextTo"/>
        <c:crossAx val="410454656"/>
        <c:crosses val="autoZero"/>
        <c:crossBetween val="between"/>
      </c:valAx>
    </c:plotArea>
    <c:legend>
      <c:legendPos val="r"/>
      <c:layout>
        <c:manualLayout>
          <c:xMode val="edge"/>
          <c:yMode val="edge"/>
          <c:x val="0.88282412713533687"/>
          <c:y val="0.29070683872849234"/>
          <c:w val="0.11717587286466319"/>
          <c:h val="0.41858595800524984"/>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en-US" sz="1000"/>
              <a:t>O m</a:t>
            </a:r>
            <a:r>
              <a:rPr lang="tr-TR" sz="1000"/>
              <a:t>M</a:t>
            </a:r>
            <a:endParaRPr lang="en-US" sz="1000"/>
          </a:p>
        </c:rich>
      </c:tx>
      <c:overlay val="0"/>
    </c:title>
    <c:autoTitleDeleted val="0"/>
    <c:plotArea>
      <c:layout/>
      <c:barChart>
        <c:barDir val="col"/>
        <c:grouping val="clustered"/>
        <c:varyColors val="0"/>
        <c:ser>
          <c:idx val="0"/>
          <c:order val="0"/>
          <c:tx>
            <c:v>normoksi</c:v>
          </c:tx>
          <c:invertIfNegative val="0"/>
          <c:errBars>
            <c:errBarType val="both"/>
            <c:errValType val="percentage"/>
            <c:noEndCap val="0"/>
            <c:val val="5"/>
          </c:errBars>
          <c:cat>
            <c:strRef>
              <c:f>'laktat hip-norm'!$C$4:$C$8</c:f>
              <c:strCache>
                <c:ptCount val="5"/>
                <c:pt idx="0">
                  <c:v>3.SAAT </c:v>
                </c:pt>
                <c:pt idx="1">
                  <c:v>6.SAAT </c:v>
                </c:pt>
                <c:pt idx="2">
                  <c:v>12.SAAT </c:v>
                </c:pt>
                <c:pt idx="3">
                  <c:v>24.SAAT </c:v>
                </c:pt>
                <c:pt idx="4">
                  <c:v>48.SAAT </c:v>
                </c:pt>
              </c:strCache>
            </c:strRef>
          </c:cat>
          <c:val>
            <c:numRef>
              <c:f>('laktat hip-norm'!$D$4,'laktat hip-norm'!$D$5,'laktat hip-norm'!$D$6,'laktat hip-norm'!$D$7,'laktat hip-norm'!$D$8)</c:f>
              <c:numCache>
                <c:formatCode>General</c:formatCode>
                <c:ptCount val="5"/>
                <c:pt idx="0">
                  <c:v>1.74</c:v>
                </c:pt>
                <c:pt idx="1">
                  <c:v>1.35</c:v>
                </c:pt>
                <c:pt idx="2">
                  <c:v>1.85</c:v>
                </c:pt>
                <c:pt idx="3">
                  <c:v>1.55</c:v>
                </c:pt>
                <c:pt idx="4">
                  <c:v>0.27</c:v>
                </c:pt>
              </c:numCache>
            </c:numRef>
          </c:val>
          <c:extLst xmlns:c16r2="http://schemas.microsoft.com/office/drawing/2015/06/chart">
            <c:ext xmlns:c16="http://schemas.microsoft.com/office/drawing/2014/chart" uri="{C3380CC4-5D6E-409C-BE32-E72D297353CC}">
              <c16:uniqueId val="{00000000-8CFB-4E17-AF7F-4F490AC0D8E0}"/>
            </c:ext>
          </c:extLst>
        </c:ser>
        <c:ser>
          <c:idx val="1"/>
          <c:order val="1"/>
          <c:tx>
            <c:v>hipoksi</c:v>
          </c:tx>
          <c:invertIfNegative val="0"/>
          <c:errBars>
            <c:errBarType val="both"/>
            <c:errValType val="percentage"/>
            <c:noEndCap val="0"/>
            <c:val val="5"/>
          </c:errBars>
          <c:cat>
            <c:strRef>
              <c:f>'laktat hip-norm'!$C$4:$C$8</c:f>
              <c:strCache>
                <c:ptCount val="5"/>
                <c:pt idx="0">
                  <c:v>3.SAAT </c:v>
                </c:pt>
                <c:pt idx="1">
                  <c:v>6.SAAT </c:v>
                </c:pt>
                <c:pt idx="2">
                  <c:v>12.SAAT </c:v>
                </c:pt>
                <c:pt idx="3">
                  <c:v>24.SAAT </c:v>
                </c:pt>
                <c:pt idx="4">
                  <c:v>48.SAAT </c:v>
                </c:pt>
              </c:strCache>
            </c:strRef>
          </c:cat>
          <c:val>
            <c:numRef>
              <c:f>('laktat hip-norm'!$D$15,'laktat hip-norm'!$D$16,'laktat hip-norm'!$D$17,'laktat hip-norm'!$D$18,'laktat hip-norm'!$D$19)</c:f>
              <c:numCache>
                <c:formatCode>General</c:formatCode>
                <c:ptCount val="5"/>
                <c:pt idx="0">
                  <c:v>1.32</c:v>
                </c:pt>
                <c:pt idx="1">
                  <c:v>2</c:v>
                </c:pt>
                <c:pt idx="2">
                  <c:v>1.59</c:v>
                </c:pt>
                <c:pt idx="3">
                  <c:v>1.960000000000004</c:v>
                </c:pt>
                <c:pt idx="4">
                  <c:v>1.08</c:v>
                </c:pt>
              </c:numCache>
            </c:numRef>
          </c:val>
          <c:extLst xmlns:c16r2="http://schemas.microsoft.com/office/drawing/2015/06/chart">
            <c:ext xmlns:c16="http://schemas.microsoft.com/office/drawing/2014/chart" uri="{C3380CC4-5D6E-409C-BE32-E72D297353CC}">
              <c16:uniqueId val="{00000001-8CFB-4E17-AF7F-4F490AC0D8E0}"/>
            </c:ext>
          </c:extLst>
        </c:ser>
        <c:dLbls>
          <c:showLegendKey val="0"/>
          <c:showVal val="0"/>
          <c:showCatName val="0"/>
          <c:showSerName val="0"/>
          <c:showPercent val="0"/>
          <c:showBubbleSize val="0"/>
        </c:dLbls>
        <c:gapWidth val="150"/>
        <c:axId val="410479616"/>
        <c:axId val="410481408"/>
      </c:barChart>
      <c:catAx>
        <c:axId val="410479616"/>
        <c:scaling>
          <c:orientation val="minMax"/>
        </c:scaling>
        <c:delete val="0"/>
        <c:axPos val="b"/>
        <c:numFmt formatCode="General" sourceLinked="0"/>
        <c:majorTickMark val="none"/>
        <c:minorTickMark val="none"/>
        <c:tickLblPos val="nextTo"/>
        <c:crossAx val="410481408"/>
        <c:crosses val="autoZero"/>
        <c:auto val="1"/>
        <c:lblAlgn val="ctr"/>
        <c:lblOffset val="100"/>
        <c:noMultiLvlLbl val="0"/>
      </c:catAx>
      <c:valAx>
        <c:axId val="410481408"/>
        <c:scaling>
          <c:orientation val="minMax"/>
        </c:scaling>
        <c:delete val="0"/>
        <c:axPos val="l"/>
        <c:title>
          <c:tx>
            <c:rich>
              <a:bodyPr rot="-5400000" vert="horz"/>
              <a:lstStyle/>
              <a:p>
                <a:pPr>
                  <a:defRPr/>
                </a:pPr>
                <a:r>
                  <a:rPr lang="tr-TR"/>
                  <a:t>Laktat mM</a:t>
                </a:r>
              </a:p>
            </c:rich>
          </c:tx>
          <c:overlay val="0"/>
        </c:title>
        <c:numFmt formatCode="General" sourceLinked="1"/>
        <c:majorTickMark val="none"/>
        <c:minorTickMark val="none"/>
        <c:tickLblPos val="nextTo"/>
        <c:crossAx val="41047961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364129483814524"/>
          <c:y val="6.0659813356663754E-2"/>
          <c:w val="0.7268600174978137"/>
          <c:h val="0.79822506561679785"/>
        </c:manualLayout>
      </c:layout>
      <c:lineChart>
        <c:grouping val="standard"/>
        <c:varyColors val="0"/>
        <c:ser>
          <c:idx val="0"/>
          <c:order val="0"/>
          <c:tx>
            <c:v>0 mM</c:v>
          </c:tx>
          <c:errBars>
            <c:errDir val="y"/>
            <c:errBarType val="both"/>
            <c:errValType val="stdErr"/>
            <c:noEndCap val="0"/>
          </c:errBars>
          <c:cat>
            <c:strRef>
              <c:f>PKM!$P$50:$P$53</c:f>
              <c:strCache>
                <c:ptCount val="4"/>
                <c:pt idx="0">
                  <c:v>6.saat</c:v>
                </c:pt>
                <c:pt idx="1">
                  <c:v>12.saat</c:v>
                </c:pt>
                <c:pt idx="2">
                  <c:v>24.saat</c:v>
                </c:pt>
                <c:pt idx="3">
                  <c:v>48.saat</c:v>
                </c:pt>
              </c:strCache>
            </c:strRef>
          </c:cat>
          <c:val>
            <c:numRef>
              <c:f>(PKM!$C$37;PKM!$C$50;PKM!$C$66;PKM!$C$86)</c:f>
              <c:numCache>
                <c:formatCode>General</c:formatCode>
                <c:ptCount val="4"/>
                <c:pt idx="0">
                  <c:v>1.8460000000000001</c:v>
                </c:pt>
                <c:pt idx="1">
                  <c:v>0.78</c:v>
                </c:pt>
                <c:pt idx="2">
                  <c:v>0.65000000000000024</c:v>
                </c:pt>
                <c:pt idx="3">
                  <c:v>0.82000000000000017</c:v>
                </c:pt>
              </c:numCache>
            </c:numRef>
          </c:val>
          <c:smooth val="0"/>
          <c:extLst xmlns:c16r2="http://schemas.microsoft.com/office/drawing/2015/06/chart">
            <c:ext xmlns:c16="http://schemas.microsoft.com/office/drawing/2014/chart" uri="{C3380CC4-5D6E-409C-BE32-E72D297353CC}">
              <c16:uniqueId val="{00000000-C5E2-4269-9DC8-443C97A2112B}"/>
            </c:ext>
          </c:extLst>
        </c:ser>
        <c:ser>
          <c:idx val="1"/>
          <c:order val="1"/>
          <c:tx>
            <c:v>5,5 mM</c:v>
          </c:tx>
          <c:errBars>
            <c:errDir val="y"/>
            <c:errBarType val="both"/>
            <c:errValType val="stdErr"/>
            <c:noEndCap val="0"/>
          </c:errBars>
          <c:cat>
            <c:strRef>
              <c:f>PKM!$P$50:$P$53</c:f>
              <c:strCache>
                <c:ptCount val="4"/>
                <c:pt idx="0">
                  <c:v>6.saat</c:v>
                </c:pt>
                <c:pt idx="1">
                  <c:v>12.saat</c:v>
                </c:pt>
                <c:pt idx="2">
                  <c:v>24.saat</c:v>
                </c:pt>
                <c:pt idx="3">
                  <c:v>48.saat</c:v>
                </c:pt>
              </c:strCache>
            </c:strRef>
          </c:cat>
          <c:val>
            <c:numRef>
              <c:f>(PKM!$C$38;PKM!$C$51;PKM!$C$67;PKM!$C$87)</c:f>
              <c:numCache>
                <c:formatCode>General</c:formatCode>
                <c:ptCount val="4"/>
                <c:pt idx="0">
                  <c:v>2.73</c:v>
                </c:pt>
                <c:pt idx="1">
                  <c:v>0.78</c:v>
                </c:pt>
                <c:pt idx="2">
                  <c:v>0.92</c:v>
                </c:pt>
                <c:pt idx="3">
                  <c:v>1.84</c:v>
                </c:pt>
              </c:numCache>
            </c:numRef>
          </c:val>
          <c:smooth val="0"/>
          <c:extLst xmlns:c16r2="http://schemas.microsoft.com/office/drawing/2015/06/chart">
            <c:ext xmlns:c16="http://schemas.microsoft.com/office/drawing/2014/chart" uri="{C3380CC4-5D6E-409C-BE32-E72D297353CC}">
              <c16:uniqueId val="{00000001-C5E2-4269-9DC8-443C97A2112B}"/>
            </c:ext>
          </c:extLst>
        </c:ser>
        <c:ser>
          <c:idx val="2"/>
          <c:order val="2"/>
          <c:tx>
            <c:v>15 mM</c:v>
          </c:tx>
          <c:errBars>
            <c:errDir val="y"/>
            <c:errBarType val="both"/>
            <c:errValType val="stdErr"/>
            <c:noEndCap val="0"/>
          </c:errBars>
          <c:cat>
            <c:strRef>
              <c:f>PKM!$P$50:$P$53</c:f>
              <c:strCache>
                <c:ptCount val="4"/>
                <c:pt idx="0">
                  <c:v>6.saat</c:v>
                </c:pt>
                <c:pt idx="1">
                  <c:v>12.saat</c:v>
                </c:pt>
                <c:pt idx="2">
                  <c:v>24.saat</c:v>
                </c:pt>
                <c:pt idx="3">
                  <c:v>48.saat</c:v>
                </c:pt>
              </c:strCache>
            </c:strRef>
          </c:cat>
          <c:val>
            <c:numRef>
              <c:f>(PKM!$C$39;PKM!$C$52;PKM!$C$68;PKM!$C$88)</c:f>
              <c:numCache>
                <c:formatCode>General</c:formatCode>
                <c:ptCount val="4"/>
                <c:pt idx="0">
                  <c:v>2.0299999999999998</c:v>
                </c:pt>
                <c:pt idx="1">
                  <c:v>1.23</c:v>
                </c:pt>
                <c:pt idx="2">
                  <c:v>0.68</c:v>
                </c:pt>
                <c:pt idx="3">
                  <c:v>1.33</c:v>
                </c:pt>
              </c:numCache>
            </c:numRef>
          </c:val>
          <c:smooth val="0"/>
          <c:extLst xmlns:c16r2="http://schemas.microsoft.com/office/drawing/2015/06/chart">
            <c:ext xmlns:c16="http://schemas.microsoft.com/office/drawing/2014/chart" uri="{C3380CC4-5D6E-409C-BE32-E72D297353CC}">
              <c16:uniqueId val="{00000002-C5E2-4269-9DC8-443C97A2112B}"/>
            </c:ext>
          </c:extLst>
        </c:ser>
        <c:ser>
          <c:idx val="3"/>
          <c:order val="3"/>
          <c:tx>
            <c:v>55 mM</c:v>
          </c:tx>
          <c:errBars>
            <c:errDir val="y"/>
            <c:errBarType val="both"/>
            <c:errValType val="stdErr"/>
            <c:noEndCap val="0"/>
          </c:errBars>
          <c:cat>
            <c:strRef>
              <c:f>PKM!$P$50:$P$53</c:f>
              <c:strCache>
                <c:ptCount val="4"/>
                <c:pt idx="0">
                  <c:v>6.saat</c:v>
                </c:pt>
                <c:pt idx="1">
                  <c:v>12.saat</c:v>
                </c:pt>
                <c:pt idx="2">
                  <c:v>24.saat</c:v>
                </c:pt>
                <c:pt idx="3">
                  <c:v>48.saat</c:v>
                </c:pt>
              </c:strCache>
            </c:strRef>
          </c:cat>
          <c:val>
            <c:numRef>
              <c:f>(PKM!$C$40;PKM!$C$53;PKM!$C$69;PKM!$C$89)</c:f>
              <c:numCache>
                <c:formatCode>General</c:formatCode>
                <c:ptCount val="4"/>
                <c:pt idx="0">
                  <c:v>1.87</c:v>
                </c:pt>
                <c:pt idx="1">
                  <c:v>1.08</c:v>
                </c:pt>
                <c:pt idx="2">
                  <c:v>0.7300000000000002</c:v>
                </c:pt>
                <c:pt idx="3">
                  <c:v>0.93</c:v>
                </c:pt>
              </c:numCache>
            </c:numRef>
          </c:val>
          <c:smooth val="0"/>
          <c:extLst xmlns:c16r2="http://schemas.microsoft.com/office/drawing/2015/06/chart">
            <c:ext xmlns:c16="http://schemas.microsoft.com/office/drawing/2014/chart" uri="{C3380CC4-5D6E-409C-BE32-E72D297353CC}">
              <c16:uniqueId val="{00000003-C5E2-4269-9DC8-443C97A2112B}"/>
            </c:ext>
          </c:extLst>
        </c:ser>
        <c:dLbls>
          <c:showLegendKey val="0"/>
          <c:showVal val="0"/>
          <c:showCatName val="0"/>
          <c:showSerName val="0"/>
          <c:showPercent val="0"/>
          <c:showBubbleSize val="0"/>
        </c:dLbls>
        <c:marker val="1"/>
        <c:smooth val="0"/>
        <c:axId val="386421120"/>
        <c:axId val="386423040"/>
      </c:lineChart>
      <c:catAx>
        <c:axId val="386421120"/>
        <c:scaling>
          <c:orientation val="minMax"/>
        </c:scaling>
        <c:delete val="0"/>
        <c:axPos val="b"/>
        <c:title>
          <c:tx>
            <c:rich>
              <a:bodyPr/>
              <a:lstStyle/>
              <a:p>
                <a:pPr>
                  <a:defRPr/>
                </a:pPr>
                <a:r>
                  <a:rPr lang="tr-TR"/>
                  <a:t>NORMOKSİ</a:t>
                </a:r>
              </a:p>
            </c:rich>
          </c:tx>
          <c:layout>
            <c:manualLayout>
              <c:xMode val="edge"/>
              <c:yMode val="edge"/>
              <c:x val="0.41564939097638703"/>
              <c:y val="4.0717410323709624E-2"/>
            </c:manualLayout>
          </c:layout>
          <c:overlay val="0"/>
        </c:title>
        <c:numFmt formatCode="General" sourceLinked="0"/>
        <c:majorTickMark val="out"/>
        <c:minorTickMark val="none"/>
        <c:tickLblPos val="nextTo"/>
        <c:crossAx val="386423040"/>
        <c:crosses val="autoZero"/>
        <c:auto val="1"/>
        <c:lblAlgn val="ctr"/>
        <c:lblOffset val="100"/>
        <c:noMultiLvlLbl val="0"/>
      </c:catAx>
      <c:valAx>
        <c:axId val="386423040"/>
        <c:scaling>
          <c:orientation val="minMax"/>
        </c:scaling>
        <c:delete val="0"/>
        <c:axPos val="l"/>
        <c:title>
          <c:tx>
            <c:rich>
              <a:bodyPr rot="-5400000" vert="horz"/>
              <a:lstStyle/>
              <a:p>
                <a:pPr>
                  <a:defRPr/>
                </a:pPr>
                <a:r>
                  <a:rPr lang="en-US"/>
                  <a:t>PKM</a:t>
                </a:r>
                <a:r>
                  <a:rPr lang="tr-TR"/>
                  <a:t>2 ng/mL</a:t>
                </a:r>
                <a:endParaRPr lang="en-US"/>
              </a:p>
            </c:rich>
          </c:tx>
          <c:overlay val="0"/>
        </c:title>
        <c:numFmt formatCode="General" sourceLinked="1"/>
        <c:majorTickMark val="out"/>
        <c:minorTickMark val="none"/>
        <c:tickLblPos val="nextTo"/>
        <c:crossAx val="386421120"/>
        <c:crosses val="autoZero"/>
        <c:crossBetween val="between"/>
      </c:valAx>
    </c:plotArea>
    <c:legend>
      <c:legendPos val="r"/>
      <c:overlay val="0"/>
    </c:legend>
    <c:plotVisOnly val="1"/>
    <c:dispBlanksAs val="gap"/>
    <c:showDLblsOverMax val="0"/>
  </c:chart>
  <c:spPr>
    <a:solidFill>
      <a:schemeClr val="bg1">
        <a:lumMod val="75000"/>
      </a:schemeClr>
    </a:solidFill>
    <a:ln w="25400" cap="flat" cmpd="sng" algn="ctr">
      <a:no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tr-T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en-US" sz="1000"/>
              <a:t>5</a:t>
            </a:r>
            <a:r>
              <a:rPr lang="tr-TR" sz="1000"/>
              <a:t>,5 m</a:t>
            </a:r>
            <a:r>
              <a:rPr lang="en-US" sz="1000"/>
              <a:t>M</a:t>
            </a:r>
          </a:p>
        </c:rich>
      </c:tx>
      <c:layout>
        <c:manualLayout>
          <c:xMode val="edge"/>
          <c:yMode val="edge"/>
          <c:x val="0.45688888888889106"/>
          <c:y val="4.1666666666666664E-2"/>
        </c:manualLayout>
      </c:layout>
      <c:overlay val="0"/>
    </c:title>
    <c:autoTitleDeleted val="0"/>
    <c:plotArea>
      <c:layout>
        <c:manualLayout>
          <c:layoutTarget val="inner"/>
          <c:xMode val="edge"/>
          <c:yMode val="edge"/>
          <c:x val="0.17781867891513561"/>
          <c:y val="0.17165536599591719"/>
          <c:w val="0.77773687664042435"/>
          <c:h val="0.56659375911344412"/>
        </c:manualLayout>
      </c:layout>
      <c:barChart>
        <c:barDir val="col"/>
        <c:grouping val="clustered"/>
        <c:varyColors val="0"/>
        <c:ser>
          <c:idx val="0"/>
          <c:order val="0"/>
          <c:tx>
            <c:v>normoksi</c:v>
          </c:tx>
          <c:invertIfNegative val="0"/>
          <c:errBars>
            <c:errBarType val="both"/>
            <c:errValType val="percentage"/>
            <c:noEndCap val="0"/>
            <c:val val="5"/>
          </c:errBars>
          <c:cat>
            <c:strRef>
              <c:f>'laktat hip-norm'!$C$4:$C$8</c:f>
              <c:strCache>
                <c:ptCount val="5"/>
                <c:pt idx="0">
                  <c:v>3.SAAT </c:v>
                </c:pt>
                <c:pt idx="1">
                  <c:v>6.SAAT </c:v>
                </c:pt>
                <c:pt idx="2">
                  <c:v>12.SAAT </c:v>
                </c:pt>
                <c:pt idx="3">
                  <c:v>24.SAAT </c:v>
                </c:pt>
                <c:pt idx="4">
                  <c:v>48.SAAT </c:v>
                </c:pt>
              </c:strCache>
            </c:strRef>
          </c:cat>
          <c:val>
            <c:numRef>
              <c:f>('laktat hip-norm'!$E$4,'laktat hip-norm'!$E$5,'laktat hip-norm'!$E$6,'laktat hip-norm'!$E$7,'laktat hip-norm'!$E$8)</c:f>
              <c:numCache>
                <c:formatCode>General</c:formatCode>
                <c:ptCount val="5"/>
                <c:pt idx="0">
                  <c:v>2.02</c:v>
                </c:pt>
                <c:pt idx="1">
                  <c:v>2.3499999999999988</c:v>
                </c:pt>
                <c:pt idx="2">
                  <c:v>4.18</c:v>
                </c:pt>
                <c:pt idx="3">
                  <c:v>8.3600000000000048</c:v>
                </c:pt>
                <c:pt idx="4">
                  <c:v>6.35</c:v>
                </c:pt>
              </c:numCache>
            </c:numRef>
          </c:val>
          <c:extLst xmlns:c16r2="http://schemas.microsoft.com/office/drawing/2015/06/chart">
            <c:ext xmlns:c16="http://schemas.microsoft.com/office/drawing/2014/chart" uri="{C3380CC4-5D6E-409C-BE32-E72D297353CC}">
              <c16:uniqueId val="{00000000-DADE-4000-BCBB-A731FAC57ED3}"/>
            </c:ext>
          </c:extLst>
        </c:ser>
        <c:ser>
          <c:idx val="1"/>
          <c:order val="1"/>
          <c:tx>
            <c:v>hipoksi</c:v>
          </c:tx>
          <c:invertIfNegative val="0"/>
          <c:errBars>
            <c:errBarType val="both"/>
            <c:errValType val="percentage"/>
            <c:noEndCap val="0"/>
            <c:val val="5"/>
          </c:errBars>
          <c:cat>
            <c:strRef>
              <c:f>'laktat hip-norm'!$C$4:$C$8</c:f>
              <c:strCache>
                <c:ptCount val="5"/>
                <c:pt idx="0">
                  <c:v>3.SAAT </c:v>
                </c:pt>
                <c:pt idx="1">
                  <c:v>6.SAAT </c:v>
                </c:pt>
                <c:pt idx="2">
                  <c:v>12.SAAT </c:v>
                </c:pt>
                <c:pt idx="3">
                  <c:v>24.SAAT </c:v>
                </c:pt>
                <c:pt idx="4">
                  <c:v>48.SAAT </c:v>
                </c:pt>
              </c:strCache>
            </c:strRef>
          </c:cat>
          <c:val>
            <c:numRef>
              <c:f>('laktat hip-norm'!$E$15,'laktat hip-norm'!$E$16,'laktat hip-norm'!$E$17,'laktat hip-norm'!$E$18,'laktat hip-norm'!$E$19)</c:f>
              <c:numCache>
                <c:formatCode>General</c:formatCode>
                <c:ptCount val="5"/>
                <c:pt idx="0">
                  <c:v>1.9200000000000021</c:v>
                </c:pt>
                <c:pt idx="1">
                  <c:v>2.17</c:v>
                </c:pt>
                <c:pt idx="2">
                  <c:v>4.1499999999999995</c:v>
                </c:pt>
                <c:pt idx="3">
                  <c:v>10.040000000000001</c:v>
                </c:pt>
                <c:pt idx="4">
                  <c:v>9.48</c:v>
                </c:pt>
              </c:numCache>
            </c:numRef>
          </c:val>
          <c:extLst xmlns:c16r2="http://schemas.microsoft.com/office/drawing/2015/06/chart">
            <c:ext xmlns:c16="http://schemas.microsoft.com/office/drawing/2014/chart" uri="{C3380CC4-5D6E-409C-BE32-E72D297353CC}">
              <c16:uniqueId val="{00000001-DADE-4000-BCBB-A731FAC57ED3}"/>
            </c:ext>
          </c:extLst>
        </c:ser>
        <c:dLbls>
          <c:showLegendKey val="0"/>
          <c:showVal val="0"/>
          <c:showCatName val="0"/>
          <c:showSerName val="0"/>
          <c:showPercent val="0"/>
          <c:showBubbleSize val="0"/>
        </c:dLbls>
        <c:gapWidth val="150"/>
        <c:axId val="410583808"/>
        <c:axId val="410585344"/>
      </c:barChart>
      <c:catAx>
        <c:axId val="410583808"/>
        <c:scaling>
          <c:orientation val="minMax"/>
        </c:scaling>
        <c:delete val="0"/>
        <c:axPos val="b"/>
        <c:numFmt formatCode="General" sourceLinked="0"/>
        <c:majorTickMark val="none"/>
        <c:minorTickMark val="none"/>
        <c:tickLblPos val="nextTo"/>
        <c:crossAx val="410585344"/>
        <c:crosses val="autoZero"/>
        <c:auto val="1"/>
        <c:lblAlgn val="ctr"/>
        <c:lblOffset val="100"/>
        <c:noMultiLvlLbl val="0"/>
      </c:catAx>
      <c:valAx>
        <c:axId val="410585344"/>
        <c:scaling>
          <c:orientation val="minMax"/>
        </c:scaling>
        <c:delete val="0"/>
        <c:axPos val="l"/>
        <c:title>
          <c:tx>
            <c:rich>
              <a:bodyPr/>
              <a:lstStyle/>
              <a:p>
                <a:pPr>
                  <a:defRPr/>
                </a:pPr>
                <a:r>
                  <a:rPr lang="tr-TR"/>
                  <a:t>Laktat mM</a:t>
                </a:r>
              </a:p>
            </c:rich>
          </c:tx>
          <c:layout>
            <c:manualLayout>
              <c:xMode val="edge"/>
              <c:yMode val="edge"/>
              <c:x val="5.0575678040244973E-2"/>
              <c:y val="0.29525298920968318"/>
            </c:manualLayout>
          </c:layout>
          <c:overlay val="0"/>
        </c:title>
        <c:numFmt formatCode="General" sourceLinked="1"/>
        <c:majorTickMark val="none"/>
        <c:minorTickMark val="none"/>
        <c:tickLblPos val="nextTo"/>
        <c:crossAx val="410583808"/>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en-US" sz="1000"/>
              <a:t>15 </a:t>
            </a:r>
            <a:r>
              <a:rPr lang="tr-TR" sz="1000"/>
              <a:t>mM</a:t>
            </a:r>
            <a:endParaRPr lang="en-US" sz="1000"/>
          </a:p>
        </c:rich>
      </c:tx>
      <c:layout>
        <c:manualLayout>
          <c:xMode val="edge"/>
          <c:yMode val="edge"/>
          <c:x val="0.44855555555555549"/>
          <c:y val="3.7037037037037056E-2"/>
        </c:manualLayout>
      </c:layout>
      <c:overlay val="0"/>
    </c:title>
    <c:autoTitleDeleted val="0"/>
    <c:plotArea>
      <c:layout>
        <c:manualLayout>
          <c:layoutTarget val="inner"/>
          <c:xMode val="edge"/>
          <c:yMode val="edge"/>
          <c:x val="0.18337423447069182"/>
          <c:y val="0.14237277631962619"/>
          <c:w val="0.77773687664042435"/>
          <c:h val="0.60050597841936471"/>
        </c:manualLayout>
      </c:layout>
      <c:barChart>
        <c:barDir val="col"/>
        <c:grouping val="clustered"/>
        <c:varyColors val="0"/>
        <c:ser>
          <c:idx val="0"/>
          <c:order val="0"/>
          <c:tx>
            <c:v>normoksi</c:v>
          </c:tx>
          <c:invertIfNegative val="0"/>
          <c:errBars>
            <c:errBarType val="both"/>
            <c:errValType val="percentage"/>
            <c:noEndCap val="0"/>
            <c:val val="5"/>
          </c:errBars>
          <c:cat>
            <c:strRef>
              <c:f>'laktat hip-norm'!$C$4:$C$8</c:f>
              <c:strCache>
                <c:ptCount val="5"/>
                <c:pt idx="0">
                  <c:v>3.SAAT </c:v>
                </c:pt>
                <c:pt idx="1">
                  <c:v>6.SAAT </c:v>
                </c:pt>
                <c:pt idx="2">
                  <c:v>12.SAAT </c:v>
                </c:pt>
                <c:pt idx="3">
                  <c:v>24.SAAT </c:v>
                </c:pt>
                <c:pt idx="4">
                  <c:v>48.SAAT </c:v>
                </c:pt>
              </c:strCache>
            </c:strRef>
          </c:cat>
          <c:val>
            <c:numRef>
              <c:f>('laktat hip-norm'!$F$4,'laktat hip-norm'!$F$5,'laktat hip-norm'!$F$6,'laktat hip-norm'!$F$7,'laktat hip-norm'!$F$8)</c:f>
              <c:numCache>
                <c:formatCode>General</c:formatCode>
                <c:ptCount val="5"/>
                <c:pt idx="0">
                  <c:v>0</c:v>
                </c:pt>
                <c:pt idx="1">
                  <c:v>2.48</c:v>
                </c:pt>
                <c:pt idx="2">
                  <c:v>5.2700000000000014</c:v>
                </c:pt>
                <c:pt idx="3">
                  <c:v>6.72</c:v>
                </c:pt>
                <c:pt idx="4">
                  <c:v>6.08</c:v>
                </c:pt>
              </c:numCache>
            </c:numRef>
          </c:val>
          <c:extLst xmlns:c16r2="http://schemas.microsoft.com/office/drawing/2015/06/chart">
            <c:ext xmlns:c16="http://schemas.microsoft.com/office/drawing/2014/chart" uri="{C3380CC4-5D6E-409C-BE32-E72D297353CC}">
              <c16:uniqueId val="{00000000-A84E-48A6-8B45-A49A1582195A}"/>
            </c:ext>
          </c:extLst>
        </c:ser>
        <c:ser>
          <c:idx val="1"/>
          <c:order val="1"/>
          <c:tx>
            <c:v>hipoksi</c:v>
          </c:tx>
          <c:invertIfNegative val="0"/>
          <c:errBars>
            <c:errBarType val="both"/>
            <c:errValType val="percentage"/>
            <c:noEndCap val="0"/>
            <c:val val="5"/>
          </c:errBars>
          <c:cat>
            <c:strRef>
              <c:f>'laktat hip-norm'!$C$4:$C$8</c:f>
              <c:strCache>
                <c:ptCount val="5"/>
                <c:pt idx="0">
                  <c:v>3.SAAT </c:v>
                </c:pt>
                <c:pt idx="1">
                  <c:v>6.SAAT </c:v>
                </c:pt>
                <c:pt idx="2">
                  <c:v>12.SAAT </c:v>
                </c:pt>
                <c:pt idx="3">
                  <c:v>24.SAAT </c:v>
                </c:pt>
                <c:pt idx="4">
                  <c:v>48.SAAT </c:v>
                </c:pt>
              </c:strCache>
            </c:strRef>
          </c:cat>
          <c:val>
            <c:numRef>
              <c:f>('laktat hip-norm'!$F$15,'laktat hip-norm'!$F$16,'laktat hip-norm'!$F$17,'laktat hip-norm'!$F$18,'laktat hip-norm'!$F$19)</c:f>
              <c:numCache>
                <c:formatCode>General</c:formatCode>
                <c:ptCount val="5"/>
                <c:pt idx="0">
                  <c:v>0</c:v>
                </c:pt>
                <c:pt idx="1">
                  <c:v>2.69</c:v>
                </c:pt>
                <c:pt idx="2">
                  <c:v>5.85</c:v>
                </c:pt>
                <c:pt idx="3">
                  <c:v>6.26</c:v>
                </c:pt>
                <c:pt idx="4">
                  <c:v>13.01</c:v>
                </c:pt>
              </c:numCache>
            </c:numRef>
          </c:val>
          <c:extLst xmlns:c16r2="http://schemas.microsoft.com/office/drawing/2015/06/chart">
            <c:ext xmlns:c16="http://schemas.microsoft.com/office/drawing/2014/chart" uri="{C3380CC4-5D6E-409C-BE32-E72D297353CC}">
              <c16:uniqueId val="{00000001-A84E-48A6-8B45-A49A1582195A}"/>
            </c:ext>
          </c:extLst>
        </c:ser>
        <c:dLbls>
          <c:showLegendKey val="0"/>
          <c:showVal val="0"/>
          <c:showCatName val="0"/>
          <c:showSerName val="0"/>
          <c:showPercent val="0"/>
          <c:showBubbleSize val="0"/>
        </c:dLbls>
        <c:gapWidth val="150"/>
        <c:axId val="410634496"/>
        <c:axId val="410636288"/>
      </c:barChart>
      <c:catAx>
        <c:axId val="410634496"/>
        <c:scaling>
          <c:orientation val="minMax"/>
        </c:scaling>
        <c:delete val="0"/>
        <c:axPos val="b"/>
        <c:numFmt formatCode="General" sourceLinked="0"/>
        <c:majorTickMark val="none"/>
        <c:minorTickMark val="none"/>
        <c:tickLblPos val="nextTo"/>
        <c:crossAx val="410636288"/>
        <c:crosses val="autoZero"/>
        <c:auto val="1"/>
        <c:lblAlgn val="ctr"/>
        <c:lblOffset val="100"/>
        <c:noMultiLvlLbl val="0"/>
      </c:catAx>
      <c:valAx>
        <c:axId val="410636288"/>
        <c:scaling>
          <c:orientation val="minMax"/>
        </c:scaling>
        <c:delete val="0"/>
        <c:axPos val="l"/>
        <c:title>
          <c:tx>
            <c:rich>
              <a:bodyPr/>
              <a:lstStyle/>
              <a:p>
                <a:pPr>
                  <a:defRPr/>
                </a:pPr>
                <a:r>
                  <a:rPr lang="tr-TR"/>
                  <a:t>Laktat mM</a:t>
                </a:r>
              </a:p>
            </c:rich>
          </c:tx>
          <c:layout>
            <c:manualLayout>
              <c:xMode val="edge"/>
              <c:yMode val="edge"/>
              <c:x val="4.7222222222222332E-2"/>
              <c:y val="0.29531095071449553"/>
            </c:manualLayout>
          </c:layout>
          <c:overlay val="0"/>
        </c:title>
        <c:numFmt formatCode="General" sourceLinked="1"/>
        <c:majorTickMark val="none"/>
        <c:minorTickMark val="none"/>
        <c:tickLblPos val="nextTo"/>
        <c:crossAx val="41063449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pPr>
            <a:r>
              <a:rPr lang="en-US" sz="1000"/>
              <a:t>55</a:t>
            </a:r>
            <a:r>
              <a:rPr lang="tr-TR" sz="1000"/>
              <a:t> mM</a:t>
            </a:r>
            <a:endParaRPr lang="en-US" sz="1000"/>
          </a:p>
        </c:rich>
      </c:tx>
      <c:layout>
        <c:manualLayout>
          <c:xMode val="edge"/>
          <c:yMode val="edge"/>
          <c:x val="0.443"/>
          <c:y val="3.7037037037037056E-2"/>
        </c:manualLayout>
      </c:layout>
      <c:overlay val="0"/>
    </c:title>
    <c:autoTitleDeleted val="0"/>
    <c:plotArea>
      <c:layout>
        <c:manualLayout>
          <c:layoutTarget val="inner"/>
          <c:xMode val="edge"/>
          <c:yMode val="edge"/>
          <c:x val="0.17781867891513561"/>
          <c:y val="0.15776647710702948"/>
          <c:w val="0.77773687664042435"/>
          <c:h val="0.56659375911344412"/>
        </c:manualLayout>
      </c:layout>
      <c:barChart>
        <c:barDir val="col"/>
        <c:grouping val="clustered"/>
        <c:varyColors val="0"/>
        <c:ser>
          <c:idx val="0"/>
          <c:order val="0"/>
          <c:tx>
            <c:v>normoksi</c:v>
          </c:tx>
          <c:invertIfNegative val="0"/>
          <c:errBars>
            <c:errBarType val="both"/>
            <c:errValType val="percentage"/>
            <c:noEndCap val="0"/>
            <c:val val="5"/>
          </c:errBars>
          <c:cat>
            <c:strRef>
              <c:f>'laktat hip-norm'!$C$4:$C$8</c:f>
              <c:strCache>
                <c:ptCount val="5"/>
                <c:pt idx="0">
                  <c:v>3.SAAT </c:v>
                </c:pt>
                <c:pt idx="1">
                  <c:v>6.SAAT </c:v>
                </c:pt>
                <c:pt idx="2">
                  <c:v>12.SAAT </c:v>
                </c:pt>
                <c:pt idx="3">
                  <c:v>24.SAAT </c:v>
                </c:pt>
                <c:pt idx="4">
                  <c:v>48.SAAT </c:v>
                </c:pt>
              </c:strCache>
            </c:strRef>
          </c:cat>
          <c:val>
            <c:numRef>
              <c:f>('laktat hip-norm'!$G$4,'laktat hip-norm'!$G$5,'laktat hip-norm'!$G$6,'laktat hip-norm'!$G$7,'laktat hip-norm'!$G$8)</c:f>
              <c:numCache>
                <c:formatCode>General</c:formatCode>
                <c:ptCount val="5"/>
                <c:pt idx="0">
                  <c:v>1.9000000000000001</c:v>
                </c:pt>
                <c:pt idx="1">
                  <c:v>2.5</c:v>
                </c:pt>
                <c:pt idx="2">
                  <c:v>4.9300000000000024</c:v>
                </c:pt>
                <c:pt idx="3">
                  <c:v>8.3600000000000048</c:v>
                </c:pt>
                <c:pt idx="4">
                  <c:v>7.25</c:v>
                </c:pt>
              </c:numCache>
            </c:numRef>
          </c:val>
          <c:extLst xmlns:c16r2="http://schemas.microsoft.com/office/drawing/2015/06/chart">
            <c:ext xmlns:c16="http://schemas.microsoft.com/office/drawing/2014/chart" uri="{C3380CC4-5D6E-409C-BE32-E72D297353CC}">
              <c16:uniqueId val="{00000000-E416-497E-8CE0-5A48CB24C662}"/>
            </c:ext>
          </c:extLst>
        </c:ser>
        <c:ser>
          <c:idx val="1"/>
          <c:order val="1"/>
          <c:tx>
            <c:v>hipoksi</c:v>
          </c:tx>
          <c:invertIfNegative val="0"/>
          <c:errBars>
            <c:errBarType val="both"/>
            <c:errValType val="percentage"/>
            <c:noEndCap val="0"/>
            <c:val val="5"/>
          </c:errBars>
          <c:cat>
            <c:strRef>
              <c:f>'laktat hip-norm'!$C$4:$C$8</c:f>
              <c:strCache>
                <c:ptCount val="5"/>
                <c:pt idx="0">
                  <c:v>3.SAAT </c:v>
                </c:pt>
                <c:pt idx="1">
                  <c:v>6.SAAT </c:v>
                </c:pt>
                <c:pt idx="2">
                  <c:v>12.SAAT </c:v>
                </c:pt>
                <c:pt idx="3">
                  <c:v>24.SAAT </c:v>
                </c:pt>
                <c:pt idx="4">
                  <c:v>48.SAAT </c:v>
                </c:pt>
              </c:strCache>
            </c:strRef>
          </c:cat>
          <c:val>
            <c:numRef>
              <c:f>('laktat hip-norm'!$G$15,'laktat hip-norm'!$G$16,'laktat hip-norm'!$G$17,'laktat hip-norm'!$G$18,'laktat hip-norm'!$G$19)</c:f>
              <c:numCache>
                <c:formatCode>General</c:formatCode>
                <c:ptCount val="5"/>
                <c:pt idx="0">
                  <c:v>1.970000000000004</c:v>
                </c:pt>
                <c:pt idx="1">
                  <c:v>2.72</c:v>
                </c:pt>
                <c:pt idx="2">
                  <c:v>4.84</c:v>
                </c:pt>
                <c:pt idx="3">
                  <c:v>9.7800000000000011</c:v>
                </c:pt>
                <c:pt idx="4">
                  <c:v>15.04</c:v>
                </c:pt>
              </c:numCache>
            </c:numRef>
          </c:val>
          <c:extLst xmlns:c16r2="http://schemas.microsoft.com/office/drawing/2015/06/chart">
            <c:ext xmlns:c16="http://schemas.microsoft.com/office/drawing/2014/chart" uri="{C3380CC4-5D6E-409C-BE32-E72D297353CC}">
              <c16:uniqueId val="{00000001-E416-497E-8CE0-5A48CB24C662}"/>
            </c:ext>
          </c:extLst>
        </c:ser>
        <c:dLbls>
          <c:showLegendKey val="0"/>
          <c:showVal val="0"/>
          <c:showCatName val="0"/>
          <c:showSerName val="0"/>
          <c:showPercent val="0"/>
          <c:showBubbleSize val="0"/>
        </c:dLbls>
        <c:gapWidth val="150"/>
        <c:axId val="410673152"/>
        <c:axId val="410674688"/>
      </c:barChart>
      <c:catAx>
        <c:axId val="410673152"/>
        <c:scaling>
          <c:orientation val="minMax"/>
        </c:scaling>
        <c:delete val="0"/>
        <c:axPos val="b"/>
        <c:numFmt formatCode="General" sourceLinked="0"/>
        <c:majorTickMark val="none"/>
        <c:minorTickMark val="none"/>
        <c:tickLblPos val="nextTo"/>
        <c:crossAx val="410674688"/>
        <c:crosses val="autoZero"/>
        <c:auto val="1"/>
        <c:lblAlgn val="ctr"/>
        <c:lblOffset val="100"/>
        <c:noMultiLvlLbl val="0"/>
      </c:catAx>
      <c:valAx>
        <c:axId val="410674688"/>
        <c:scaling>
          <c:orientation val="minMax"/>
        </c:scaling>
        <c:delete val="0"/>
        <c:axPos val="l"/>
        <c:title>
          <c:tx>
            <c:rich>
              <a:bodyPr/>
              <a:lstStyle/>
              <a:p>
                <a:pPr>
                  <a:defRPr/>
                </a:pPr>
                <a:r>
                  <a:rPr lang="tr-TR"/>
                  <a:t>Laktat mM</a:t>
                </a:r>
              </a:p>
            </c:rich>
          </c:tx>
          <c:layout>
            <c:manualLayout>
              <c:xMode val="edge"/>
              <c:yMode val="edge"/>
              <c:x val="5.5260717410323824E-2"/>
              <c:y val="0.26290354330708682"/>
            </c:manualLayout>
          </c:layout>
          <c:overlay val="0"/>
        </c:title>
        <c:numFmt formatCode="General" sourceLinked="1"/>
        <c:majorTickMark val="none"/>
        <c:minorTickMark val="none"/>
        <c:tickLblPos val="nextTo"/>
        <c:crossAx val="41067315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0283770560551699"/>
          <c:y val="0.13671911618267438"/>
          <c:w val="0.77019895723866494"/>
          <c:h val="0.78598150368665054"/>
        </c:manualLayout>
      </c:layout>
      <c:barChart>
        <c:barDir val="col"/>
        <c:grouping val="clustered"/>
        <c:varyColors val="0"/>
        <c:ser>
          <c:idx val="0"/>
          <c:order val="0"/>
          <c:tx>
            <c:strRef>
              <c:f>'glikoz normoksi son sonuç'!$C$3</c:f>
              <c:strCache>
                <c:ptCount val="1"/>
                <c:pt idx="0">
                  <c:v>0mM</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normoksi son sonuç'!$C$4:$C$8</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4415-4CAB-B7EE-5CB95872F86A}"/>
            </c:ext>
          </c:extLst>
        </c:ser>
        <c:ser>
          <c:idx val="1"/>
          <c:order val="1"/>
          <c:tx>
            <c:strRef>
              <c:f>'glikoz normoksi son sonuç'!$D$3</c:f>
              <c:strCache>
                <c:ptCount val="1"/>
                <c:pt idx="0">
                  <c:v>5.5mM</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normoksi son sonuç'!$D$4:$D$8</c:f>
              <c:numCache>
                <c:formatCode>General</c:formatCode>
                <c:ptCount val="5"/>
                <c:pt idx="0">
                  <c:v>0.26</c:v>
                </c:pt>
                <c:pt idx="1">
                  <c:v>1.1100000000000001</c:v>
                </c:pt>
                <c:pt idx="2">
                  <c:v>0.6700000000000027</c:v>
                </c:pt>
                <c:pt idx="3">
                  <c:v>2.29</c:v>
                </c:pt>
                <c:pt idx="4">
                  <c:v>5.2</c:v>
                </c:pt>
              </c:numCache>
            </c:numRef>
          </c:val>
          <c:extLst xmlns:c16r2="http://schemas.microsoft.com/office/drawing/2015/06/chart">
            <c:ext xmlns:c16="http://schemas.microsoft.com/office/drawing/2014/chart" uri="{C3380CC4-5D6E-409C-BE32-E72D297353CC}">
              <c16:uniqueId val="{00000001-4415-4CAB-B7EE-5CB95872F86A}"/>
            </c:ext>
          </c:extLst>
        </c:ser>
        <c:ser>
          <c:idx val="2"/>
          <c:order val="2"/>
          <c:tx>
            <c:strRef>
              <c:f>'glikoz normoksi son sonuç'!$E$3</c:f>
              <c:strCache>
                <c:ptCount val="1"/>
                <c:pt idx="0">
                  <c:v>15 mM</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normoksi son sonuç'!$E$4:$E$8</c:f>
              <c:numCache>
                <c:formatCode>General</c:formatCode>
                <c:ptCount val="5"/>
                <c:pt idx="0">
                  <c:v>0.46</c:v>
                </c:pt>
                <c:pt idx="1">
                  <c:v>0.56999999999999995</c:v>
                </c:pt>
                <c:pt idx="2">
                  <c:v>2.92</c:v>
                </c:pt>
                <c:pt idx="3">
                  <c:v>4.5199999999999996</c:v>
                </c:pt>
                <c:pt idx="4">
                  <c:v>1.3900000000000001</c:v>
                </c:pt>
              </c:numCache>
            </c:numRef>
          </c:val>
          <c:extLst xmlns:c16r2="http://schemas.microsoft.com/office/drawing/2015/06/chart">
            <c:ext xmlns:c16="http://schemas.microsoft.com/office/drawing/2014/chart" uri="{C3380CC4-5D6E-409C-BE32-E72D297353CC}">
              <c16:uniqueId val="{00000002-4415-4CAB-B7EE-5CB95872F86A}"/>
            </c:ext>
          </c:extLst>
        </c:ser>
        <c:ser>
          <c:idx val="3"/>
          <c:order val="3"/>
          <c:tx>
            <c:strRef>
              <c:f>'glikoz normoksi son sonuç'!$F$3</c:f>
              <c:strCache>
                <c:ptCount val="1"/>
                <c:pt idx="0">
                  <c:v>55mM</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normoksi son sonuç'!$F$4:$F$8</c:f>
              <c:numCache>
                <c:formatCode>General</c:formatCode>
                <c:ptCount val="5"/>
                <c:pt idx="0">
                  <c:v>27.3</c:v>
                </c:pt>
                <c:pt idx="1">
                  <c:v>13.92</c:v>
                </c:pt>
                <c:pt idx="2">
                  <c:v>37.5</c:v>
                </c:pt>
                <c:pt idx="3">
                  <c:v>18.03</c:v>
                </c:pt>
                <c:pt idx="4">
                  <c:v>12.09</c:v>
                </c:pt>
              </c:numCache>
            </c:numRef>
          </c:val>
          <c:extLst xmlns:c16r2="http://schemas.microsoft.com/office/drawing/2015/06/chart">
            <c:ext xmlns:c16="http://schemas.microsoft.com/office/drawing/2014/chart" uri="{C3380CC4-5D6E-409C-BE32-E72D297353CC}">
              <c16:uniqueId val="{00000003-4415-4CAB-B7EE-5CB95872F86A}"/>
            </c:ext>
          </c:extLst>
        </c:ser>
        <c:dLbls>
          <c:showLegendKey val="0"/>
          <c:showVal val="0"/>
          <c:showCatName val="0"/>
          <c:showSerName val="0"/>
          <c:showPercent val="0"/>
          <c:showBubbleSize val="0"/>
        </c:dLbls>
        <c:gapWidth val="150"/>
        <c:axId val="411906816"/>
        <c:axId val="411908736"/>
      </c:barChart>
      <c:catAx>
        <c:axId val="411906816"/>
        <c:scaling>
          <c:orientation val="minMax"/>
        </c:scaling>
        <c:delete val="0"/>
        <c:axPos val="b"/>
        <c:title>
          <c:tx>
            <c:rich>
              <a:bodyPr/>
              <a:lstStyle/>
              <a:p>
                <a:pPr>
                  <a:defRPr/>
                </a:pPr>
                <a:r>
                  <a:rPr lang="tr-TR"/>
                  <a:t>Normoksi</a:t>
                </a:r>
              </a:p>
            </c:rich>
          </c:tx>
          <c:layout>
            <c:manualLayout>
              <c:xMode val="edge"/>
              <c:yMode val="edge"/>
              <c:x val="0.41325247889484973"/>
              <c:y val="3.1310083370824172E-2"/>
            </c:manualLayout>
          </c:layout>
          <c:overlay val="0"/>
        </c:title>
        <c:numFmt formatCode="General" sourceLinked="0"/>
        <c:majorTickMark val="out"/>
        <c:minorTickMark val="none"/>
        <c:tickLblPos val="nextTo"/>
        <c:crossAx val="411908736"/>
        <c:crosses val="autoZero"/>
        <c:auto val="1"/>
        <c:lblAlgn val="ctr"/>
        <c:lblOffset val="100"/>
        <c:noMultiLvlLbl val="0"/>
      </c:catAx>
      <c:valAx>
        <c:axId val="411908736"/>
        <c:scaling>
          <c:orientation val="minMax"/>
        </c:scaling>
        <c:delete val="0"/>
        <c:axPos val="l"/>
        <c:title>
          <c:tx>
            <c:rich>
              <a:bodyPr rot="-5400000" vert="horz"/>
              <a:lstStyle/>
              <a:p>
                <a:pPr>
                  <a:defRPr/>
                </a:pPr>
                <a:r>
                  <a:rPr lang="tr-TR"/>
                  <a:t>Glukoz Tüketim mM</a:t>
                </a:r>
              </a:p>
            </c:rich>
          </c:tx>
          <c:layout>
            <c:manualLayout>
              <c:xMode val="edge"/>
              <c:yMode val="edge"/>
              <c:x val="1.12292845278383E-2"/>
              <c:y val="0.29887075733988983"/>
            </c:manualLayout>
          </c:layout>
          <c:overlay val="0"/>
        </c:title>
        <c:numFmt formatCode="General" sourceLinked="1"/>
        <c:majorTickMark val="out"/>
        <c:minorTickMark val="none"/>
        <c:tickLblPos val="nextTo"/>
        <c:crossAx val="41190681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1643285214348206"/>
          <c:y val="0.14862277631962667"/>
          <c:w val="0.75248512685914271"/>
          <c:h val="0.78632327209098862"/>
        </c:manualLayout>
      </c:layout>
      <c:barChart>
        <c:barDir val="col"/>
        <c:grouping val="clustered"/>
        <c:varyColors val="0"/>
        <c:ser>
          <c:idx val="0"/>
          <c:order val="0"/>
          <c:tx>
            <c:strRef>
              <c:f>'glikoz hipoksi son sonuç'!$C$2</c:f>
              <c:strCache>
                <c:ptCount val="1"/>
                <c:pt idx="0">
                  <c:v>0mM</c:v>
                </c:pt>
              </c:strCache>
            </c:strRef>
          </c:tx>
          <c:invertIfNegative val="0"/>
          <c:errBars>
            <c:errBarType val="both"/>
            <c:errValType val="stdErr"/>
            <c:noEndCap val="0"/>
          </c:errBars>
          <c:cat>
            <c:strRef>
              <c:f>'glikoz hipoksi son sonuç'!$B$3:$B$7</c:f>
              <c:strCache>
                <c:ptCount val="5"/>
                <c:pt idx="0">
                  <c:v>3.SAAT </c:v>
                </c:pt>
                <c:pt idx="1">
                  <c:v>6.SAAT </c:v>
                </c:pt>
                <c:pt idx="2">
                  <c:v>12.SAAT </c:v>
                </c:pt>
                <c:pt idx="3">
                  <c:v>24.SAAT </c:v>
                </c:pt>
                <c:pt idx="4">
                  <c:v>48.SAAT </c:v>
                </c:pt>
              </c:strCache>
            </c:strRef>
          </c:cat>
          <c:val>
            <c:numRef>
              <c:f>'glikoz hipoksi son sonuç'!$C$3:$C$7</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6469-4B4D-93F2-B4CD7E1D6350}"/>
            </c:ext>
          </c:extLst>
        </c:ser>
        <c:ser>
          <c:idx val="1"/>
          <c:order val="1"/>
          <c:tx>
            <c:strRef>
              <c:f>'glikoz hipoksi son sonuç'!$D$2</c:f>
              <c:strCache>
                <c:ptCount val="1"/>
                <c:pt idx="0">
                  <c:v>5.5mM</c:v>
                </c:pt>
              </c:strCache>
            </c:strRef>
          </c:tx>
          <c:invertIfNegative val="0"/>
          <c:errBars>
            <c:errBarType val="both"/>
            <c:errValType val="stdErr"/>
            <c:noEndCap val="0"/>
          </c:errBars>
          <c:cat>
            <c:strRef>
              <c:f>'glikoz hipoksi son sonuç'!$B$3:$B$7</c:f>
              <c:strCache>
                <c:ptCount val="5"/>
                <c:pt idx="0">
                  <c:v>3.SAAT </c:v>
                </c:pt>
                <c:pt idx="1">
                  <c:v>6.SAAT </c:v>
                </c:pt>
                <c:pt idx="2">
                  <c:v>12.SAAT </c:v>
                </c:pt>
                <c:pt idx="3">
                  <c:v>24.SAAT </c:v>
                </c:pt>
                <c:pt idx="4">
                  <c:v>48.SAAT </c:v>
                </c:pt>
              </c:strCache>
            </c:strRef>
          </c:cat>
          <c:val>
            <c:numRef>
              <c:f>'glikoz hipoksi son sonuç'!$D$3:$D$7</c:f>
              <c:numCache>
                <c:formatCode>General</c:formatCode>
                <c:ptCount val="5"/>
                <c:pt idx="0">
                  <c:v>0.56000000000000005</c:v>
                </c:pt>
                <c:pt idx="1">
                  <c:v>1.02</c:v>
                </c:pt>
                <c:pt idx="2">
                  <c:v>0.87000000000000199</c:v>
                </c:pt>
                <c:pt idx="3">
                  <c:v>4.49</c:v>
                </c:pt>
                <c:pt idx="4">
                  <c:v>5.1899999999999995</c:v>
                </c:pt>
              </c:numCache>
            </c:numRef>
          </c:val>
          <c:extLst xmlns:c16r2="http://schemas.microsoft.com/office/drawing/2015/06/chart">
            <c:ext xmlns:c16="http://schemas.microsoft.com/office/drawing/2014/chart" uri="{C3380CC4-5D6E-409C-BE32-E72D297353CC}">
              <c16:uniqueId val="{00000001-6469-4B4D-93F2-B4CD7E1D6350}"/>
            </c:ext>
          </c:extLst>
        </c:ser>
        <c:ser>
          <c:idx val="2"/>
          <c:order val="2"/>
          <c:tx>
            <c:strRef>
              <c:f>'glikoz hipoksi son sonuç'!$E$2</c:f>
              <c:strCache>
                <c:ptCount val="1"/>
                <c:pt idx="0">
                  <c:v>15 mM</c:v>
                </c:pt>
              </c:strCache>
            </c:strRef>
          </c:tx>
          <c:invertIfNegative val="0"/>
          <c:errBars>
            <c:errBarType val="both"/>
            <c:errValType val="stdErr"/>
            <c:noEndCap val="0"/>
          </c:errBars>
          <c:cat>
            <c:strRef>
              <c:f>'glikoz hipoksi son sonuç'!$B$3:$B$7</c:f>
              <c:strCache>
                <c:ptCount val="5"/>
                <c:pt idx="0">
                  <c:v>3.SAAT </c:v>
                </c:pt>
                <c:pt idx="1">
                  <c:v>6.SAAT </c:v>
                </c:pt>
                <c:pt idx="2">
                  <c:v>12.SAAT </c:v>
                </c:pt>
                <c:pt idx="3">
                  <c:v>24.SAAT </c:v>
                </c:pt>
                <c:pt idx="4">
                  <c:v>48.SAAT </c:v>
                </c:pt>
              </c:strCache>
            </c:strRef>
          </c:cat>
          <c:val>
            <c:numRef>
              <c:f>'glikoz hipoksi son sonuç'!$E$3:$E$7</c:f>
              <c:numCache>
                <c:formatCode>General</c:formatCode>
                <c:ptCount val="5"/>
                <c:pt idx="0">
                  <c:v>0.59</c:v>
                </c:pt>
                <c:pt idx="1">
                  <c:v>2.16</c:v>
                </c:pt>
                <c:pt idx="2">
                  <c:v>2.25</c:v>
                </c:pt>
                <c:pt idx="3">
                  <c:v>5.53</c:v>
                </c:pt>
                <c:pt idx="4">
                  <c:v>5.6</c:v>
                </c:pt>
              </c:numCache>
            </c:numRef>
          </c:val>
          <c:extLst xmlns:c16r2="http://schemas.microsoft.com/office/drawing/2015/06/chart">
            <c:ext xmlns:c16="http://schemas.microsoft.com/office/drawing/2014/chart" uri="{C3380CC4-5D6E-409C-BE32-E72D297353CC}">
              <c16:uniqueId val="{00000002-6469-4B4D-93F2-B4CD7E1D6350}"/>
            </c:ext>
          </c:extLst>
        </c:ser>
        <c:ser>
          <c:idx val="3"/>
          <c:order val="3"/>
          <c:tx>
            <c:strRef>
              <c:f>'glikoz hipoksi son sonuç'!$F$2</c:f>
              <c:strCache>
                <c:ptCount val="1"/>
                <c:pt idx="0">
                  <c:v>55mM</c:v>
                </c:pt>
              </c:strCache>
            </c:strRef>
          </c:tx>
          <c:invertIfNegative val="0"/>
          <c:errBars>
            <c:errBarType val="both"/>
            <c:errValType val="stdErr"/>
            <c:noEndCap val="0"/>
          </c:errBars>
          <c:cat>
            <c:strRef>
              <c:f>'glikoz hipoksi son sonuç'!$B$3:$B$7</c:f>
              <c:strCache>
                <c:ptCount val="5"/>
                <c:pt idx="0">
                  <c:v>3.SAAT </c:v>
                </c:pt>
                <c:pt idx="1">
                  <c:v>6.SAAT </c:v>
                </c:pt>
                <c:pt idx="2">
                  <c:v>12.SAAT </c:v>
                </c:pt>
                <c:pt idx="3">
                  <c:v>24.SAAT </c:v>
                </c:pt>
                <c:pt idx="4">
                  <c:v>48.SAAT </c:v>
                </c:pt>
              </c:strCache>
            </c:strRef>
          </c:cat>
          <c:val>
            <c:numRef>
              <c:f>'glikoz hipoksi son sonuç'!$F$3:$F$7</c:f>
              <c:numCache>
                <c:formatCode>General</c:formatCode>
                <c:ptCount val="5"/>
                <c:pt idx="0">
                  <c:v>26.62</c:v>
                </c:pt>
                <c:pt idx="1">
                  <c:v>24.110000000000031</c:v>
                </c:pt>
                <c:pt idx="2">
                  <c:v>30.19</c:v>
                </c:pt>
                <c:pt idx="3">
                  <c:v>36.89</c:v>
                </c:pt>
                <c:pt idx="4">
                  <c:v>21.37</c:v>
                </c:pt>
              </c:numCache>
            </c:numRef>
          </c:val>
          <c:extLst xmlns:c16r2="http://schemas.microsoft.com/office/drawing/2015/06/chart">
            <c:ext xmlns:c16="http://schemas.microsoft.com/office/drawing/2014/chart" uri="{C3380CC4-5D6E-409C-BE32-E72D297353CC}">
              <c16:uniqueId val="{00000003-6469-4B4D-93F2-B4CD7E1D6350}"/>
            </c:ext>
          </c:extLst>
        </c:ser>
        <c:dLbls>
          <c:showLegendKey val="0"/>
          <c:showVal val="0"/>
          <c:showCatName val="0"/>
          <c:showSerName val="0"/>
          <c:showPercent val="0"/>
          <c:showBubbleSize val="0"/>
        </c:dLbls>
        <c:gapWidth val="150"/>
        <c:axId val="364249472"/>
        <c:axId val="364251392"/>
      </c:barChart>
      <c:catAx>
        <c:axId val="364249472"/>
        <c:scaling>
          <c:orientation val="minMax"/>
        </c:scaling>
        <c:delete val="0"/>
        <c:axPos val="b"/>
        <c:title>
          <c:tx>
            <c:rich>
              <a:bodyPr/>
              <a:lstStyle/>
              <a:p>
                <a:pPr>
                  <a:defRPr/>
                </a:pPr>
                <a:r>
                  <a:rPr lang="tr-TR"/>
                  <a:t>Hipoksi</a:t>
                </a:r>
              </a:p>
            </c:rich>
          </c:tx>
          <c:layout>
            <c:manualLayout>
              <c:xMode val="edge"/>
              <c:yMode val="edge"/>
              <c:x val="0.44596794871794881"/>
              <c:y val="4.5347039953339247E-2"/>
            </c:manualLayout>
          </c:layout>
          <c:overlay val="0"/>
        </c:title>
        <c:numFmt formatCode="General" sourceLinked="0"/>
        <c:majorTickMark val="out"/>
        <c:minorTickMark val="none"/>
        <c:tickLblPos val="nextTo"/>
        <c:crossAx val="364251392"/>
        <c:crosses val="autoZero"/>
        <c:auto val="1"/>
        <c:lblAlgn val="ctr"/>
        <c:lblOffset val="100"/>
        <c:noMultiLvlLbl val="0"/>
      </c:catAx>
      <c:valAx>
        <c:axId val="364251392"/>
        <c:scaling>
          <c:orientation val="minMax"/>
        </c:scaling>
        <c:delete val="0"/>
        <c:axPos val="l"/>
        <c:title>
          <c:tx>
            <c:rich>
              <a:bodyPr rot="-5400000" vert="horz"/>
              <a:lstStyle/>
              <a:p>
                <a:pPr>
                  <a:defRPr/>
                </a:pPr>
                <a:r>
                  <a:rPr lang="tr-TR"/>
                  <a:t>Glukoz Tüketim mM</a:t>
                </a:r>
              </a:p>
            </c:rich>
          </c:tx>
          <c:layout>
            <c:manualLayout>
              <c:xMode val="edge"/>
              <c:yMode val="edge"/>
              <c:x val="2.2624643874643892E-2"/>
              <c:y val="0.2580807086614173"/>
            </c:manualLayout>
          </c:layout>
          <c:overlay val="0"/>
        </c:title>
        <c:numFmt formatCode="General" sourceLinked="1"/>
        <c:majorTickMark val="out"/>
        <c:minorTickMark val="none"/>
        <c:tickLblPos val="nextTo"/>
        <c:crossAx val="36424947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5.5 mM Glukoz</a:t>
            </a:r>
          </a:p>
        </c:rich>
      </c:tx>
      <c:layout>
        <c:manualLayout>
          <c:xMode val="edge"/>
          <c:yMode val="edge"/>
          <c:x val="0.41534632391034626"/>
          <c:y val="5.6680170977744096E-2"/>
        </c:manualLayout>
      </c:layout>
      <c:overlay val="0"/>
    </c:title>
    <c:autoTitleDeleted val="0"/>
    <c:plotArea>
      <c:layout>
        <c:manualLayout>
          <c:layoutTarget val="inner"/>
          <c:xMode val="edge"/>
          <c:yMode val="edge"/>
          <c:x val="0.16503822441628871"/>
          <c:y val="0.18091462525517643"/>
          <c:w val="0.77773687664042435"/>
          <c:h val="0.56659375911344412"/>
        </c:manualLayout>
      </c:layout>
      <c:barChart>
        <c:barDir val="col"/>
        <c:grouping val="clustered"/>
        <c:varyColors val="0"/>
        <c:ser>
          <c:idx val="1"/>
          <c:order val="0"/>
          <c:tx>
            <c:strRef>
              <c:f>'glikoz normoksi son sonuç'!$C$27</c:f>
              <c:strCache>
                <c:ptCount val="1"/>
                <c:pt idx="0">
                  <c:v>normoksi</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normoksi son sonuç'!$D$4:$D$8</c:f>
              <c:numCache>
                <c:formatCode>General</c:formatCode>
                <c:ptCount val="5"/>
                <c:pt idx="0">
                  <c:v>0.26</c:v>
                </c:pt>
                <c:pt idx="1">
                  <c:v>1.1100000000000001</c:v>
                </c:pt>
                <c:pt idx="2">
                  <c:v>0.6700000000000027</c:v>
                </c:pt>
                <c:pt idx="3">
                  <c:v>2.29</c:v>
                </c:pt>
                <c:pt idx="4">
                  <c:v>5.2</c:v>
                </c:pt>
              </c:numCache>
            </c:numRef>
          </c:val>
          <c:extLst xmlns:c16r2="http://schemas.microsoft.com/office/drawing/2015/06/chart">
            <c:ext xmlns:c16="http://schemas.microsoft.com/office/drawing/2014/chart" uri="{C3380CC4-5D6E-409C-BE32-E72D297353CC}">
              <c16:uniqueId val="{00000000-AAAE-4948-8609-21DAA4ACB53A}"/>
            </c:ext>
          </c:extLst>
        </c:ser>
        <c:ser>
          <c:idx val="0"/>
          <c:order val="1"/>
          <c:tx>
            <c:strRef>
              <c:f>'glikoz normoksi son sonuç'!$C$28</c:f>
              <c:strCache>
                <c:ptCount val="1"/>
                <c:pt idx="0">
                  <c:v>hipoksi</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hipoksi son sonuç'!$D$3:$D$7</c:f>
              <c:numCache>
                <c:formatCode>General</c:formatCode>
                <c:ptCount val="5"/>
                <c:pt idx="0">
                  <c:v>0.56000000000000005</c:v>
                </c:pt>
                <c:pt idx="1">
                  <c:v>1.02</c:v>
                </c:pt>
                <c:pt idx="2">
                  <c:v>0.87000000000000199</c:v>
                </c:pt>
                <c:pt idx="3">
                  <c:v>4.49</c:v>
                </c:pt>
                <c:pt idx="4">
                  <c:v>5.1899999999999995</c:v>
                </c:pt>
              </c:numCache>
            </c:numRef>
          </c:val>
          <c:extLst xmlns:c16r2="http://schemas.microsoft.com/office/drawing/2015/06/chart">
            <c:ext xmlns:c16="http://schemas.microsoft.com/office/drawing/2014/chart" uri="{C3380CC4-5D6E-409C-BE32-E72D297353CC}">
              <c16:uniqueId val="{00000001-AAAE-4948-8609-21DAA4ACB53A}"/>
            </c:ext>
          </c:extLst>
        </c:ser>
        <c:dLbls>
          <c:showLegendKey val="0"/>
          <c:showVal val="0"/>
          <c:showCatName val="0"/>
          <c:showSerName val="0"/>
          <c:showPercent val="0"/>
          <c:showBubbleSize val="0"/>
        </c:dLbls>
        <c:gapWidth val="150"/>
        <c:axId val="364270336"/>
        <c:axId val="364271872"/>
      </c:barChart>
      <c:catAx>
        <c:axId val="364270336"/>
        <c:scaling>
          <c:orientation val="minMax"/>
        </c:scaling>
        <c:delete val="0"/>
        <c:axPos val="b"/>
        <c:numFmt formatCode="General" sourceLinked="0"/>
        <c:majorTickMark val="none"/>
        <c:minorTickMark val="none"/>
        <c:tickLblPos val="nextTo"/>
        <c:crossAx val="364271872"/>
        <c:crosses val="autoZero"/>
        <c:auto val="1"/>
        <c:lblAlgn val="ctr"/>
        <c:lblOffset val="100"/>
        <c:noMultiLvlLbl val="0"/>
      </c:catAx>
      <c:valAx>
        <c:axId val="364271872"/>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Glukoz tüketim miktarı mM</a:t>
                </a:r>
              </a:p>
            </c:rich>
          </c:tx>
          <c:layout>
            <c:manualLayout>
              <c:xMode val="edge"/>
              <c:yMode val="edge"/>
              <c:x val="5.2547178525387365E-2"/>
              <c:y val="8.644767442076691E-2"/>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6427033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15 mM Glukoz</a:t>
            </a:r>
          </a:p>
        </c:rich>
      </c:tx>
      <c:layout>
        <c:manualLayout>
          <c:xMode val="edge"/>
          <c:yMode val="edge"/>
          <c:x val="0.43387401200296655"/>
          <c:y val="3.7786780651829416E-2"/>
        </c:manualLayout>
      </c:layout>
      <c:overlay val="0"/>
    </c:title>
    <c:autoTitleDeleted val="0"/>
    <c:plotArea>
      <c:layout/>
      <c:barChart>
        <c:barDir val="col"/>
        <c:grouping val="clustered"/>
        <c:varyColors val="0"/>
        <c:ser>
          <c:idx val="0"/>
          <c:order val="0"/>
          <c:tx>
            <c:strRef>
              <c:f>'glikoz normoksi son sonuç'!$C$27</c:f>
              <c:strCache>
                <c:ptCount val="1"/>
                <c:pt idx="0">
                  <c:v>normoksi</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normoksi son sonuç'!$E$4:$E$8</c:f>
              <c:numCache>
                <c:formatCode>General</c:formatCode>
                <c:ptCount val="5"/>
                <c:pt idx="0">
                  <c:v>0.46</c:v>
                </c:pt>
                <c:pt idx="1">
                  <c:v>0.56999999999999995</c:v>
                </c:pt>
                <c:pt idx="2">
                  <c:v>2.92</c:v>
                </c:pt>
                <c:pt idx="3">
                  <c:v>4.5199999999999996</c:v>
                </c:pt>
                <c:pt idx="4">
                  <c:v>1.3900000000000001</c:v>
                </c:pt>
              </c:numCache>
            </c:numRef>
          </c:val>
          <c:extLst xmlns:c16r2="http://schemas.microsoft.com/office/drawing/2015/06/chart">
            <c:ext xmlns:c16="http://schemas.microsoft.com/office/drawing/2014/chart" uri="{C3380CC4-5D6E-409C-BE32-E72D297353CC}">
              <c16:uniqueId val="{00000000-5CA5-473B-B61A-9C21B2603E9A}"/>
            </c:ext>
          </c:extLst>
        </c:ser>
        <c:ser>
          <c:idx val="1"/>
          <c:order val="1"/>
          <c:tx>
            <c:strRef>
              <c:f>'glikoz normoksi son sonuç'!$C$28</c:f>
              <c:strCache>
                <c:ptCount val="1"/>
                <c:pt idx="0">
                  <c:v>hipoksi</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hipoksi son sonuç'!$E$3:$E$7</c:f>
              <c:numCache>
                <c:formatCode>General</c:formatCode>
                <c:ptCount val="5"/>
                <c:pt idx="0">
                  <c:v>0.59</c:v>
                </c:pt>
                <c:pt idx="1">
                  <c:v>2.16</c:v>
                </c:pt>
                <c:pt idx="2">
                  <c:v>2.25</c:v>
                </c:pt>
                <c:pt idx="3">
                  <c:v>5.53</c:v>
                </c:pt>
                <c:pt idx="4">
                  <c:v>5.6</c:v>
                </c:pt>
              </c:numCache>
            </c:numRef>
          </c:val>
          <c:extLst xmlns:c16r2="http://schemas.microsoft.com/office/drawing/2015/06/chart">
            <c:ext xmlns:c16="http://schemas.microsoft.com/office/drawing/2014/chart" uri="{C3380CC4-5D6E-409C-BE32-E72D297353CC}">
              <c16:uniqueId val="{00000001-5CA5-473B-B61A-9C21B2603E9A}"/>
            </c:ext>
          </c:extLst>
        </c:ser>
        <c:dLbls>
          <c:showLegendKey val="0"/>
          <c:showVal val="0"/>
          <c:showCatName val="0"/>
          <c:showSerName val="0"/>
          <c:showPercent val="0"/>
          <c:showBubbleSize val="0"/>
        </c:dLbls>
        <c:gapWidth val="150"/>
        <c:axId val="412031232"/>
        <c:axId val="412037120"/>
      </c:barChart>
      <c:catAx>
        <c:axId val="412031232"/>
        <c:scaling>
          <c:orientation val="minMax"/>
        </c:scaling>
        <c:delete val="0"/>
        <c:axPos val="b"/>
        <c:numFmt formatCode="General" sourceLinked="0"/>
        <c:majorTickMark val="none"/>
        <c:minorTickMark val="none"/>
        <c:tickLblPos val="nextTo"/>
        <c:crossAx val="412037120"/>
        <c:crosses val="autoZero"/>
        <c:auto val="1"/>
        <c:lblAlgn val="ctr"/>
        <c:lblOffset val="100"/>
        <c:noMultiLvlLbl val="0"/>
      </c:catAx>
      <c:valAx>
        <c:axId val="412037120"/>
        <c:scaling>
          <c:orientation val="minMax"/>
        </c:scaling>
        <c:delete val="0"/>
        <c:axPos val="l"/>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G</a:t>
                </a:r>
                <a:r>
                  <a:rPr lang="tr-TR" sz="1000">
                    <a:latin typeface="Times New Roman" pitchFamily="18" charset="0"/>
                    <a:cs typeface="Times New Roman" pitchFamily="18" charset="0"/>
                  </a:rPr>
                  <a:t>lukoz tüketim miktarı mM</a:t>
                </a:r>
                <a:endParaRPr lang="en-US" sz="1000">
                  <a:latin typeface="Times New Roman" pitchFamily="18" charset="0"/>
                  <a:cs typeface="Times New Roman" pitchFamily="18" charset="0"/>
                </a:endParaRPr>
              </a:p>
            </c:rich>
          </c:tx>
          <c:layout>
            <c:manualLayout>
              <c:xMode val="edge"/>
              <c:yMode val="edge"/>
              <c:x val="4.5876655475426964E-2"/>
              <c:y val="0.14516530969764821"/>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41203123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55 mM Glukoz</a:t>
            </a:r>
          </a:p>
        </c:rich>
      </c:tx>
      <c:layout>
        <c:manualLayout>
          <c:xMode val="edge"/>
          <c:yMode val="edge"/>
          <c:x val="0.42607596129328523"/>
          <c:y val="3.9179096803561582E-2"/>
        </c:manualLayout>
      </c:layout>
      <c:overlay val="0"/>
    </c:title>
    <c:autoTitleDeleted val="0"/>
    <c:plotArea>
      <c:layout>
        <c:manualLayout>
          <c:layoutTarget val="inner"/>
          <c:xMode val="edge"/>
          <c:yMode val="edge"/>
          <c:x val="0.17214672240044068"/>
          <c:y val="0.11275645398482786"/>
          <c:w val="0.81304422438888291"/>
          <c:h val="0.63726429128681572"/>
        </c:manualLayout>
      </c:layout>
      <c:barChart>
        <c:barDir val="col"/>
        <c:grouping val="clustered"/>
        <c:varyColors val="0"/>
        <c:ser>
          <c:idx val="0"/>
          <c:order val="0"/>
          <c:tx>
            <c:strRef>
              <c:f>'glikoz normoksi son sonuç'!$C$27</c:f>
              <c:strCache>
                <c:ptCount val="1"/>
                <c:pt idx="0">
                  <c:v>normoksi</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normoksi son sonuç'!$F$4:$F$8</c:f>
              <c:numCache>
                <c:formatCode>General</c:formatCode>
                <c:ptCount val="5"/>
                <c:pt idx="0">
                  <c:v>27.3</c:v>
                </c:pt>
                <c:pt idx="1">
                  <c:v>13.92</c:v>
                </c:pt>
                <c:pt idx="2">
                  <c:v>37.5</c:v>
                </c:pt>
                <c:pt idx="3">
                  <c:v>18.03</c:v>
                </c:pt>
                <c:pt idx="4">
                  <c:v>12.09</c:v>
                </c:pt>
              </c:numCache>
            </c:numRef>
          </c:val>
          <c:extLst xmlns:c16r2="http://schemas.microsoft.com/office/drawing/2015/06/chart">
            <c:ext xmlns:c16="http://schemas.microsoft.com/office/drawing/2014/chart" uri="{C3380CC4-5D6E-409C-BE32-E72D297353CC}">
              <c16:uniqueId val="{00000000-090F-4262-9B12-213DDCD45437}"/>
            </c:ext>
          </c:extLst>
        </c:ser>
        <c:ser>
          <c:idx val="1"/>
          <c:order val="1"/>
          <c:tx>
            <c:strRef>
              <c:f>'glikoz normoksi son sonuç'!$C$28</c:f>
              <c:strCache>
                <c:ptCount val="1"/>
                <c:pt idx="0">
                  <c:v>hipoksi</c:v>
                </c:pt>
              </c:strCache>
            </c:strRef>
          </c:tx>
          <c:invertIfNegative val="0"/>
          <c:errBars>
            <c:errBarType val="both"/>
            <c:errValType val="stdErr"/>
            <c:noEndCap val="0"/>
          </c:errBars>
          <c:cat>
            <c:strRef>
              <c:f>'glikoz normoksi son sonuç'!$B$4:$B$8</c:f>
              <c:strCache>
                <c:ptCount val="5"/>
                <c:pt idx="0">
                  <c:v>3.SAAT </c:v>
                </c:pt>
                <c:pt idx="1">
                  <c:v>6.SAAT</c:v>
                </c:pt>
                <c:pt idx="2">
                  <c:v>12.SAAT </c:v>
                </c:pt>
                <c:pt idx="3">
                  <c:v>24.SAAT </c:v>
                </c:pt>
                <c:pt idx="4">
                  <c:v>48.SAAT </c:v>
                </c:pt>
              </c:strCache>
            </c:strRef>
          </c:cat>
          <c:val>
            <c:numRef>
              <c:f>'glikoz hipoksi son sonuç'!$F$3:$F$7</c:f>
              <c:numCache>
                <c:formatCode>General</c:formatCode>
                <c:ptCount val="5"/>
                <c:pt idx="0">
                  <c:v>26.62</c:v>
                </c:pt>
                <c:pt idx="1">
                  <c:v>24.110000000000031</c:v>
                </c:pt>
                <c:pt idx="2">
                  <c:v>30.19</c:v>
                </c:pt>
                <c:pt idx="3">
                  <c:v>36.89</c:v>
                </c:pt>
                <c:pt idx="4">
                  <c:v>21.37</c:v>
                </c:pt>
              </c:numCache>
            </c:numRef>
          </c:val>
          <c:extLst xmlns:c16r2="http://schemas.microsoft.com/office/drawing/2015/06/chart">
            <c:ext xmlns:c16="http://schemas.microsoft.com/office/drawing/2014/chart" uri="{C3380CC4-5D6E-409C-BE32-E72D297353CC}">
              <c16:uniqueId val="{00000001-090F-4262-9B12-213DDCD45437}"/>
            </c:ext>
          </c:extLst>
        </c:ser>
        <c:dLbls>
          <c:showLegendKey val="0"/>
          <c:showVal val="0"/>
          <c:showCatName val="0"/>
          <c:showSerName val="0"/>
          <c:showPercent val="0"/>
          <c:showBubbleSize val="0"/>
        </c:dLbls>
        <c:gapWidth val="150"/>
        <c:axId val="412065792"/>
        <c:axId val="412067328"/>
      </c:barChart>
      <c:catAx>
        <c:axId val="412065792"/>
        <c:scaling>
          <c:orientation val="minMax"/>
        </c:scaling>
        <c:delete val="0"/>
        <c:axPos val="b"/>
        <c:numFmt formatCode="General" sourceLinked="0"/>
        <c:majorTickMark val="none"/>
        <c:minorTickMark val="none"/>
        <c:tickLblPos val="nextTo"/>
        <c:crossAx val="412067328"/>
        <c:crosses val="autoZero"/>
        <c:auto val="1"/>
        <c:lblAlgn val="ctr"/>
        <c:lblOffset val="100"/>
        <c:noMultiLvlLbl val="0"/>
      </c:catAx>
      <c:valAx>
        <c:axId val="412067328"/>
        <c:scaling>
          <c:orientation val="minMax"/>
        </c:scaling>
        <c:delete val="0"/>
        <c:axPos val="l"/>
        <c:title>
          <c:tx>
            <c:rich>
              <a:bodyPr rot="-5400000" vert="horz"/>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Glukoz tüketim miktarı mM</a:t>
                </a:r>
              </a:p>
            </c:rich>
          </c:tx>
          <c:layout>
            <c:manualLayout>
              <c:xMode val="edge"/>
              <c:yMode val="edge"/>
              <c:x val="4.2734142217987867E-2"/>
              <c:y val="0.20988348376348498"/>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41206579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tr-TR" sz="1000"/>
              <a:t>Normoksik Ortam</a:t>
            </a:r>
          </a:p>
        </c:rich>
      </c:tx>
      <c:layout>
        <c:manualLayout>
          <c:xMode val="edge"/>
          <c:yMode val="edge"/>
          <c:x val="0.39243521832498252"/>
          <c:y val="8.7962962962963076E-2"/>
        </c:manualLayout>
      </c:layout>
      <c:overlay val="0"/>
    </c:title>
    <c:autoTitleDeleted val="0"/>
    <c:plotArea>
      <c:layout>
        <c:manualLayout>
          <c:layoutTarget val="inner"/>
          <c:xMode val="edge"/>
          <c:yMode val="edge"/>
          <c:x val="0.13885946074922481"/>
          <c:y val="0.20277777777777778"/>
          <c:w val="0.66672331583552058"/>
          <c:h val="0.68124234470691036"/>
        </c:manualLayout>
      </c:layout>
      <c:barChart>
        <c:barDir val="col"/>
        <c:grouping val="clustered"/>
        <c:varyColors val="0"/>
        <c:ser>
          <c:idx val="0"/>
          <c:order val="0"/>
          <c:tx>
            <c:strRef>
              <c:f>Sayfa1!$A$10</c:f>
              <c:strCache>
                <c:ptCount val="1"/>
                <c:pt idx="0">
                  <c:v>kontrol (0 mM )</c:v>
                </c:pt>
              </c:strCache>
            </c:strRef>
          </c:tx>
          <c:invertIfNegative val="0"/>
          <c:errBars>
            <c:errBarType val="both"/>
            <c:errValType val="percentage"/>
            <c:noEndCap val="0"/>
            <c:val val="5"/>
          </c:errBars>
          <c:cat>
            <c:strRef>
              <c:f>Sayfa1!$B$9:$F$9</c:f>
              <c:strCache>
                <c:ptCount val="5"/>
                <c:pt idx="0">
                  <c:v>0.saat</c:v>
                </c:pt>
                <c:pt idx="1">
                  <c:v>6.saat</c:v>
                </c:pt>
                <c:pt idx="2">
                  <c:v>12.saat</c:v>
                </c:pt>
                <c:pt idx="3">
                  <c:v>24.saat</c:v>
                </c:pt>
                <c:pt idx="4">
                  <c:v>48.saat</c:v>
                </c:pt>
              </c:strCache>
            </c:strRef>
          </c:cat>
          <c:val>
            <c:numRef>
              <c:f>Sayfa1!$B$37:$F$37</c:f>
              <c:numCache>
                <c:formatCode>General</c:formatCode>
                <c:ptCount val="5"/>
                <c:pt idx="0" formatCode="#,##0">
                  <c:v>100</c:v>
                </c:pt>
                <c:pt idx="1">
                  <c:v>105.8</c:v>
                </c:pt>
                <c:pt idx="2">
                  <c:v>94.9</c:v>
                </c:pt>
                <c:pt idx="3">
                  <c:v>98.3</c:v>
                </c:pt>
                <c:pt idx="4">
                  <c:v>110.6</c:v>
                </c:pt>
              </c:numCache>
            </c:numRef>
          </c:val>
          <c:extLst xmlns:c16r2="http://schemas.microsoft.com/office/drawing/2015/06/chart">
            <c:ext xmlns:c16="http://schemas.microsoft.com/office/drawing/2014/chart" uri="{C3380CC4-5D6E-409C-BE32-E72D297353CC}">
              <c16:uniqueId val="{00000000-4F82-492C-90C4-849EA6A20147}"/>
            </c:ext>
          </c:extLst>
        </c:ser>
        <c:ser>
          <c:idx val="1"/>
          <c:order val="1"/>
          <c:tx>
            <c:strRef>
              <c:f>Sayfa1!$A$11</c:f>
              <c:strCache>
                <c:ptCount val="1"/>
                <c:pt idx="0">
                  <c:v>5,5 mM </c:v>
                </c:pt>
              </c:strCache>
            </c:strRef>
          </c:tx>
          <c:invertIfNegative val="0"/>
          <c:errBars>
            <c:errBarType val="both"/>
            <c:errValType val="percentage"/>
            <c:noEndCap val="0"/>
            <c:val val="5"/>
          </c:errBars>
          <c:cat>
            <c:strRef>
              <c:f>Sayfa1!$B$9:$F$9</c:f>
              <c:strCache>
                <c:ptCount val="5"/>
                <c:pt idx="0">
                  <c:v>0.saat</c:v>
                </c:pt>
                <c:pt idx="1">
                  <c:v>6.saat</c:v>
                </c:pt>
                <c:pt idx="2">
                  <c:v>12.saat</c:v>
                </c:pt>
                <c:pt idx="3">
                  <c:v>24.saat</c:v>
                </c:pt>
                <c:pt idx="4">
                  <c:v>48.saat</c:v>
                </c:pt>
              </c:strCache>
            </c:strRef>
          </c:cat>
          <c:val>
            <c:numRef>
              <c:f>Sayfa1!$B$38:$F$38</c:f>
              <c:numCache>
                <c:formatCode>General</c:formatCode>
                <c:ptCount val="5"/>
                <c:pt idx="0" formatCode="#,##0">
                  <c:v>100</c:v>
                </c:pt>
                <c:pt idx="1">
                  <c:v>108.5</c:v>
                </c:pt>
                <c:pt idx="2">
                  <c:v>102.5</c:v>
                </c:pt>
                <c:pt idx="3">
                  <c:v>91.7</c:v>
                </c:pt>
                <c:pt idx="4">
                  <c:v>91.2</c:v>
                </c:pt>
              </c:numCache>
            </c:numRef>
          </c:val>
          <c:extLst xmlns:c16r2="http://schemas.microsoft.com/office/drawing/2015/06/chart">
            <c:ext xmlns:c16="http://schemas.microsoft.com/office/drawing/2014/chart" uri="{C3380CC4-5D6E-409C-BE32-E72D297353CC}">
              <c16:uniqueId val="{00000001-4F82-492C-90C4-849EA6A20147}"/>
            </c:ext>
          </c:extLst>
        </c:ser>
        <c:ser>
          <c:idx val="2"/>
          <c:order val="2"/>
          <c:tx>
            <c:strRef>
              <c:f>Sayfa1!$A$12</c:f>
              <c:strCache>
                <c:ptCount val="1"/>
                <c:pt idx="0">
                  <c:v>15 mM </c:v>
                </c:pt>
              </c:strCache>
            </c:strRef>
          </c:tx>
          <c:invertIfNegative val="0"/>
          <c:errBars>
            <c:errBarType val="both"/>
            <c:errValType val="percentage"/>
            <c:noEndCap val="0"/>
            <c:val val="5"/>
          </c:errBars>
          <c:cat>
            <c:strRef>
              <c:f>Sayfa1!$B$9:$F$9</c:f>
              <c:strCache>
                <c:ptCount val="5"/>
                <c:pt idx="0">
                  <c:v>0.saat</c:v>
                </c:pt>
                <c:pt idx="1">
                  <c:v>6.saat</c:v>
                </c:pt>
                <c:pt idx="2">
                  <c:v>12.saat</c:v>
                </c:pt>
                <c:pt idx="3">
                  <c:v>24.saat</c:v>
                </c:pt>
                <c:pt idx="4">
                  <c:v>48.saat</c:v>
                </c:pt>
              </c:strCache>
            </c:strRef>
          </c:cat>
          <c:val>
            <c:numRef>
              <c:f>Sayfa1!$B$39:$F$39</c:f>
              <c:numCache>
                <c:formatCode>General</c:formatCode>
                <c:ptCount val="5"/>
                <c:pt idx="0" formatCode="#,##0">
                  <c:v>100</c:v>
                </c:pt>
                <c:pt idx="1">
                  <c:v>90.3</c:v>
                </c:pt>
                <c:pt idx="2">
                  <c:v>88.8</c:v>
                </c:pt>
                <c:pt idx="3">
                  <c:v>90.3</c:v>
                </c:pt>
                <c:pt idx="4">
                  <c:v>83.3</c:v>
                </c:pt>
              </c:numCache>
            </c:numRef>
          </c:val>
          <c:extLst xmlns:c16r2="http://schemas.microsoft.com/office/drawing/2015/06/chart">
            <c:ext xmlns:c16="http://schemas.microsoft.com/office/drawing/2014/chart" uri="{C3380CC4-5D6E-409C-BE32-E72D297353CC}">
              <c16:uniqueId val="{00000002-4F82-492C-90C4-849EA6A20147}"/>
            </c:ext>
          </c:extLst>
        </c:ser>
        <c:ser>
          <c:idx val="3"/>
          <c:order val="3"/>
          <c:tx>
            <c:strRef>
              <c:f>Sayfa1!$A$13</c:f>
              <c:strCache>
                <c:ptCount val="1"/>
                <c:pt idx="0">
                  <c:v>55 mM </c:v>
                </c:pt>
              </c:strCache>
            </c:strRef>
          </c:tx>
          <c:invertIfNegative val="0"/>
          <c:errBars>
            <c:errBarType val="both"/>
            <c:errValType val="percentage"/>
            <c:noEndCap val="0"/>
            <c:val val="5"/>
          </c:errBars>
          <c:cat>
            <c:strRef>
              <c:f>Sayfa1!$B$9:$F$9</c:f>
              <c:strCache>
                <c:ptCount val="5"/>
                <c:pt idx="0">
                  <c:v>0.saat</c:v>
                </c:pt>
                <c:pt idx="1">
                  <c:v>6.saat</c:v>
                </c:pt>
                <c:pt idx="2">
                  <c:v>12.saat</c:v>
                </c:pt>
                <c:pt idx="3">
                  <c:v>24.saat</c:v>
                </c:pt>
                <c:pt idx="4">
                  <c:v>48.saat</c:v>
                </c:pt>
              </c:strCache>
            </c:strRef>
          </c:cat>
          <c:val>
            <c:numRef>
              <c:f>Sayfa1!$B$40:$F$40</c:f>
              <c:numCache>
                <c:formatCode>General</c:formatCode>
                <c:ptCount val="5"/>
                <c:pt idx="0" formatCode="#,##0">
                  <c:v>100</c:v>
                </c:pt>
                <c:pt idx="1">
                  <c:v>102.1</c:v>
                </c:pt>
                <c:pt idx="2">
                  <c:v>94.5</c:v>
                </c:pt>
                <c:pt idx="3">
                  <c:v>86.6</c:v>
                </c:pt>
                <c:pt idx="4">
                  <c:v>84.4</c:v>
                </c:pt>
              </c:numCache>
            </c:numRef>
          </c:val>
          <c:extLst xmlns:c16r2="http://schemas.microsoft.com/office/drawing/2015/06/chart">
            <c:ext xmlns:c16="http://schemas.microsoft.com/office/drawing/2014/chart" uri="{C3380CC4-5D6E-409C-BE32-E72D297353CC}">
              <c16:uniqueId val="{00000003-4F82-492C-90C4-849EA6A20147}"/>
            </c:ext>
          </c:extLst>
        </c:ser>
        <c:dLbls>
          <c:showLegendKey val="0"/>
          <c:showVal val="0"/>
          <c:showCatName val="0"/>
          <c:showSerName val="0"/>
          <c:showPercent val="0"/>
          <c:showBubbleSize val="0"/>
        </c:dLbls>
        <c:gapWidth val="150"/>
        <c:axId val="412332800"/>
        <c:axId val="412334336"/>
      </c:barChart>
      <c:catAx>
        <c:axId val="412332800"/>
        <c:scaling>
          <c:orientation val="minMax"/>
        </c:scaling>
        <c:delete val="0"/>
        <c:axPos val="b"/>
        <c:numFmt formatCode="General" sourceLinked="0"/>
        <c:majorTickMark val="none"/>
        <c:minorTickMark val="none"/>
        <c:tickLblPos val="nextTo"/>
        <c:crossAx val="412334336"/>
        <c:crosses val="autoZero"/>
        <c:auto val="1"/>
        <c:lblAlgn val="ctr"/>
        <c:lblOffset val="100"/>
        <c:noMultiLvlLbl val="0"/>
      </c:catAx>
      <c:valAx>
        <c:axId val="412334336"/>
        <c:scaling>
          <c:orientation val="minMax"/>
        </c:scaling>
        <c:delete val="0"/>
        <c:axPos val="l"/>
        <c:title>
          <c:tx>
            <c:rich>
              <a:bodyPr rot="-5400000" vert="horz"/>
              <a:lstStyle/>
              <a:p>
                <a:pPr>
                  <a:defRPr/>
                </a:pPr>
                <a:r>
                  <a:rPr lang="tr-TR"/>
                  <a:t>Yara Açıklığı %</a:t>
                </a:r>
              </a:p>
            </c:rich>
          </c:tx>
          <c:layout>
            <c:manualLayout>
              <c:xMode val="edge"/>
              <c:yMode val="edge"/>
              <c:x val="2.4091798442550091E-2"/>
              <c:y val="0.32394284047827382"/>
            </c:manualLayout>
          </c:layout>
          <c:overlay val="0"/>
        </c:title>
        <c:numFmt formatCode="#,##0" sourceLinked="1"/>
        <c:majorTickMark val="none"/>
        <c:minorTickMark val="none"/>
        <c:tickLblPos val="nextTo"/>
        <c:crossAx val="412332800"/>
        <c:crosses val="autoZero"/>
        <c:crossBetween val="between"/>
      </c:valAx>
    </c:plotArea>
    <c:legend>
      <c:legendPos val="r"/>
      <c:layout>
        <c:manualLayout>
          <c:xMode val="edge"/>
          <c:yMode val="edge"/>
          <c:x val="0.78834230096237967"/>
          <c:y val="0.35293598716827068"/>
          <c:w val="0.20887992125984253"/>
          <c:h val="0.40894284047827356"/>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tr-TR" sz="1000"/>
              <a:t>Hipoksik Ortam</a:t>
            </a:r>
          </a:p>
        </c:rich>
      </c:tx>
      <c:layout>
        <c:manualLayout>
          <c:xMode val="edge"/>
          <c:yMode val="edge"/>
          <c:x val="0.39797731215801474"/>
          <c:y val="6.9444444444444503E-2"/>
        </c:manualLayout>
      </c:layout>
      <c:overlay val="0"/>
    </c:title>
    <c:autoTitleDeleted val="0"/>
    <c:plotArea>
      <c:layout>
        <c:manualLayout>
          <c:layoutTarget val="inner"/>
          <c:xMode val="edge"/>
          <c:yMode val="edge"/>
          <c:x val="0.13010462733254211"/>
          <c:y val="0.1901738845144357"/>
          <c:w val="0.68713639207355348"/>
          <c:h val="0.68921660834062359"/>
        </c:manualLayout>
      </c:layout>
      <c:barChart>
        <c:barDir val="col"/>
        <c:grouping val="clustered"/>
        <c:varyColors val="0"/>
        <c:ser>
          <c:idx val="0"/>
          <c:order val="0"/>
          <c:tx>
            <c:strRef>
              <c:f>Sayfa1!$A$26</c:f>
              <c:strCache>
                <c:ptCount val="1"/>
                <c:pt idx="0">
                  <c:v>kontrol (0 mM )</c:v>
                </c:pt>
              </c:strCache>
            </c:strRef>
          </c:tx>
          <c:invertIfNegative val="0"/>
          <c:errBars>
            <c:errBarType val="both"/>
            <c:errValType val="percentage"/>
            <c:noEndCap val="0"/>
            <c:val val="5"/>
          </c:errBars>
          <c:cat>
            <c:strRef>
              <c:f>Sayfa1!$B$25:$F$25</c:f>
              <c:strCache>
                <c:ptCount val="5"/>
                <c:pt idx="0">
                  <c:v>0.saat</c:v>
                </c:pt>
                <c:pt idx="1">
                  <c:v>6.saat</c:v>
                </c:pt>
                <c:pt idx="2">
                  <c:v>12.saat</c:v>
                </c:pt>
                <c:pt idx="3">
                  <c:v>24.saat</c:v>
                </c:pt>
                <c:pt idx="4">
                  <c:v>48.saat</c:v>
                </c:pt>
              </c:strCache>
            </c:strRef>
          </c:cat>
          <c:val>
            <c:numRef>
              <c:f>Sayfa1!$B$46:$F$46</c:f>
              <c:numCache>
                <c:formatCode>General</c:formatCode>
                <c:ptCount val="5"/>
                <c:pt idx="0" formatCode="#,##0">
                  <c:v>100</c:v>
                </c:pt>
                <c:pt idx="1">
                  <c:v>94.9</c:v>
                </c:pt>
                <c:pt idx="2">
                  <c:v>95.8</c:v>
                </c:pt>
                <c:pt idx="3">
                  <c:v>105</c:v>
                </c:pt>
                <c:pt idx="4">
                  <c:v>107</c:v>
                </c:pt>
              </c:numCache>
            </c:numRef>
          </c:val>
          <c:extLst xmlns:c16r2="http://schemas.microsoft.com/office/drawing/2015/06/chart">
            <c:ext xmlns:c16="http://schemas.microsoft.com/office/drawing/2014/chart" uri="{C3380CC4-5D6E-409C-BE32-E72D297353CC}">
              <c16:uniqueId val="{00000000-CEBF-4848-AD8A-4E82EB9A7349}"/>
            </c:ext>
          </c:extLst>
        </c:ser>
        <c:ser>
          <c:idx val="1"/>
          <c:order val="1"/>
          <c:tx>
            <c:strRef>
              <c:f>Sayfa1!$A$27</c:f>
              <c:strCache>
                <c:ptCount val="1"/>
                <c:pt idx="0">
                  <c:v>5,5 mM </c:v>
                </c:pt>
              </c:strCache>
            </c:strRef>
          </c:tx>
          <c:invertIfNegative val="0"/>
          <c:errBars>
            <c:errBarType val="both"/>
            <c:errValType val="percentage"/>
            <c:noEndCap val="0"/>
            <c:val val="5"/>
          </c:errBars>
          <c:cat>
            <c:strRef>
              <c:f>Sayfa1!$B$25:$F$25</c:f>
              <c:strCache>
                <c:ptCount val="5"/>
                <c:pt idx="0">
                  <c:v>0.saat</c:v>
                </c:pt>
                <c:pt idx="1">
                  <c:v>6.saat</c:v>
                </c:pt>
                <c:pt idx="2">
                  <c:v>12.saat</c:v>
                </c:pt>
                <c:pt idx="3">
                  <c:v>24.saat</c:v>
                </c:pt>
                <c:pt idx="4">
                  <c:v>48.saat</c:v>
                </c:pt>
              </c:strCache>
            </c:strRef>
          </c:cat>
          <c:val>
            <c:numRef>
              <c:f>Sayfa1!$B$47:$F$47</c:f>
              <c:numCache>
                <c:formatCode>General</c:formatCode>
                <c:ptCount val="5"/>
                <c:pt idx="0" formatCode="#,##0">
                  <c:v>100</c:v>
                </c:pt>
                <c:pt idx="1">
                  <c:v>99.5</c:v>
                </c:pt>
                <c:pt idx="2">
                  <c:v>95.8</c:v>
                </c:pt>
                <c:pt idx="3">
                  <c:v>94</c:v>
                </c:pt>
                <c:pt idx="4">
                  <c:v>94.6</c:v>
                </c:pt>
              </c:numCache>
            </c:numRef>
          </c:val>
          <c:extLst xmlns:c16r2="http://schemas.microsoft.com/office/drawing/2015/06/chart">
            <c:ext xmlns:c16="http://schemas.microsoft.com/office/drawing/2014/chart" uri="{C3380CC4-5D6E-409C-BE32-E72D297353CC}">
              <c16:uniqueId val="{00000001-CEBF-4848-AD8A-4E82EB9A7349}"/>
            </c:ext>
          </c:extLst>
        </c:ser>
        <c:ser>
          <c:idx val="2"/>
          <c:order val="2"/>
          <c:tx>
            <c:strRef>
              <c:f>Sayfa1!$A$28</c:f>
              <c:strCache>
                <c:ptCount val="1"/>
                <c:pt idx="0">
                  <c:v>15 mM </c:v>
                </c:pt>
              </c:strCache>
            </c:strRef>
          </c:tx>
          <c:invertIfNegative val="0"/>
          <c:errBars>
            <c:errBarType val="both"/>
            <c:errValType val="percentage"/>
            <c:noEndCap val="0"/>
            <c:val val="5"/>
          </c:errBars>
          <c:cat>
            <c:strRef>
              <c:f>Sayfa1!$B$25:$F$25</c:f>
              <c:strCache>
                <c:ptCount val="5"/>
                <c:pt idx="0">
                  <c:v>0.saat</c:v>
                </c:pt>
                <c:pt idx="1">
                  <c:v>6.saat</c:v>
                </c:pt>
                <c:pt idx="2">
                  <c:v>12.saat</c:v>
                </c:pt>
                <c:pt idx="3">
                  <c:v>24.saat</c:v>
                </c:pt>
                <c:pt idx="4">
                  <c:v>48.saat</c:v>
                </c:pt>
              </c:strCache>
            </c:strRef>
          </c:cat>
          <c:val>
            <c:numRef>
              <c:f>Sayfa1!$B$48:$F$48</c:f>
              <c:numCache>
                <c:formatCode>General</c:formatCode>
                <c:ptCount val="5"/>
                <c:pt idx="0" formatCode="#,##0">
                  <c:v>100</c:v>
                </c:pt>
                <c:pt idx="1">
                  <c:v>97.2</c:v>
                </c:pt>
                <c:pt idx="2">
                  <c:v>97.6</c:v>
                </c:pt>
                <c:pt idx="3">
                  <c:v>93.6</c:v>
                </c:pt>
                <c:pt idx="4">
                  <c:v>93.8</c:v>
                </c:pt>
              </c:numCache>
            </c:numRef>
          </c:val>
          <c:extLst xmlns:c16r2="http://schemas.microsoft.com/office/drawing/2015/06/chart">
            <c:ext xmlns:c16="http://schemas.microsoft.com/office/drawing/2014/chart" uri="{C3380CC4-5D6E-409C-BE32-E72D297353CC}">
              <c16:uniqueId val="{00000002-CEBF-4848-AD8A-4E82EB9A7349}"/>
            </c:ext>
          </c:extLst>
        </c:ser>
        <c:ser>
          <c:idx val="3"/>
          <c:order val="3"/>
          <c:tx>
            <c:strRef>
              <c:f>Sayfa1!$A$29</c:f>
              <c:strCache>
                <c:ptCount val="1"/>
                <c:pt idx="0">
                  <c:v>55 mM </c:v>
                </c:pt>
              </c:strCache>
            </c:strRef>
          </c:tx>
          <c:invertIfNegative val="0"/>
          <c:errBars>
            <c:errBarType val="both"/>
            <c:errValType val="percentage"/>
            <c:noEndCap val="0"/>
            <c:val val="5"/>
          </c:errBars>
          <c:cat>
            <c:strRef>
              <c:f>Sayfa1!$B$25:$F$25</c:f>
              <c:strCache>
                <c:ptCount val="5"/>
                <c:pt idx="0">
                  <c:v>0.saat</c:v>
                </c:pt>
                <c:pt idx="1">
                  <c:v>6.saat</c:v>
                </c:pt>
                <c:pt idx="2">
                  <c:v>12.saat</c:v>
                </c:pt>
                <c:pt idx="3">
                  <c:v>24.saat</c:v>
                </c:pt>
                <c:pt idx="4">
                  <c:v>48.saat</c:v>
                </c:pt>
              </c:strCache>
            </c:strRef>
          </c:cat>
          <c:val>
            <c:numRef>
              <c:f>Sayfa1!$B$49:$F$49</c:f>
              <c:numCache>
                <c:formatCode>General</c:formatCode>
                <c:ptCount val="5"/>
                <c:pt idx="0" formatCode="#,##0">
                  <c:v>100</c:v>
                </c:pt>
                <c:pt idx="1">
                  <c:v>107.4</c:v>
                </c:pt>
                <c:pt idx="2">
                  <c:v>100.2</c:v>
                </c:pt>
                <c:pt idx="3">
                  <c:v>92.8</c:v>
                </c:pt>
                <c:pt idx="4">
                  <c:v>94.3</c:v>
                </c:pt>
              </c:numCache>
            </c:numRef>
          </c:val>
          <c:extLst xmlns:c16r2="http://schemas.microsoft.com/office/drawing/2015/06/chart">
            <c:ext xmlns:c16="http://schemas.microsoft.com/office/drawing/2014/chart" uri="{C3380CC4-5D6E-409C-BE32-E72D297353CC}">
              <c16:uniqueId val="{00000003-CEBF-4848-AD8A-4E82EB9A7349}"/>
            </c:ext>
          </c:extLst>
        </c:ser>
        <c:dLbls>
          <c:showLegendKey val="0"/>
          <c:showVal val="0"/>
          <c:showCatName val="0"/>
          <c:showSerName val="0"/>
          <c:showPercent val="0"/>
          <c:showBubbleSize val="0"/>
        </c:dLbls>
        <c:gapWidth val="150"/>
        <c:axId val="412578176"/>
        <c:axId val="412579712"/>
      </c:barChart>
      <c:catAx>
        <c:axId val="412578176"/>
        <c:scaling>
          <c:orientation val="minMax"/>
        </c:scaling>
        <c:delete val="0"/>
        <c:axPos val="b"/>
        <c:numFmt formatCode="General" sourceLinked="0"/>
        <c:majorTickMark val="none"/>
        <c:minorTickMark val="none"/>
        <c:tickLblPos val="nextTo"/>
        <c:crossAx val="412579712"/>
        <c:crosses val="autoZero"/>
        <c:auto val="1"/>
        <c:lblAlgn val="ctr"/>
        <c:lblOffset val="100"/>
        <c:noMultiLvlLbl val="0"/>
      </c:catAx>
      <c:valAx>
        <c:axId val="412579712"/>
        <c:scaling>
          <c:orientation val="minMax"/>
        </c:scaling>
        <c:delete val="0"/>
        <c:axPos val="l"/>
        <c:title>
          <c:tx>
            <c:rich>
              <a:bodyPr rot="-5400000" vert="horz"/>
              <a:lstStyle/>
              <a:p>
                <a:pPr>
                  <a:defRPr/>
                </a:pPr>
                <a:r>
                  <a:rPr lang="tr-TR"/>
                  <a:t>Yara Açıklığı %</a:t>
                </a:r>
              </a:p>
            </c:rich>
          </c:tx>
          <c:layout>
            <c:manualLayout>
              <c:xMode val="edge"/>
              <c:yMode val="edge"/>
              <c:x val="2.719178082191781E-2"/>
              <c:y val="0.30143737241178176"/>
            </c:manualLayout>
          </c:layout>
          <c:overlay val="0"/>
        </c:title>
        <c:numFmt formatCode="#,##0" sourceLinked="1"/>
        <c:majorTickMark val="none"/>
        <c:minorTickMark val="none"/>
        <c:tickLblPos val="nextTo"/>
        <c:crossAx val="412578176"/>
        <c:crosses val="autoZero"/>
        <c:crossBetween val="between"/>
      </c:valAx>
    </c:plotArea>
    <c:legend>
      <c:legendPos val="r"/>
      <c:layout>
        <c:manualLayout>
          <c:xMode val="edge"/>
          <c:yMode val="edge"/>
          <c:x val="0.80268922629852457"/>
          <c:y val="0.39037802566345875"/>
          <c:w val="0.19731078183472192"/>
          <c:h val="0.33486876640420038"/>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11207540663256"/>
          <c:y val="9.7696850393700838E-2"/>
          <c:w val="0.7268084372665109"/>
          <c:h val="0.7324609944590259"/>
        </c:manualLayout>
      </c:layout>
      <c:lineChart>
        <c:grouping val="standard"/>
        <c:varyColors val="0"/>
        <c:ser>
          <c:idx val="0"/>
          <c:order val="0"/>
          <c:tx>
            <c:v>0 mM</c:v>
          </c:tx>
          <c:errBars>
            <c:errDir val="y"/>
            <c:errBarType val="both"/>
            <c:errValType val="stdErr"/>
            <c:noEndCap val="0"/>
          </c:errBars>
          <c:cat>
            <c:strRef>
              <c:f>PKM!$P$50:$P$53</c:f>
              <c:strCache>
                <c:ptCount val="4"/>
                <c:pt idx="0">
                  <c:v>6.saat</c:v>
                </c:pt>
                <c:pt idx="1">
                  <c:v>12.saat</c:v>
                </c:pt>
                <c:pt idx="2">
                  <c:v>24.saat</c:v>
                </c:pt>
                <c:pt idx="3">
                  <c:v>48.saat</c:v>
                </c:pt>
              </c:strCache>
            </c:strRef>
          </c:cat>
          <c:val>
            <c:numRef>
              <c:f>(PKM!$C$41;PKM!$C$54;PKM!$C$70;PKM!$C$90)</c:f>
              <c:numCache>
                <c:formatCode>General</c:formatCode>
                <c:ptCount val="4"/>
                <c:pt idx="0">
                  <c:v>1.07</c:v>
                </c:pt>
                <c:pt idx="1">
                  <c:v>1.32</c:v>
                </c:pt>
                <c:pt idx="2">
                  <c:v>0.45</c:v>
                </c:pt>
                <c:pt idx="3">
                  <c:v>0.19</c:v>
                </c:pt>
              </c:numCache>
            </c:numRef>
          </c:val>
          <c:smooth val="0"/>
          <c:extLst xmlns:c16r2="http://schemas.microsoft.com/office/drawing/2015/06/chart">
            <c:ext xmlns:c16="http://schemas.microsoft.com/office/drawing/2014/chart" uri="{C3380CC4-5D6E-409C-BE32-E72D297353CC}">
              <c16:uniqueId val="{00000000-1841-48AA-B068-B0DF31645726}"/>
            </c:ext>
          </c:extLst>
        </c:ser>
        <c:ser>
          <c:idx val="1"/>
          <c:order val="1"/>
          <c:tx>
            <c:v>5,5 mM</c:v>
          </c:tx>
          <c:errBars>
            <c:errDir val="y"/>
            <c:errBarType val="both"/>
            <c:errValType val="stdErr"/>
            <c:noEndCap val="0"/>
          </c:errBars>
          <c:cat>
            <c:strRef>
              <c:f>PKM!$P$50:$P$53</c:f>
              <c:strCache>
                <c:ptCount val="4"/>
                <c:pt idx="0">
                  <c:v>6.saat</c:v>
                </c:pt>
                <c:pt idx="1">
                  <c:v>12.saat</c:v>
                </c:pt>
                <c:pt idx="2">
                  <c:v>24.saat</c:v>
                </c:pt>
                <c:pt idx="3">
                  <c:v>48.saat</c:v>
                </c:pt>
              </c:strCache>
            </c:strRef>
          </c:cat>
          <c:val>
            <c:numRef>
              <c:f>(PKM!$C$42;PKM!$C$55;PKM!$C$71;PKM!$C$91)</c:f>
              <c:numCache>
                <c:formatCode>General</c:formatCode>
                <c:ptCount val="4"/>
                <c:pt idx="0">
                  <c:v>1.21</c:v>
                </c:pt>
                <c:pt idx="1">
                  <c:v>0.91</c:v>
                </c:pt>
                <c:pt idx="2">
                  <c:v>0.51</c:v>
                </c:pt>
                <c:pt idx="3">
                  <c:v>0.17</c:v>
                </c:pt>
              </c:numCache>
            </c:numRef>
          </c:val>
          <c:smooth val="0"/>
          <c:extLst xmlns:c16r2="http://schemas.microsoft.com/office/drawing/2015/06/chart">
            <c:ext xmlns:c16="http://schemas.microsoft.com/office/drawing/2014/chart" uri="{C3380CC4-5D6E-409C-BE32-E72D297353CC}">
              <c16:uniqueId val="{00000001-1841-48AA-B068-B0DF31645726}"/>
            </c:ext>
          </c:extLst>
        </c:ser>
        <c:ser>
          <c:idx val="2"/>
          <c:order val="2"/>
          <c:tx>
            <c:v>15 mM</c:v>
          </c:tx>
          <c:errBars>
            <c:errDir val="y"/>
            <c:errBarType val="both"/>
            <c:errValType val="stdErr"/>
            <c:noEndCap val="0"/>
          </c:errBars>
          <c:cat>
            <c:strRef>
              <c:f>PKM!$P$50:$P$53</c:f>
              <c:strCache>
                <c:ptCount val="4"/>
                <c:pt idx="0">
                  <c:v>6.saat</c:v>
                </c:pt>
                <c:pt idx="1">
                  <c:v>12.saat</c:v>
                </c:pt>
                <c:pt idx="2">
                  <c:v>24.saat</c:v>
                </c:pt>
                <c:pt idx="3">
                  <c:v>48.saat</c:v>
                </c:pt>
              </c:strCache>
            </c:strRef>
          </c:cat>
          <c:val>
            <c:numRef>
              <c:f>(PKM!$C$43;PKM!$C$56;PKM!$C$72;PKM!$C$92)</c:f>
              <c:numCache>
                <c:formatCode>General</c:formatCode>
                <c:ptCount val="4"/>
                <c:pt idx="0">
                  <c:v>1.81</c:v>
                </c:pt>
                <c:pt idx="1">
                  <c:v>0.39000000000000012</c:v>
                </c:pt>
                <c:pt idx="2">
                  <c:v>0.38000000000000012</c:v>
                </c:pt>
                <c:pt idx="3">
                  <c:v>0.88</c:v>
                </c:pt>
              </c:numCache>
            </c:numRef>
          </c:val>
          <c:smooth val="0"/>
          <c:extLst xmlns:c16r2="http://schemas.microsoft.com/office/drawing/2015/06/chart">
            <c:ext xmlns:c16="http://schemas.microsoft.com/office/drawing/2014/chart" uri="{C3380CC4-5D6E-409C-BE32-E72D297353CC}">
              <c16:uniqueId val="{00000002-1841-48AA-B068-B0DF31645726}"/>
            </c:ext>
          </c:extLst>
        </c:ser>
        <c:ser>
          <c:idx val="3"/>
          <c:order val="3"/>
          <c:tx>
            <c:v>55 mM</c:v>
          </c:tx>
          <c:errBars>
            <c:errDir val="y"/>
            <c:errBarType val="both"/>
            <c:errValType val="stdErr"/>
            <c:noEndCap val="0"/>
          </c:errBars>
          <c:cat>
            <c:strRef>
              <c:f>PKM!$P$50:$P$53</c:f>
              <c:strCache>
                <c:ptCount val="4"/>
                <c:pt idx="0">
                  <c:v>6.saat</c:v>
                </c:pt>
                <c:pt idx="1">
                  <c:v>12.saat</c:v>
                </c:pt>
                <c:pt idx="2">
                  <c:v>24.saat</c:v>
                </c:pt>
                <c:pt idx="3">
                  <c:v>48.saat</c:v>
                </c:pt>
              </c:strCache>
            </c:strRef>
          </c:cat>
          <c:val>
            <c:numRef>
              <c:f>(PKM!$C$44;PKM!$C$57;PKM!$C$73;PKM!$C$93)</c:f>
              <c:numCache>
                <c:formatCode>General</c:formatCode>
                <c:ptCount val="4"/>
                <c:pt idx="0">
                  <c:v>1.52</c:v>
                </c:pt>
                <c:pt idx="1">
                  <c:v>0.22</c:v>
                </c:pt>
                <c:pt idx="2">
                  <c:v>0.51</c:v>
                </c:pt>
                <c:pt idx="3">
                  <c:v>0.98</c:v>
                </c:pt>
              </c:numCache>
            </c:numRef>
          </c:val>
          <c:smooth val="0"/>
          <c:extLst xmlns:c16r2="http://schemas.microsoft.com/office/drawing/2015/06/chart">
            <c:ext xmlns:c16="http://schemas.microsoft.com/office/drawing/2014/chart" uri="{C3380CC4-5D6E-409C-BE32-E72D297353CC}">
              <c16:uniqueId val="{00000003-1841-48AA-B068-B0DF31645726}"/>
            </c:ext>
          </c:extLst>
        </c:ser>
        <c:dLbls>
          <c:showLegendKey val="0"/>
          <c:showVal val="0"/>
          <c:showCatName val="0"/>
          <c:showSerName val="0"/>
          <c:showPercent val="0"/>
          <c:showBubbleSize val="0"/>
        </c:dLbls>
        <c:marker val="1"/>
        <c:smooth val="0"/>
        <c:axId val="386994176"/>
        <c:axId val="386996096"/>
      </c:lineChart>
      <c:catAx>
        <c:axId val="386994176"/>
        <c:scaling>
          <c:orientation val="minMax"/>
        </c:scaling>
        <c:delete val="0"/>
        <c:axPos val="b"/>
        <c:title>
          <c:tx>
            <c:rich>
              <a:bodyPr/>
              <a:lstStyle/>
              <a:p>
                <a:pPr>
                  <a:defRPr/>
                </a:pPr>
                <a:r>
                  <a:rPr lang="tr-TR"/>
                  <a:t>HİPOKSİ</a:t>
                </a:r>
              </a:p>
            </c:rich>
          </c:tx>
          <c:layout>
            <c:manualLayout>
              <c:xMode val="edge"/>
              <c:yMode val="edge"/>
              <c:x val="0.41809406903984969"/>
              <c:y val="1.7569262175561394E-2"/>
            </c:manualLayout>
          </c:layout>
          <c:overlay val="0"/>
        </c:title>
        <c:numFmt formatCode="General" sourceLinked="0"/>
        <c:majorTickMark val="out"/>
        <c:minorTickMark val="none"/>
        <c:tickLblPos val="nextTo"/>
        <c:crossAx val="386996096"/>
        <c:crosses val="autoZero"/>
        <c:auto val="1"/>
        <c:lblAlgn val="ctr"/>
        <c:lblOffset val="100"/>
        <c:noMultiLvlLbl val="0"/>
      </c:catAx>
      <c:valAx>
        <c:axId val="386996096"/>
        <c:scaling>
          <c:orientation val="minMax"/>
        </c:scaling>
        <c:delete val="0"/>
        <c:axPos val="l"/>
        <c:title>
          <c:tx>
            <c:rich>
              <a:bodyPr rot="-5400000" vert="horz"/>
              <a:lstStyle/>
              <a:p>
                <a:pPr>
                  <a:defRPr/>
                </a:pPr>
                <a:r>
                  <a:rPr lang="tr-TR"/>
                  <a:t>PKM2 ng/mL</a:t>
                </a:r>
              </a:p>
            </c:rich>
          </c:tx>
          <c:layout>
            <c:manualLayout>
              <c:xMode val="edge"/>
              <c:yMode val="edge"/>
              <c:x val="2.0646762904636934E-2"/>
              <c:y val="0.32571203652101299"/>
            </c:manualLayout>
          </c:layout>
          <c:overlay val="0"/>
        </c:title>
        <c:numFmt formatCode="General" sourceLinked="1"/>
        <c:majorTickMark val="out"/>
        <c:minorTickMark val="none"/>
        <c:tickLblPos val="nextTo"/>
        <c:crossAx val="386994176"/>
        <c:crosses val="autoZero"/>
        <c:crossBetween val="between"/>
      </c:valAx>
    </c:plotArea>
    <c:legend>
      <c:legendPos val="r"/>
      <c:layout>
        <c:manualLayout>
          <c:xMode val="edge"/>
          <c:yMode val="edge"/>
          <c:x val="0.80586811023622051"/>
          <c:y val="0.33256561679790064"/>
          <c:w val="0.18281036745406823"/>
          <c:h val="0.33486876640419994"/>
        </c:manualLayout>
      </c:layout>
      <c:overlay val="0"/>
    </c:legend>
    <c:plotVisOnly val="1"/>
    <c:dispBlanksAs val="gap"/>
    <c:showDLblsOverMax val="0"/>
  </c:chart>
  <c:spPr>
    <a:solidFill>
      <a:schemeClr val="bg1">
        <a:lumMod val="75000"/>
      </a:schemeClr>
    </a:solidFill>
  </c:spPr>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3600240594925633"/>
          <c:y val="0.13010425780110821"/>
          <c:w val="0.71541557305336834"/>
          <c:h val="0.70005358705161858"/>
        </c:manualLayout>
      </c:layout>
      <c:barChart>
        <c:barDir val="col"/>
        <c:grouping val="clustered"/>
        <c:varyColors val="0"/>
        <c:ser>
          <c:idx val="0"/>
          <c:order val="0"/>
          <c:tx>
            <c:v>6.saat</c:v>
          </c:tx>
          <c:invertIfNegative val="0"/>
          <c:errBars>
            <c:errBarType val="both"/>
            <c:errValType val="stdErr"/>
            <c:noEndCap val="0"/>
          </c:errBars>
          <c:cat>
            <c:strRef>
              <c:f>PKM!$P$57:$P$60</c:f>
              <c:strCache>
                <c:ptCount val="4"/>
                <c:pt idx="0">
                  <c:v> 0 mM </c:v>
                </c:pt>
                <c:pt idx="1">
                  <c:v> 5,5 mM </c:v>
                </c:pt>
                <c:pt idx="2">
                  <c:v> 15 mM </c:v>
                </c:pt>
                <c:pt idx="3">
                  <c:v>55 mM </c:v>
                </c:pt>
              </c:strCache>
            </c:strRef>
          </c:cat>
          <c:val>
            <c:numRef>
              <c:f>PKM!$C$37:$C$40</c:f>
              <c:numCache>
                <c:formatCode>General</c:formatCode>
                <c:ptCount val="4"/>
                <c:pt idx="0">
                  <c:v>1.8460000000000001</c:v>
                </c:pt>
                <c:pt idx="1">
                  <c:v>2.73</c:v>
                </c:pt>
                <c:pt idx="2">
                  <c:v>2.0299999999999998</c:v>
                </c:pt>
                <c:pt idx="3">
                  <c:v>1.87</c:v>
                </c:pt>
              </c:numCache>
            </c:numRef>
          </c:val>
          <c:extLst xmlns:c16r2="http://schemas.microsoft.com/office/drawing/2015/06/chart">
            <c:ext xmlns:c16="http://schemas.microsoft.com/office/drawing/2014/chart" uri="{C3380CC4-5D6E-409C-BE32-E72D297353CC}">
              <c16:uniqueId val="{00000000-32FD-4A91-A4F4-C2998F3B9A09}"/>
            </c:ext>
          </c:extLst>
        </c:ser>
        <c:ser>
          <c:idx val="1"/>
          <c:order val="1"/>
          <c:tx>
            <c:v>12.saat</c:v>
          </c:tx>
          <c:invertIfNegative val="0"/>
          <c:errBars>
            <c:errBarType val="both"/>
            <c:errValType val="stdErr"/>
            <c:noEndCap val="0"/>
          </c:errBars>
          <c:cat>
            <c:strRef>
              <c:f>PKM!$P$57:$P$60</c:f>
              <c:strCache>
                <c:ptCount val="4"/>
                <c:pt idx="0">
                  <c:v> 0 mM </c:v>
                </c:pt>
                <c:pt idx="1">
                  <c:v> 5,5 mM </c:v>
                </c:pt>
                <c:pt idx="2">
                  <c:v> 15 mM </c:v>
                </c:pt>
                <c:pt idx="3">
                  <c:v>55 mM </c:v>
                </c:pt>
              </c:strCache>
            </c:strRef>
          </c:cat>
          <c:val>
            <c:numRef>
              <c:f>PKM!$C$50:$C$53</c:f>
              <c:numCache>
                <c:formatCode>General</c:formatCode>
                <c:ptCount val="4"/>
                <c:pt idx="0">
                  <c:v>0.78</c:v>
                </c:pt>
                <c:pt idx="1">
                  <c:v>0.78</c:v>
                </c:pt>
                <c:pt idx="2">
                  <c:v>1.23</c:v>
                </c:pt>
                <c:pt idx="3">
                  <c:v>1.08</c:v>
                </c:pt>
              </c:numCache>
            </c:numRef>
          </c:val>
          <c:extLst xmlns:c16r2="http://schemas.microsoft.com/office/drawing/2015/06/chart">
            <c:ext xmlns:c16="http://schemas.microsoft.com/office/drawing/2014/chart" uri="{C3380CC4-5D6E-409C-BE32-E72D297353CC}">
              <c16:uniqueId val="{00000001-32FD-4A91-A4F4-C2998F3B9A09}"/>
            </c:ext>
          </c:extLst>
        </c:ser>
        <c:ser>
          <c:idx val="2"/>
          <c:order val="2"/>
          <c:tx>
            <c:v>24.saat</c:v>
          </c:tx>
          <c:invertIfNegative val="0"/>
          <c:errBars>
            <c:errBarType val="both"/>
            <c:errValType val="stdErr"/>
            <c:noEndCap val="0"/>
          </c:errBars>
          <c:cat>
            <c:strRef>
              <c:f>PKM!$P$57:$P$60</c:f>
              <c:strCache>
                <c:ptCount val="4"/>
                <c:pt idx="0">
                  <c:v> 0 mM </c:v>
                </c:pt>
                <c:pt idx="1">
                  <c:v> 5,5 mM </c:v>
                </c:pt>
                <c:pt idx="2">
                  <c:v> 15 mM </c:v>
                </c:pt>
                <c:pt idx="3">
                  <c:v>55 mM </c:v>
                </c:pt>
              </c:strCache>
            </c:strRef>
          </c:cat>
          <c:val>
            <c:numRef>
              <c:f>PKM!$C$66:$C$69</c:f>
              <c:numCache>
                <c:formatCode>General</c:formatCode>
                <c:ptCount val="4"/>
                <c:pt idx="0">
                  <c:v>0.65000000000000024</c:v>
                </c:pt>
                <c:pt idx="1">
                  <c:v>0.92</c:v>
                </c:pt>
                <c:pt idx="2">
                  <c:v>0.68</c:v>
                </c:pt>
                <c:pt idx="3">
                  <c:v>0.7300000000000002</c:v>
                </c:pt>
              </c:numCache>
            </c:numRef>
          </c:val>
          <c:extLst xmlns:c16r2="http://schemas.microsoft.com/office/drawing/2015/06/chart">
            <c:ext xmlns:c16="http://schemas.microsoft.com/office/drawing/2014/chart" uri="{C3380CC4-5D6E-409C-BE32-E72D297353CC}">
              <c16:uniqueId val="{00000002-32FD-4A91-A4F4-C2998F3B9A09}"/>
            </c:ext>
          </c:extLst>
        </c:ser>
        <c:ser>
          <c:idx val="3"/>
          <c:order val="3"/>
          <c:tx>
            <c:v>48.saat</c:v>
          </c:tx>
          <c:invertIfNegative val="0"/>
          <c:errBars>
            <c:errBarType val="both"/>
            <c:errValType val="stdErr"/>
            <c:noEndCap val="0"/>
          </c:errBars>
          <c:cat>
            <c:strRef>
              <c:f>PKM!$P$57:$P$60</c:f>
              <c:strCache>
                <c:ptCount val="4"/>
                <c:pt idx="0">
                  <c:v> 0 mM </c:v>
                </c:pt>
                <c:pt idx="1">
                  <c:v> 5,5 mM </c:v>
                </c:pt>
                <c:pt idx="2">
                  <c:v> 15 mM </c:v>
                </c:pt>
                <c:pt idx="3">
                  <c:v>55 mM </c:v>
                </c:pt>
              </c:strCache>
            </c:strRef>
          </c:cat>
          <c:val>
            <c:numRef>
              <c:f>PKM!$C$86:$C$89</c:f>
              <c:numCache>
                <c:formatCode>General</c:formatCode>
                <c:ptCount val="4"/>
                <c:pt idx="0">
                  <c:v>0.82000000000000017</c:v>
                </c:pt>
                <c:pt idx="1">
                  <c:v>1.84</c:v>
                </c:pt>
                <c:pt idx="2">
                  <c:v>1.33</c:v>
                </c:pt>
                <c:pt idx="3">
                  <c:v>0.93</c:v>
                </c:pt>
              </c:numCache>
            </c:numRef>
          </c:val>
          <c:extLst xmlns:c16r2="http://schemas.microsoft.com/office/drawing/2015/06/chart">
            <c:ext xmlns:c16="http://schemas.microsoft.com/office/drawing/2014/chart" uri="{C3380CC4-5D6E-409C-BE32-E72D297353CC}">
              <c16:uniqueId val="{00000003-32FD-4A91-A4F4-C2998F3B9A09}"/>
            </c:ext>
          </c:extLst>
        </c:ser>
        <c:dLbls>
          <c:showLegendKey val="0"/>
          <c:showVal val="0"/>
          <c:showCatName val="0"/>
          <c:showSerName val="0"/>
          <c:showPercent val="0"/>
          <c:showBubbleSize val="0"/>
        </c:dLbls>
        <c:gapWidth val="150"/>
        <c:axId val="387042688"/>
        <c:axId val="387053056"/>
      </c:barChart>
      <c:catAx>
        <c:axId val="387042688"/>
        <c:scaling>
          <c:orientation val="minMax"/>
        </c:scaling>
        <c:delete val="0"/>
        <c:axPos val="b"/>
        <c:title>
          <c:tx>
            <c:rich>
              <a:bodyPr/>
              <a:lstStyle/>
              <a:p>
                <a:pPr>
                  <a:defRPr/>
                </a:pPr>
                <a:r>
                  <a:rPr lang="tr-TR"/>
                  <a:t>NORMOKSİ</a:t>
                </a:r>
              </a:p>
            </c:rich>
          </c:tx>
          <c:layout>
            <c:manualLayout>
              <c:xMode val="edge"/>
              <c:yMode val="edge"/>
              <c:x val="0.41406430446194231"/>
              <c:y val="4.0717410323709624E-2"/>
            </c:manualLayout>
          </c:layout>
          <c:overlay val="0"/>
        </c:title>
        <c:numFmt formatCode="General" sourceLinked="0"/>
        <c:majorTickMark val="out"/>
        <c:minorTickMark val="none"/>
        <c:tickLblPos val="nextTo"/>
        <c:crossAx val="387053056"/>
        <c:crosses val="autoZero"/>
        <c:auto val="1"/>
        <c:lblAlgn val="ctr"/>
        <c:lblOffset val="100"/>
        <c:noMultiLvlLbl val="0"/>
      </c:catAx>
      <c:valAx>
        <c:axId val="387053056"/>
        <c:scaling>
          <c:orientation val="minMax"/>
        </c:scaling>
        <c:delete val="0"/>
        <c:axPos val="l"/>
        <c:title>
          <c:tx>
            <c:rich>
              <a:bodyPr rot="-5400000" vert="horz"/>
              <a:lstStyle/>
              <a:p>
                <a:pPr>
                  <a:defRPr/>
                </a:pPr>
                <a:r>
                  <a:rPr lang="tr-TR"/>
                  <a:t>PKM2 pg/mL</a:t>
                </a:r>
              </a:p>
            </c:rich>
          </c:tx>
          <c:layout>
            <c:manualLayout>
              <c:xMode val="edge"/>
              <c:yMode val="edge"/>
              <c:x val="2.6905768368941294E-2"/>
              <c:y val="0.33260673686223607"/>
            </c:manualLayout>
          </c:layout>
          <c:overlay val="0"/>
        </c:title>
        <c:numFmt formatCode="General" sourceLinked="1"/>
        <c:majorTickMark val="out"/>
        <c:minorTickMark val="none"/>
        <c:tickLblPos val="nextTo"/>
        <c:crossAx val="38704268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14472735851838744"/>
          <c:y val="0.1023264800233305"/>
          <c:w val="0.73222112860892385"/>
          <c:h val="0.74729913969087325"/>
        </c:manualLayout>
      </c:layout>
      <c:barChart>
        <c:barDir val="col"/>
        <c:grouping val="clustered"/>
        <c:varyColors val="0"/>
        <c:ser>
          <c:idx val="0"/>
          <c:order val="0"/>
          <c:tx>
            <c:v>6.saat</c:v>
          </c:tx>
          <c:invertIfNegative val="0"/>
          <c:errBars>
            <c:errBarType val="both"/>
            <c:errValType val="stdErr"/>
            <c:noEndCap val="0"/>
          </c:errBars>
          <c:cat>
            <c:strRef>
              <c:f>PKM!$P$57:$P$60</c:f>
              <c:strCache>
                <c:ptCount val="4"/>
                <c:pt idx="0">
                  <c:v> 0 mM </c:v>
                </c:pt>
                <c:pt idx="1">
                  <c:v> 5,5 mM </c:v>
                </c:pt>
                <c:pt idx="2">
                  <c:v> 15 mM </c:v>
                </c:pt>
                <c:pt idx="3">
                  <c:v>55 mM </c:v>
                </c:pt>
              </c:strCache>
            </c:strRef>
          </c:cat>
          <c:val>
            <c:numRef>
              <c:f>PKM!$C$41:$C$44</c:f>
              <c:numCache>
                <c:formatCode>General</c:formatCode>
                <c:ptCount val="4"/>
                <c:pt idx="0">
                  <c:v>1.07</c:v>
                </c:pt>
                <c:pt idx="1">
                  <c:v>1.21</c:v>
                </c:pt>
                <c:pt idx="2">
                  <c:v>1.81</c:v>
                </c:pt>
                <c:pt idx="3">
                  <c:v>1.52</c:v>
                </c:pt>
              </c:numCache>
            </c:numRef>
          </c:val>
          <c:extLst xmlns:c16r2="http://schemas.microsoft.com/office/drawing/2015/06/chart">
            <c:ext xmlns:c16="http://schemas.microsoft.com/office/drawing/2014/chart" uri="{C3380CC4-5D6E-409C-BE32-E72D297353CC}">
              <c16:uniqueId val="{00000000-E157-4F48-85DE-5A3EE2B96B2E}"/>
            </c:ext>
          </c:extLst>
        </c:ser>
        <c:ser>
          <c:idx val="1"/>
          <c:order val="1"/>
          <c:tx>
            <c:v>12.saat</c:v>
          </c:tx>
          <c:invertIfNegative val="0"/>
          <c:errBars>
            <c:errBarType val="both"/>
            <c:errValType val="stdErr"/>
            <c:noEndCap val="0"/>
          </c:errBars>
          <c:cat>
            <c:strRef>
              <c:f>PKM!$P$57:$P$60</c:f>
              <c:strCache>
                <c:ptCount val="4"/>
                <c:pt idx="0">
                  <c:v> 0 mM </c:v>
                </c:pt>
                <c:pt idx="1">
                  <c:v> 5,5 mM </c:v>
                </c:pt>
                <c:pt idx="2">
                  <c:v> 15 mM </c:v>
                </c:pt>
                <c:pt idx="3">
                  <c:v>55 mM </c:v>
                </c:pt>
              </c:strCache>
            </c:strRef>
          </c:cat>
          <c:val>
            <c:numRef>
              <c:f>PKM!$C$54:$C$57</c:f>
              <c:numCache>
                <c:formatCode>General</c:formatCode>
                <c:ptCount val="4"/>
                <c:pt idx="0">
                  <c:v>1.32</c:v>
                </c:pt>
                <c:pt idx="1">
                  <c:v>0.91</c:v>
                </c:pt>
                <c:pt idx="2">
                  <c:v>0.39000000000000012</c:v>
                </c:pt>
                <c:pt idx="3">
                  <c:v>0.22</c:v>
                </c:pt>
              </c:numCache>
            </c:numRef>
          </c:val>
          <c:extLst xmlns:c16r2="http://schemas.microsoft.com/office/drawing/2015/06/chart">
            <c:ext xmlns:c16="http://schemas.microsoft.com/office/drawing/2014/chart" uri="{C3380CC4-5D6E-409C-BE32-E72D297353CC}">
              <c16:uniqueId val="{00000001-E157-4F48-85DE-5A3EE2B96B2E}"/>
            </c:ext>
          </c:extLst>
        </c:ser>
        <c:ser>
          <c:idx val="2"/>
          <c:order val="2"/>
          <c:tx>
            <c:v>24.saat</c:v>
          </c:tx>
          <c:invertIfNegative val="0"/>
          <c:errBars>
            <c:errBarType val="both"/>
            <c:errValType val="stdErr"/>
            <c:noEndCap val="0"/>
          </c:errBars>
          <c:cat>
            <c:strRef>
              <c:f>PKM!$P$57:$P$60</c:f>
              <c:strCache>
                <c:ptCount val="4"/>
                <c:pt idx="0">
                  <c:v> 0 mM </c:v>
                </c:pt>
                <c:pt idx="1">
                  <c:v> 5,5 mM </c:v>
                </c:pt>
                <c:pt idx="2">
                  <c:v> 15 mM </c:v>
                </c:pt>
                <c:pt idx="3">
                  <c:v>55 mM </c:v>
                </c:pt>
              </c:strCache>
            </c:strRef>
          </c:cat>
          <c:val>
            <c:numRef>
              <c:f>PKM!$C$70:$C$73</c:f>
              <c:numCache>
                <c:formatCode>General</c:formatCode>
                <c:ptCount val="4"/>
                <c:pt idx="0">
                  <c:v>0.45</c:v>
                </c:pt>
                <c:pt idx="1">
                  <c:v>0.51</c:v>
                </c:pt>
                <c:pt idx="2">
                  <c:v>0.38000000000000012</c:v>
                </c:pt>
                <c:pt idx="3">
                  <c:v>0.51</c:v>
                </c:pt>
              </c:numCache>
            </c:numRef>
          </c:val>
          <c:extLst xmlns:c16r2="http://schemas.microsoft.com/office/drawing/2015/06/chart">
            <c:ext xmlns:c16="http://schemas.microsoft.com/office/drawing/2014/chart" uri="{C3380CC4-5D6E-409C-BE32-E72D297353CC}">
              <c16:uniqueId val="{00000002-E157-4F48-85DE-5A3EE2B96B2E}"/>
            </c:ext>
          </c:extLst>
        </c:ser>
        <c:ser>
          <c:idx val="3"/>
          <c:order val="3"/>
          <c:tx>
            <c:v>48.saat</c:v>
          </c:tx>
          <c:invertIfNegative val="0"/>
          <c:errBars>
            <c:errBarType val="both"/>
            <c:errValType val="stdErr"/>
            <c:noEndCap val="0"/>
          </c:errBars>
          <c:cat>
            <c:strRef>
              <c:f>PKM!$P$57:$P$60</c:f>
              <c:strCache>
                <c:ptCount val="4"/>
                <c:pt idx="0">
                  <c:v> 0 mM </c:v>
                </c:pt>
                <c:pt idx="1">
                  <c:v> 5,5 mM </c:v>
                </c:pt>
                <c:pt idx="2">
                  <c:v> 15 mM </c:v>
                </c:pt>
                <c:pt idx="3">
                  <c:v>55 mM </c:v>
                </c:pt>
              </c:strCache>
            </c:strRef>
          </c:cat>
          <c:val>
            <c:numRef>
              <c:f>PKM!$C$90:$C$93</c:f>
              <c:numCache>
                <c:formatCode>General</c:formatCode>
                <c:ptCount val="4"/>
                <c:pt idx="0">
                  <c:v>0.19</c:v>
                </c:pt>
                <c:pt idx="1">
                  <c:v>0.17</c:v>
                </c:pt>
                <c:pt idx="2">
                  <c:v>0.88</c:v>
                </c:pt>
                <c:pt idx="3">
                  <c:v>0.98</c:v>
                </c:pt>
              </c:numCache>
            </c:numRef>
          </c:val>
          <c:extLst xmlns:c16r2="http://schemas.microsoft.com/office/drawing/2015/06/chart">
            <c:ext xmlns:c16="http://schemas.microsoft.com/office/drawing/2014/chart" uri="{C3380CC4-5D6E-409C-BE32-E72D297353CC}">
              <c16:uniqueId val="{00000003-E157-4F48-85DE-5A3EE2B96B2E}"/>
            </c:ext>
          </c:extLst>
        </c:ser>
        <c:dLbls>
          <c:showLegendKey val="0"/>
          <c:showVal val="0"/>
          <c:showCatName val="0"/>
          <c:showSerName val="0"/>
          <c:showPercent val="0"/>
          <c:showBubbleSize val="0"/>
        </c:dLbls>
        <c:gapWidth val="150"/>
        <c:axId val="387156992"/>
        <c:axId val="387159168"/>
      </c:barChart>
      <c:catAx>
        <c:axId val="387156992"/>
        <c:scaling>
          <c:orientation val="minMax"/>
        </c:scaling>
        <c:delete val="0"/>
        <c:axPos val="b"/>
        <c:title>
          <c:tx>
            <c:rich>
              <a:bodyPr/>
              <a:lstStyle/>
              <a:p>
                <a:pPr>
                  <a:defRPr/>
                </a:pPr>
                <a:r>
                  <a:rPr lang="tr-TR"/>
                  <a:t>HİPOKSİ</a:t>
                </a:r>
              </a:p>
            </c:rich>
          </c:tx>
          <c:layout>
            <c:manualLayout>
              <c:xMode val="edge"/>
              <c:yMode val="edge"/>
              <c:x val="0.4360313387792818"/>
              <c:y val="2.682852143482067E-2"/>
            </c:manualLayout>
          </c:layout>
          <c:overlay val="0"/>
        </c:title>
        <c:numFmt formatCode="General" sourceLinked="0"/>
        <c:majorTickMark val="out"/>
        <c:minorTickMark val="none"/>
        <c:tickLblPos val="nextTo"/>
        <c:crossAx val="387159168"/>
        <c:crosses val="autoZero"/>
        <c:auto val="1"/>
        <c:lblAlgn val="ctr"/>
        <c:lblOffset val="100"/>
        <c:noMultiLvlLbl val="0"/>
      </c:catAx>
      <c:valAx>
        <c:axId val="387159168"/>
        <c:scaling>
          <c:orientation val="minMax"/>
        </c:scaling>
        <c:delete val="0"/>
        <c:axPos val="l"/>
        <c:title>
          <c:tx>
            <c:rich>
              <a:bodyPr rot="-5400000" vert="horz"/>
              <a:lstStyle/>
              <a:p>
                <a:pPr>
                  <a:defRPr/>
                </a:pPr>
                <a:r>
                  <a:rPr lang="tr-TR"/>
                  <a:t>PKM2 pg/mL</a:t>
                </a:r>
              </a:p>
            </c:rich>
          </c:tx>
          <c:layout>
            <c:manualLayout>
              <c:xMode val="edge"/>
              <c:yMode val="edge"/>
              <c:x val="2.7123140857392831E-2"/>
              <c:y val="0.32374509598353468"/>
            </c:manualLayout>
          </c:layout>
          <c:overlay val="0"/>
        </c:title>
        <c:numFmt formatCode="General" sourceLinked="1"/>
        <c:majorTickMark val="out"/>
        <c:minorTickMark val="none"/>
        <c:tickLblPos val="nextTo"/>
        <c:crossAx val="387156992"/>
        <c:crosses val="autoZero"/>
        <c:crossBetween val="between"/>
      </c:valAx>
    </c:plotArea>
    <c:legend>
      <c:legendPos val="r"/>
      <c:layout>
        <c:manualLayout>
          <c:xMode val="edge"/>
          <c:yMode val="edge"/>
          <c:x val="0.87772922134733156"/>
          <c:y val="0.34226898932657945"/>
          <c:w val="0.12227077865266842"/>
          <c:h val="0.31652227313663295"/>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0 mM Glukoz</a:t>
            </a:r>
          </a:p>
        </c:rich>
      </c:tx>
      <c:layout>
        <c:manualLayout>
          <c:xMode val="edge"/>
          <c:yMode val="edge"/>
          <c:x val="0.40411111111111109"/>
          <c:y val="5.555555555555549E-2"/>
        </c:manualLayout>
      </c:layout>
      <c:overlay val="0"/>
    </c:title>
    <c:autoTitleDeleted val="0"/>
    <c:plotArea>
      <c:layout>
        <c:manualLayout>
          <c:layoutTarget val="inner"/>
          <c:xMode val="edge"/>
          <c:yMode val="edge"/>
          <c:x val="0.17781802274715691"/>
          <c:y val="0.17628499562554681"/>
          <c:w val="0.71940419947506551"/>
          <c:h val="0.54261555847185772"/>
        </c:manualLayout>
      </c:layout>
      <c:barChart>
        <c:barDir val="col"/>
        <c:grouping val="clustered"/>
        <c:varyColors val="0"/>
        <c:ser>
          <c:idx val="0"/>
          <c:order val="0"/>
          <c:tx>
            <c:v>normoksi</c:v>
          </c:tx>
          <c:invertIfNegative val="0"/>
          <c:errBars>
            <c:errBarType val="both"/>
            <c:errValType val="stdErr"/>
            <c:noEndCap val="0"/>
          </c:errBars>
          <c:cat>
            <c:strRef>
              <c:f>PKM!$P$50:$P$53</c:f>
              <c:strCache>
                <c:ptCount val="4"/>
                <c:pt idx="0">
                  <c:v>6.saat</c:v>
                </c:pt>
                <c:pt idx="1">
                  <c:v>12.saat</c:v>
                </c:pt>
                <c:pt idx="2">
                  <c:v>24.saat</c:v>
                </c:pt>
                <c:pt idx="3">
                  <c:v>48.saat</c:v>
                </c:pt>
              </c:strCache>
            </c:strRef>
          </c:cat>
          <c:val>
            <c:numRef>
              <c:f>'[ELISA SONUÇLAR SON.xlsx]PKM'!$C$37,'[ELISA SONUÇLAR SON.xlsx]PKM'!$C$50,'[ELISA SONUÇLAR SON.xlsx]PKM'!$C$66,'[ELISA SONUÇLAR SON.xlsx]PKM'!$C$86</c:f>
              <c:numCache>
                <c:formatCode>General</c:formatCode>
                <c:ptCount val="4"/>
                <c:pt idx="0">
                  <c:v>1.83</c:v>
                </c:pt>
                <c:pt idx="1">
                  <c:v>0.78</c:v>
                </c:pt>
                <c:pt idx="2">
                  <c:v>0.64000000000000579</c:v>
                </c:pt>
                <c:pt idx="3">
                  <c:v>0.82000000000000062</c:v>
                </c:pt>
              </c:numCache>
            </c:numRef>
          </c:val>
          <c:extLst xmlns:c16r2="http://schemas.microsoft.com/office/drawing/2015/06/chart">
            <c:ext xmlns:c16="http://schemas.microsoft.com/office/drawing/2014/chart" uri="{C3380CC4-5D6E-409C-BE32-E72D297353CC}">
              <c16:uniqueId val="{00000000-433F-41AD-95F7-9CF6A5630B58}"/>
            </c:ext>
          </c:extLst>
        </c:ser>
        <c:ser>
          <c:idx val="1"/>
          <c:order val="1"/>
          <c:tx>
            <c:v>hipoksi</c:v>
          </c:tx>
          <c:invertIfNegative val="0"/>
          <c:errBars>
            <c:errBarType val="both"/>
            <c:errValType val="stdErr"/>
            <c:noEndCap val="0"/>
          </c:errBars>
          <c:cat>
            <c:strRef>
              <c:f>PKM!$P$50:$P$53</c:f>
              <c:strCache>
                <c:ptCount val="4"/>
                <c:pt idx="0">
                  <c:v>6.saat</c:v>
                </c:pt>
                <c:pt idx="1">
                  <c:v>12.saat</c:v>
                </c:pt>
                <c:pt idx="2">
                  <c:v>24.saat</c:v>
                </c:pt>
                <c:pt idx="3">
                  <c:v>48.saat</c:v>
                </c:pt>
              </c:strCache>
            </c:strRef>
          </c:cat>
          <c:val>
            <c:numRef>
              <c:f>'[ELISA SONUÇLAR SON.xlsx]PKM'!$C$41,'[ELISA SONUÇLAR SON.xlsx]PKM'!$C$54,'[ELISA SONUÇLAR SON.xlsx]PKM'!$C$70,'[ELISA SONUÇLAR SON.xlsx]PKM'!$C$90</c:f>
              <c:numCache>
                <c:formatCode>General</c:formatCode>
                <c:ptCount val="4"/>
                <c:pt idx="0">
                  <c:v>1.07</c:v>
                </c:pt>
                <c:pt idx="1">
                  <c:v>1.33</c:v>
                </c:pt>
                <c:pt idx="2">
                  <c:v>0.45</c:v>
                </c:pt>
                <c:pt idx="3">
                  <c:v>0.19</c:v>
                </c:pt>
              </c:numCache>
            </c:numRef>
          </c:val>
          <c:extLst xmlns:c16r2="http://schemas.microsoft.com/office/drawing/2015/06/chart">
            <c:ext xmlns:c16="http://schemas.microsoft.com/office/drawing/2014/chart" uri="{C3380CC4-5D6E-409C-BE32-E72D297353CC}">
              <c16:uniqueId val="{00000001-433F-41AD-95F7-9CF6A5630B58}"/>
            </c:ext>
          </c:extLst>
        </c:ser>
        <c:dLbls>
          <c:showLegendKey val="0"/>
          <c:showVal val="0"/>
          <c:showCatName val="0"/>
          <c:showSerName val="0"/>
          <c:showPercent val="0"/>
          <c:showBubbleSize val="0"/>
        </c:dLbls>
        <c:gapWidth val="150"/>
        <c:axId val="387181952"/>
        <c:axId val="388076672"/>
      </c:barChart>
      <c:catAx>
        <c:axId val="387181952"/>
        <c:scaling>
          <c:orientation val="minMax"/>
        </c:scaling>
        <c:delete val="0"/>
        <c:axPos val="b"/>
        <c:numFmt formatCode="General" sourceLinked="0"/>
        <c:majorTickMark val="none"/>
        <c:minorTickMark val="none"/>
        <c:tickLblPos val="nextTo"/>
        <c:crossAx val="388076672"/>
        <c:crosses val="autoZero"/>
        <c:auto val="1"/>
        <c:lblAlgn val="ctr"/>
        <c:lblOffset val="100"/>
        <c:noMultiLvlLbl val="0"/>
      </c:catAx>
      <c:valAx>
        <c:axId val="388076672"/>
        <c:scaling>
          <c:orientation val="minMax"/>
        </c:scaling>
        <c:delete val="0"/>
        <c:axPos val="l"/>
        <c:title>
          <c:tx>
            <c:rich>
              <a:bodyPr/>
              <a:lstStyle/>
              <a:p>
                <a:pPr>
                  <a:defRPr sz="1000">
                    <a:latin typeface="Times New Roman" pitchFamily="18" charset="0"/>
                    <a:cs typeface="Times New Roman" pitchFamily="18" charset="0"/>
                  </a:defRPr>
                </a:pPr>
                <a:r>
                  <a:rPr lang="tr-TR" sz="1000">
                    <a:latin typeface="Times New Roman" pitchFamily="18" charset="0"/>
                    <a:cs typeface="Times New Roman" pitchFamily="18" charset="0"/>
                  </a:rPr>
                  <a:t>PKM2 ng/mL</a:t>
                </a:r>
              </a:p>
            </c:rich>
          </c:tx>
          <c:layout>
            <c:manualLayout>
              <c:xMode val="edge"/>
              <c:yMode val="edge"/>
              <c:x val="4.9102799650043848E-2"/>
              <c:y val="0.33840296004666159"/>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38718195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tr-TR"/>
          </a:p>
        </c:txPr>
      </c:dTable>
    </c:plotArea>
    <c:plotVisOnly val="1"/>
    <c:dispBlanksAs val="gap"/>
    <c:showDLblsOverMax val="0"/>
  </c:chart>
  <c:externalData r:id="rId1">
    <c:autoUpdate val="0"/>
  </c:externalData>
  <c:userShapes r:id="rId2"/>
</c:chartSpace>
</file>

<file path=word/drawings/_rels/drawing15.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21.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22.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24.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25.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26.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27.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28.xml.rels><?xml version="1.0" encoding="UTF-8" standalone="yes"?>
<Relationships xmlns="http://schemas.openxmlformats.org/package/2006/relationships"><Relationship Id="rId1" Type="http://schemas.openxmlformats.org/officeDocument/2006/relationships/image" Target="../media/image39.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8.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38.png"/></Relationships>
</file>

<file path=word/drawings/drawing1.xml><?xml version="1.0" encoding="utf-8"?>
<c:userShapes xmlns:c="http://schemas.openxmlformats.org/drawingml/2006/chart">
  <cdr:relSizeAnchor xmlns:cdr="http://schemas.openxmlformats.org/drawingml/2006/chartDrawing">
    <cdr:from>
      <cdr:x>0.41091</cdr:x>
      <cdr:y>0.02741</cdr:y>
    </cdr:from>
    <cdr:to>
      <cdr:x>0.61091</cdr:x>
      <cdr:y>0.12463</cdr:y>
    </cdr:to>
    <cdr:sp macro="" textlink="">
      <cdr:nvSpPr>
        <cdr:cNvPr id="2" name="1 Metin kutusu"/>
        <cdr:cNvSpPr txBox="1"/>
      </cdr:nvSpPr>
      <cdr:spPr>
        <a:xfrm xmlns:a="http://schemas.openxmlformats.org/drawingml/2006/main">
          <a:off x="2360358" y="85204"/>
          <a:ext cx="1148842" cy="3022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tr-TR" sz="1000" b="1">
              <a:solidFill>
                <a:schemeClr val="bg1"/>
              </a:solidFill>
              <a:latin typeface="Times New Roman" pitchFamily="18" charset="0"/>
              <a:cs typeface="Times New Roman" pitchFamily="18" charset="0"/>
            </a:rPr>
            <a:t>Normoksi</a:t>
          </a:r>
        </a:p>
      </cdr:txBody>
    </cdr:sp>
  </cdr:relSizeAnchor>
</c:userShapes>
</file>

<file path=word/drawings/drawing10.xml><?xml version="1.0" encoding="utf-8"?>
<c:userShapes xmlns:c="http://schemas.openxmlformats.org/drawingml/2006/chart">
  <cdr:relSizeAnchor xmlns:cdr="http://schemas.openxmlformats.org/drawingml/2006/chartDrawing">
    <cdr:from>
      <cdr:x>0.85417</cdr:x>
      <cdr:y>0.40625</cdr:y>
    </cdr:from>
    <cdr:to>
      <cdr:x>0.90993</cdr:x>
      <cdr:y>0.50269</cdr:y>
    </cdr:to>
    <cdr:sp macro="" textlink="">
      <cdr:nvSpPr>
        <cdr:cNvPr id="2" name="15 Metin kutusu"/>
        <cdr:cNvSpPr txBox="1"/>
      </cdr:nvSpPr>
      <cdr:spPr>
        <a:xfrm xmlns:a="http://schemas.openxmlformats.org/drawingml/2006/main">
          <a:off x="3905250" y="111442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0.65208</cdr:x>
      <cdr:y>0.41319</cdr:y>
    </cdr:from>
    <cdr:to>
      <cdr:x>0.70784</cdr:x>
      <cdr:y>0.50963</cdr:y>
    </cdr:to>
    <cdr:sp macro="" textlink="">
      <cdr:nvSpPr>
        <cdr:cNvPr id="3" name="15 Metin kutusu"/>
        <cdr:cNvSpPr txBox="1"/>
      </cdr:nvSpPr>
      <cdr:spPr>
        <a:xfrm xmlns:a="http://schemas.openxmlformats.org/drawingml/2006/main">
          <a:off x="2981325" y="11334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0.4625</cdr:x>
      <cdr:y>0.375</cdr:y>
    </cdr:from>
    <cdr:to>
      <cdr:x>0.51826</cdr:x>
      <cdr:y>0.47144</cdr:y>
    </cdr:to>
    <cdr:sp macro="" textlink="">
      <cdr:nvSpPr>
        <cdr:cNvPr id="4" name="15 Metin kutusu"/>
        <cdr:cNvSpPr txBox="1"/>
      </cdr:nvSpPr>
      <cdr:spPr>
        <a:xfrm xmlns:a="http://schemas.openxmlformats.org/drawingml/2006/main">
          <a:off x="2114550" y="102870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0.27083</cdr:x>
      <cdr:y>0.14236</cdr:y>
    </cdr:from>
    <cdr:to>
      <cdr:x>0.32659</cdr:x>
      <cdr:y>0.2388</cdr:y>
    </cdr:to>
    <cdr:sp macro="" textlink="">
      <cdr:nvSpPr>
        <cdr:cNvPr id="5" name="15 Metin kutusu"/>
        <cdr:cNvSpPr txBox="1"/>
      </cdr:nvSpPr>
      <cdr:spPr>
        <a:xfrm xmlns:a="http://schemas.openxmlformats.org/drawingml/2006/main">
          <a:off x="1238250" y="39052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0.85625</cdr:x>
      <cdr:y>0.42361</cdr:y>
    </cdr:from>
    <cdr:to>
      <cdr:x>0.91201</cdr:x>
      <cdr:y>0.52005</cdr:y>
    </cdr:to>
    <cdr:sp macro="" textlink="">
      <cdr:nvSpPr>
        <cdr:cNvPr id="4" name="15 Metin kutusu"/>
        <cdr:cNvSpPr txBox="1"/>
      </cdr:nvSpPr>
      <cdr:spPr>
        <a:xfrm xmlns:a="http://schemas.openxmlformats.org/drawingml/2006/main">
          <a:off x="3914775" y="116205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0.65833</cdr:x>
      <cdr:y>0.41319</cdr:y>
    </cdr:from>
    <cdr:to>
      <cdr:x>0.71409</cdr:x>
      <cdr:y>0.50963</cdr:y>
    </cdr:to>
    <cdr:sp macro="" textlink="">
      <cdr:nvSpPr>
        <cdr:cNvPr id="5" name="15 Metin kutusu"/>
        <cdr:cNvSpPr txBox="1"/>
      </cdr:nvSpPr>
      <cdr:spPr>
        <a:xfrm xmlns:a="http://schemas.openxmlformats.org/drawingml/2006/main">
          <a:off x="3009900" y="11334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0.46667</cdr:x>
      <cdr:y>0.40625</cdr:y>
    </cdr:from>
    <cdr:to>
      <cdr:x>0.52243</cdr:x>
      <cdr:y>0.50269</cdr:y>
    </cdr:to>
    <cdr:sp macro="" textlink="">
      <cdr:nvSpPr>
        <cdr:cNvPr id="6" name="15 Metin kutusu"/>
        <cdr:cNvSpPr txBox="1"/>
      </cdr:nvSpPr>
      <cdr:spPr>
        <a:xfrm xmlns:a="http://schemas.openxmlformats.org/drawingml/2006/main">
          <a:off x="2133600" y="111442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0.26875</cdr:x>
      <cdr:y>0.3125</cdr:y>
    </cdr:from>
    <cdr:to>
      <cdr:x>0.32451</cdr:x>
      <cdr:y>0.40894</cdr:y>
    </cdr:to>
    <cdr:sp macro="" textlink="">
      <cdr:nvSpPr>
        <cdr:cNvPr id="7" name="15 Metin kutusu"/>
        <cdr:cNvSpPr txBox="1"/>
      </cdr:nvSpPr>
      <cdr:spPr>
        <a:xfrm xmlns:a="http://schemas.openxmlformats.org/drawingml/2006/main">
          <a:off x="1228725" y="85725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12.xml><?xml version="1.0" encoding="utf-8"?>
<c:userShapes xmlns:c="http://schemas.openxmlformats.org/drawingml/2006/chart">
  <cdr:relSizeAnchor xmlns:cdr="http://schemas.openxmlformats.org/drawingml/2006/chartDrawing">
    <cdr:from>
      <cdr:x>0.85833</cdr:x>
      <cdr:y>0.46875</cdr:y>
    </cdr:from>
    <cdr:to>
      <cdr:x>0.91409</cdr:x>
      <cdr:y>0.56519</cdr:y>
    </cdr:to>
    <cdr:sp macro="" textlink="">
      <cdr:nvSpPr>
        <cdr:cNvPr id="2" name="15 Metin kutusu"/>
        <cdr:cNvSpPr txBox="1"/>
      </cdr:nvSpPr>
      <cdr:spPr>
        <a:xfrm xmlns:a="http://schemas.openxmlformats.org/drawingml/2006/main">
          <a:off x="3924300" y="12858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0.66042</cdr:x>
      <cdr:y>0.36806</cdr:y>
    </cdr:from>
    <cdr:to>
      <cdr:x>0.71618</cdr:x>
      <cdr:y>0.4645</cdr:y>
    </cdr:to>
    <cdr:sp macro="" textlink="">
      <cdr:nvSpPr>
        <cdr:cNvPr id="3" name="15 Metin kutusu"/>
        <cdr:cNvSpPr txBox="1"/>
      </cdr:nvSpPr>
      <cdr:spPr>
        <a:xfrm xmlns:a="http://schemas.openxmlformats.org/drawingml/2006/main">
          <a:off x="3019425" y="100965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0.46875</cdr:x>
      <cdr:y>0.33681</cdr:y>
    </cdr:from>
    <cdr:to>
      <cdr:x>0.52451</cdr:x>
      <cdr:y>0.43403</cdr:y>
    </cdr:to>
    <cdr:sp macro="" textlink="">
      <cdr:nvSpPr>
        <cdr:cNvPr id="4" name="15 Metin kutusu"/>
        <cdr:cNvSpPr txBox="1"/>
      </cdr:nvSpPr>
      <cdr:spPr>
        <a:xfrm xmlns:a="http://schemas.openxmlformats.org/drawingml/2006/main">
          <a:off x="2143125" y="923925"/>
          <a:ext cx="254935" cy="2667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0.27292</cdr:x>
      <cdr:y>0.24653</cdr:y>
    </cdr:from>
    <cdr:to>
      <cdr:x>0.32868</cdr:x>
      <cdr:y>0.34297</cdr:y>
    </cdr:to>
    <cdr:sp macro="" textlink="">
      <cdr:nvSpPr>
        <cdr:cNvPr id="5" name="15 Metin kutusu"/>
        <cdr:cNvSpPr txBox="1"/>
      </cdr:nvSpPr>
      <cdr:spPr>
        <a:xfrm xmlns:a="http://schemas.openxmlformats.org/drawingml/2006/main">
          <a:off x="1247775" y="6762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0.85417</cdr:x>
      <cdr:y>0.42014</cdr:y>
    </cdr:from>
    <cdr:to>
      <cdr:x>0.90993</cdr:x>
      <cdr:y>0.51658</cdr:y>
    </cdr:to>
    <cdr:sp macro="" textlink="">
      <cdr:nvSpPr>
        <cdr:cNvPr id="2" name="15 Metin kutusu"/>
        <cdr:cNvSpPr txBox="1"/>
      </cdr:nvSpPr>
      <cdr:spPr>
        <a:xfrm xmlns:a="http://schemas.openxmlformats.org/drawingml/2006/main">
          <a:off x="3905250" y="115252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0.65625</cdr:x>
      <cdr:y>0.42361</cdr:y>
    </cdr:from>
    <cdr:to>
      <cdr:x>0.71201</cdr:x>
      <cdr:y>0.52005</cdr:y>
    </cdr:to>
    <cdr:sp macro="" textlink="">
      <cdr:nvSpPr>
        <cdr:cNvPr id="3" name="15 Metin kutusu"/>
        <cdr:cNvSpPr txBox="1"/>
      </cdr:nvSpPr>
      <cdr:spPr>
        <a:xfrm xmlns:a="http://schemas.openxmlformats.org/drawingml/2006/main">
          <a:off x="3000375" y="116205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0.46667</cdr:x>
      <cdr:y>0.42708</cdr:y>
    </cdr:from>
    <cdr:to>
      <cdr:x>0.52243</cdr:x>
      <cdr:y>0.52352</cdr:y>
    </cdr:to>
    <cdr:sp macro="" textlink="">
      <cdr:nvSpPr>
        <cdr:cNvPr id="4" name="15 Metin kutusu"/>
        <cdr:cNvSpPr txBox="1"/>
      </cdr:nvSpPr>
      <cdr:spPr>
        <a:xfrm xmlns:a="http://schemas.openxmlformats.org/drawingml/2006/main">
          <a:off x="2133600" y="11715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0.26875</cdr:x>
      <cdr:y>0.29167</cdr:y>
    </cdr:from>
    <cdr:to>
      <cdr:x>0.32451</cdr:x>
      <cdr:y>0.38811</cdr:y>
    </cdr:to>
    <cdr:sp macro="" textlink="">
      <cdr:nvSpPr>
        <cdr:cNvPr id="5" name="15 Metin kutusu"/>
        <cdr:cNvSpPr txBox="1"/>
      </cdr:nvSpPr>
      <cdr:spPr>
        <a:xfrm xmlns:a="http://schemas.openxmlformats.org/drawingml/2006/main">
          <a:off x="1228725" y="80010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0.85625</cdr:x>
      <cdr:y>0.35764</cdr:y>
    </cdr:from>
    <cdr:to>
      <cdr:x>0.91201</cdr:x>
      <cdr:y>0.45408</cdr:y>
    </cdr:to>
    <cdr:sp macro="" textlink="">
      <cdr:nvSpPr>
        <cdr:cNvPr id="2" name="15 Metin kutusu"/>
        <cdr:cNvSpPr txBox="1"/>
      </cdr:nvSpPr>
      <cdr:spPr>
        <a:xfrm xmlns:a="http://schemas.openxmlformats.org/drawingml/2006/main">
          <a:off x="3914775" y="9810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0.66042</cdr:x>
      <cdr:y>0.35764</cdr:y>
    </cdr:from>
    <cdr:to>
      <cdr:x>0.71618</cdr:x>
      <cdr:y>0.45408</cdr:y>
    </cdr:to>
    <cdr:sp macro="" textlink="">
      <cdr:nvSpPr>
        <cdr:cNvPr id="3" name="15 Metin kutusu"/>
        <cdr:cNvSpPr txBox="1"/>
      </cdr:nvSpPr>
      <cdr:spPr>
        <a:xfrm xmlns:a="http://schemas.openxmlformats.org/drawingml/2006/main">
          <a:off x="3019425" y="9810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0.46875</cdr:x>
      <cdr:y>0.43056</cdr:y>
    </cdr:from>
    <cdr:to>
      <cdr:x>0.52451</cdr:x>
      <cdr:y>0.527</cdr:y>
    </cdr:to>
    <cdr:sp macro="" textlink="">
      <cdr:nvSpPr>
        <cdr:cNvPr id="4" name="15 Metin kutusu"/>
        <cdr:cNvSpPr txBox="1"/>
      </cdr:nvSpPr>
      <cdr:spPr>
        <a:xfrm xmlns:a="http://schemas.openxmlformats.org/drawingml/2006/main">
          <a:off x="2143125" y="118110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0.27083</cdr:x>
      <cdr:y>0.23958</cdr:y>
    </cdr:from>
    <cdr:to>
      <cdr:x>0.32659</cdr:x>
      <cdr:y>0.33602</cdr:y>
    </cdr:to>
    <cdr:sp macro="" textlink="">
      <cdr:nvSpPr>
        <cdr:cNvPr id="5" name="15 Metin kutusu"/>
        <cdr:cNvSpPr txBox="1"/>
      </cdr:nvSpPr>
      <cdr:spPr>
        <a:xfrm xmlns:a="http://schemas.openxmlformats.org/drawingml/2006/main">
          <a:off x="1238250" y="65722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0.85278</cdr:x>
      <cdr:y>0.27547</cdr:y>
    </cdr:from>
    <cdr:to>
      <cdr:x>0.90854</cdr:x>
      <cdr:y>0.37191</cdr:y>
    </cdr:to>
    <cdr:sp macro="" textlink="">
      <cdr:nvSpPr>
        <cdr:cNvPr id="3" name="15 Metin kutusu"/>
        <cdr:cNvSpPr txBox="1"/>
      </cdr:nvSpPr>
      <cdr:spPr>
        <a:xfrm xmlns:a="http://schemas.openxmlformats.org/drawingml/2006/main">
          <a:off x="3898915" y="755662"/>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p xmlns:a="http://schemas.openxmlformats.org/drawingml/2006/main">
          <a:r>
            <a:rPr lang="tr-TR">
              <a:solidFill>
                <a:schemeClr val="bg1"/>
              </a:solidFill>
            </a:rPr>
            <a:t>*</a:t>
          </a:r>
        </a:p>
      </cdr:txBody>
    </cdr:sp>
  </cdr:relSizeAnchor>
  <cdr:relSizeAnchor xmlns:cdr="http://schemas.openxmlformats.org/drawingml/2006/chartDrawing">
    <cdr:from>
      <cdr:x>0.81181</cdr:x>
      <cdr:y>0.25232</cdr:y>
    </cdr:from>
    <cdr:to>
      <cdr:x>0.86757</cdr:x>
      <cdr:y>0.34876</cdr:y>
    </cdr:to>
    <cdr:sp macro="" textlink="">
      <cdr:nvSpPr>
        <cdr:cNvPr id="6" name="15 Metin kutusu"/>
        <cdr:cNvSpPr txBox="1"/>
      </cdr:nvSpPr>
      <cdr:spPr>
        <a:xfrm xmlns:a="http://schemas.openxmlformats.org/drawingml/2006/main">
          <a:off x="3711590" y="692162"/>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0.66598</cdr:x>
      <cdr:y>0.06482</cdr:y>
    </cdr:from>
    <cdr:to>
      <cdr:x>0.72174</cdr:x>
      <cdr:y>0.16126</cdr:y>
    </cdr:to>
    <cdr:sp macro="" textlink="">
      <cdr:nvSpPr>
        <cdr:cNvPr id="8" name="15 Metin kutusu"/>
        <cdr:cNvSpPr txBox="1"/>
      </cdr:nvSpPr>
      <cdr:spPr>
        <a:xfrm xmlns:a="http://schemas.openxmlformats.org/drawingml/2006/main">
          <a:off x="3044840" y="177812"/>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0.66667</cdr:x>
      <cdr:y>0.38542</cdr:y>
    </cdr:from>
    <cdr:to>
      <cdr:x>0.71867</cdr:x>
      <cdr:y>0.49432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48000" y="1057275"/>
          <a:ext cx="237765" cy="298730"/>
        </a:xfrm>
        <a:prstGeom xmlns:a="http://schemas.openxmlformats.org/drawingml/2006/main" prst="rect">
          <a:avLst/>
        </a:prstGeom>
      </cdr:spPr>
    </cdr:pic>
  </cdr:relSizeAnchor>
  <cdr:relSizeAnchor xmlns:cdr="http://schemas.openxmlformats.org/drawingml/2006/chartDrawing">
    <cdr:from>
      <cdr:x>0.27986</cdr:x>
      <cdr:y>0.35186</cdr:y>
    </cdr:from>
    <cdr:to>
      <cdr:x>0.33186</cdr:x>
      <cdr:y>0.46076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79540" y="965209"/>
          <a:ext cx="237744" cy="298735"/>
        </a:xfrm>
        <a:prstGeom xmlns:a="http://schemas.openxmlformats.org/drawingml/2006/main" prst="rect">
          <a:avLst/>
        </a:prstGeom>
      </cdr:spPr>
    </cdr:pic>
  </cdr:relSizeAnchor>
  <cdr:relSizeAnchor xmlns:cdr="http://schemas.openxmlformats.org/drawingml/2006/chartDrawing">
    <cdr:from>
      <cdr:x>0.47153</cdr:x>
      <cdr:y>0.16783</cdr:y>
    </cdr:from>
    <cdr:to>
      <cdr:x>0.52353</cdr:x>
      <cdr:y>0.27673</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55840" y="460384"/>
          <a:ext cx="237744" cy="298735"/>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0.29236</cdr:x>
      <cdr:y>0.36111</cdr:y>
    </cdr:from>
    <cdr:to>
      <cdr:x>0.34436</cdr:x>
      <cdr:y>0.47117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36690" y="990600"/>
          <a:ext cx="237744" cy="301919"/>
        </a:xfrm>
        <a:prstGeom xmlns:a="http://schemas.openxmlformats.org/drawingml/2006/main" prst="rect">
          <a:avLst/>
        </a:prstGeom>
      </cdr:spPr>
    </cdr:pic>
  </cdr:relSizeAnchor>
  <cdr:relSizeAnchor xmlns:cdr="http://schemas.openxmlformats.org/drawingml/2006/chartDrawing">
    <cdr:from>
      <cdr:x>0.48611</cdr:x>
      <cdr:y>0.28936</cdr:y>
    </cdr:from>
    <cdr:to>
      <cdr:x>0.53811</cdr:x>
      <cdr:y>0.39826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22515" y="793759"/>
          <a:ext cx="237744" cy="298735"/>
        </a:xfrm>
        <a:prstGeom xmlns:a="http://schemas.openxmlformats.org/drawingml/2006/main" prst="rect">
          <a:avLst/>
        </a:prstGeom>
      </cdr:spPr>
    </cdr:pic>
  </cdr:relSizeAnchor>
  <cdr:relSizeAnchor xmlns:cdr="http://schemas.openxmlformats.org/drawingml/2006/chartDrawing">
    <cdr:from>
      <cdr:x>0.67778</cdr:x>
      <cdr:y>0.11227</cdr:y>
    </cdr:from>
    <cdr:to>
      <cdr:x>0.72978</cdr:x>
      <cdr:y>0.22117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98815" y="307984"/>
          <a:ext cx="237744" cy="298735"/>
        </a:xfrm>
        <a:prstGeom xmlns:a="http://schemas.openxmlformats.org/drawingml/2006/main" prst="rect">
          <a:avLst/>
        </a:prstGeom>
      </cdr:spPr>
    </cdr:pic>
  </cdr:relSizeAnchor>
  <cdr:relSizeAnchor xmlns:cdr="http://schemas.openxmlformats.org/drawingml/2006/chartDrawing">
    <cdr:from>
      <cdr:x>0.87153</cdr:x>
      <cdr:y>0.15394</cdr:y>
    </cdr:from>
    <cdr:to>
      <cdr:x>0.92353</cdr:x>
      <cdr:y>0.26284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84640" y="422284"/>
          <a:ext cx="237744" cy="298735"/>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0.2757</cdr:x>
      <cdr:y>0.39352</cdr:y>
    </cdr:from>
    <cdr:to>
      <cdr:x>0.3277</cdr:x>
      <cdr:y>0.50242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60490" y="1079509"/>
          <a:ext cx="237744" cy="298735"/>
        </a:xfrm>
        <a:prstGeom xmlns:a="http://schemas.openxmlformats.org/drawingml/2006/main" prst="rect">
          <a:avLst/>
        </a:prstGeom>
      </cdr:spPr>
    </cdr:pic>
  </cdr:relSizeAnchor>
  <cdr:relSizeAnchor xmlns:cdr="http://schemas.openxmlformats.org/drawingml/2006/chartDrawing">
    <cdr:from>
      <cdr:x>0.47361</cdr:x>
      <cdr:y>0.46991</cdr:y>
    </cdr:from>
    <cdr:to>
      <cdr:x>0.52561</cdr:x>
      <cdr:y>0.57881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65365" y="1289059"/>
          <a:ext cx="237744" cy="298735"/>
        </a:xfrm>
        <a:prstGeom xmlns:a="http://schemas.openxmlformats.org/drawingml/2006/main" prst="rect">
          <a:avLst/>
        </a:prstGeom>
      </cdr:spPr>
    </cdr:pic>
  </cdr:relSizeAnchor>
  <cdr:relSizeAnchor xmlns:cdr="http://schemas.openxmlformats.org/drawingml/2006/chartDrawing">
    <cdr:from>
      <cdr:x>0.66945</cdr:x>
      <cdr:y>0.28588</cdr:y>
    </cdr:from>
    <cdr:to>
      <cdr:x>0.72145</cdr:x>
      <cdr:y>0.39478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60715" y="784234"/>
          <a:ext cx="237744" cy="298735"/>
        </a:xfrm>
        <a:prstGeom xmlns:a="http://schemas.openxmlformats.org/drawingml/2006/main" prst="rect">
          <a:avLst/>
        </a:prstGeom>
      </cdr:spPr>
    </cdr:pic>
  </cdr:relSizeAnchor>
  <cdr:relSizeAnchor xmlns:cdr="http://schemas.openxmlformats.org/drawingml/2006/chartDrawing">
    <cdr:from>
      <cdr:x>0.85903</cdr:x>
      <cdr:y>0.34144</cdr:y>
    </cdr:from>
    <cdr:to>
      <cdr:x>0.91103</cdr:x>
      <cdr:y>0.45034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27490" y="936634"/>
          <a:ext cx="237744" cy="298735"/>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0.6632</cdr:x>
      <cdr:y>0.36227</cdr:y>
    </cdr:from>
    <cdr:to>
      <cdr:x>0.7152</cdr:x>
      <cdr:y>0.47117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32140" y="993784"/>
          <a:ext cx="237744" cy="298735"/>
        </a:xfrm>
        <a:prstGeom xmlns:a="http://schemas.openxmlformats.org/drawingml/2006/main" prst="rect">
          <a:avLst/>
        </a:prstGeom>
      </cdr:spPr>
    </cdr:pic>
  </cdr:relSizeAnchor>
  <cdr:relSizeAnchor xmlns:cdr="http://schemas.openxmlformats.org/drawingml/2006/chartDrawing">
    <cdr:from>
      <cdr:x>0.26945</cdr:x>
      <cdr:y>0.19561</cdr:y>
    </cdr:from>
    <cdr:to>
      <cdr:x>0.32145</cdr:x>
      <cdr:y>0.30451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31915" y="536584"/>
          <a:ext cx="237744" cy="298735"/>
        </a:xfrm>
        <a:prstGeom xmlns:a="http://schemas.openxmlformats.org/drawingml/2006/main" prst="rect">
          <a:avLst/>
        </a:prstGeom>
      </cdr:spPr>
    </cdr:pic>
  </cdr:relSizeAnchor>
  <cdr:relSizeAnchor xmlns:cdr="http://schemas.openxmlformats.org/drawingml/2006/chartDrawing">
    <cdr:from>
      <cdr:x>0.46111</cdr:x>
      <cdr:y>0.40047</cdr:y>
    </cdr:from>
    <cdr:to>
      <cdr:x>0.51311</cdr:x>
      <cdr:y>0.50937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08215" y="1098559"/>
          <a:ext cx="237744" cy="298735"/>
        </a:xfrm>
        <a:prstGeom xmlns:a="http://schemas.openxmlformats.org/drawingml/2006/main" prst="rect">
          <a:avLst/>
        </a:prstGeom>
      </cdr:spPr>
    </cdr:pic>
  </cdr:relSizeAnchor>
  <cdr:relSizeAnchor xmlns:cdr="http://schemas.openxmlformats.org/drawingml/2006/chartDrawing">
    <cdr:from>
      <cdr:x>0.85903</cdr:x>
      <cdr:y>0.1713</cdr:y>
    </cdr:from>
    <cdr:to>
      <cdr:x>0.91103</cdr:x>
      <cdr:y>0.2802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27490" y="469909"/>
          <a:ext cx="237744" cy="298735"/>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0.85303</cdr:x>
      <cdr:y>0.46156</cdr:y>
    </cdr:from>
    <cdr:to>
      <cdr:x>0.90539</cdr:x>
      <cdr:y>0.5715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3515" y="1254134"/>
          <a:ext cx="237744" cy="298735"/>
        </a:xfrm>
        <a:prstGeom xmlns:a="http://schemas.openxmlformats.org/drawingml/2006/main" prst="rect">
          <a:avLst/>
        </a:prstGeom>
      </cdr:spPr>
    </cdr:pic>
  </cdr:relSizeAnchor>
  <cdr:relSizeAnchor xmlns:cdr="http://schemas.openxmlformats.org/drawingml/2006/chartDrawing">
    <cdr:from>
      <cdr:x>0.66005</cdr:x>
      <cdr:y>0.22319</cdr:y>
    </cdr:from>
    <cdr:to>
      <cdr:x>0.71241</cdr:x>
      <cdr:y>0.33313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97215" y="606434"/>
          <a:ext cx="237744" cy="298735"/>
        </a:xfrm>
        <a:prstGeom xmlns:a="http://schemas.openxmlformats.org/drawingml/2006/main" prst="rect">
          <a:avLst/>
        </a:prstGeom>
      </cdr:spPr>
    </cdr:pic>
  </cdr:relSizeAnchor>
  <cdr:relSizeAnchor xmlns:cdr="http://schemas.openxmlformats.org/drawingml/2006/chartDrawing">
    <cdr:from>
      <cdr:x>0.27829</cdr:x>
      <cdr:y>0.18112</cdr:y>
    </cdr:from>
    <cdr:to>
      <cdr:x>0.33064</cdr:x>
      <cdr:y>0.29106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63665" y="492134"/>
          <a:ext cx="237744" cy="29873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0.42767</cdr:x>
      <cdr:y>0.02787</cdr:y>
    </cdr:from>
    <cdr:to>
      <cdr:x>0.55202</cdr:x>
      <cdr:y>0.1156</cdr:y>
    </cdr:to>
    <cdr:sp macro="" textlink="">
      <cdr:nvSpPr>
        <cdr:cNvPr id="2" name="7 Metin kutusu"/>
        <cdr:cNvSpPr txBox="1"/>
      </cdr:nvSpPr>
      <cdr:spPr>
        <a:xfrm xmlns:a="http://schemas.openxmlformats.org/drawingml/2006/main">
          <a:off x="2106040" y="76200"/>
          <a:ext cx="612347" cy="23980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000" b="1">
              <a:solidFill>
                <a:schemeClr val="bg1"/>
              </a:solidFill>
              <a:latin typeface="Times New Roman" pitchFamily="18" charset="0"/>
              <a:cs typeface="Times New Roman" pitchFamily="18" charset="0"/>
            </a:rPr>
            <a:t>Hipoksi</a:t>
          </a:r>
        </a:p>
      </cdr:txBody>
    </cdr:sp>
  </cdr:relSizeAnchor>
</c:userShapes>
</file>

<file path=word/drawings/drawing20.xml><?xml version="1.0" encoding="utf-8"?>
<c:userShapes xmlns:c="http://schemas.openxmlformats.org/drawingml/2006/chart">
  <cdr:relSizeAnchor xmlns:cdr="http://schemas.openxmlformats.org/drawingml/2006/chartDrawing">
    <cdr:from>
      <cdr:x>0.85932</cdr:x>
      <cdr:y>0.19164</cdr:y>
    </cdr:from>
    <cdr:to>
      <cdr:x>0.91168</cdr:x>
      <cdr:y>0.30158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02090" y="520709"/>
          <a:ext cx="237744" cy="298735"/>
        </a:xfrm>
        <a:prstGeom xmlns:a="http://schemas.openxmlformats.org/drawingml/2006/main" prst="rect">
          <a:avLst/>
        </a:prstGeom>
      </cdr:spPr>
    </cdr:pic>
  </cdr:relSizeAnchor>
  <cdr:relSizeAnchor xmlns:cdr="http://schemas.openxmlformats.org/drawingml/2006/chartDrawing">
    <cdr:from>
      <cdr:x>0.66844</cdr:x>
      <cdr:y>0.30031</cdr:y>
    </cdr:from>
    <cdr:to>
      <cdr:x>0.7208</cdr:x>
      <cdr:y>0.41025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35315" y="815984"/>
          <a:ext cx="237744" cy="298735"/>
        </a:xfrm>
        <a:prstGeom xmlns:a="http://schemas.openxmlformats.org/drawingml/2006/main" prst="rect">
          <a:avLst/>
        </a:prstGeom>
      </cdr:spPr>
    </cdr:pic>
  </cdr:relSizeAnchor>
  <cdr:relSizeAnchor xmlns:cdr="http://schemas.openxmlformats.org/drawingml/2006/chartDrawing">
    <cdr:from>
      <cdr:x>0.27619</cdr:x>
      <cdr:y>0.41949</cdr:y>
    </cdr:from>
    <cdr:to>
      <cdr:x>0.32854</cdr:x>
      <cdr:y>0.52944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54140" y="1139834"/>
          <a:ext cx="237744" cy="298735"/>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0.85939</cdr:x>
      <cdr:y>0.14007</cdr:y>
    </cdr:from>
    <cdr:to>
      <cdr:x>0.90684</cdr:x>
      <cdr:y>0.22349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05681" y="501659"/>
          <a:ext cx="237744" cy="298735"/>
        </a:xfrm>
        <a:prstGeom xmlns:a="http://schemas.openxmlformats.org/drawingml/2006/main" prst="rect">
          <a:avLst/>
        </a:prstGeom>
      </cdr:spPr>
    </cdr:pic>
  </cdr:relSizeAnchor>
  <cdr:relSizeAnchor xmlns:cdr="http://schemas.openxmlformats.org/drawingml/2006/chartDrawing">
    <cdr:from>
      <cdr:x>0.67237</cdr:x>
      <cdr:y>0.11614</cdr:y>
    </cdr:from>
    <cdr:to>
      <cdr:x>0.71983</cdr:x>
      <cdr:y>0.19955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68690" y="415934"/>
          <a:ext cx="237744" cy="298735"/>
        </a:xfrm>
        <a:prstGeom xmlns:a="http://schemas.openxmlformats.org/drawingml/2006/main" prst="rect">
          <a:avLst/>
        </a:prstGeom>
      </cdr:spPr>
    </cdr:pic>
  </cdr:relSizeAnchor>
  <cdr:relSizeAnchor xmlns:cdr="http://schemas.openxmlformats.org/drawingml/2006/chartDrawing">
    <cdr:from>
      <cdr:x>0.47465</cdr:x>
      <cdr:y>0.3883</cdr:y>
    </cdr:from>
    <cdr:to>
      <cdr:x>0.52211</cdr:x>
      <cdr:y>0.46551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78090" y="1390650"/>
          <a:ext cx="237744" cy="276519"/>
        </a:xfrm>
        <a:prstGeom xmlns:a="http://schemas.openxmlformats.org/drawingml/2006/main" prst="rect">
          <a:avLst/>
        </a:prstGeom>
      </cdr:spPr>
    </cdr:pic>
  </cdr:relSizeAnchor>
  <cdr:relSizeAnchor xmlns:cdr="http://schemas.openxmlformats.org/drawingml/2006/chartDrawing">
    <cdr:from>
      <cdr:x>0.27694</cdr:x>
      <cdr:y>0.15071</cdr:y>
    </cdr:from>
    <cdr:to>
      <cdr:x>0.32439</cdr:x>
      <cdr:y>0.23412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87490" y="539759"/>
          <a:ext cx="237744" cy="298735"/>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0.86002</cdr:x>
      <cdr:y>0.23676</cdr:y>
    </cdr:from>
    <cdr:to>
      <cdr:x>0.91588</cdr:x>
      <cdr:y>0.354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05250" y="643618"/>
          <a:ext cx="253634" cy="318701"/>
        </a:xfrm>
        <a:prstGeom xmlns:a="http://schemas.openxmlformats.org/drawingml/2006/main" prst="rect">
          <a:avLst/>
        </a:prstGeom>
      </cdr:spPr>
    </cdr:pic>
  </cdr:relSizeAnchor>
  <cdr:relSizeAnchor xmlns:cdr="http://schemas.openxmlformats.org/drawingml/2006/chartDrawing">
    <cdr:from>
      <cdr:x>0.66844</cdr:x>
      <cdr:y>0.39477</cdr:y>
    </cdr:from>
    <cdr:to>
      <cdr:x>0.7208</cdr:x>
      <cdr:y>0.50466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35315" y="1073159"/>
          <a:ext cx="237744" cy="298735"/>
        </a:xfrm>
        <a:prstGeom xmlns:a="http://schemas.openxmlformats.org/drawingml/2006/main" prst="rect">
          <a:avLst/>
        </a:prstGeom>
      </cdr:spPr>
    </cdr:pic>
  </cdr:relSizeAnchor>
  <cdr:relSizeAnchor xmlns:cdr="http://schemas.openxmlformats.org/drawingml/2006/chartDrawing">
    <cdr:from>
      <cdr:x>0.47127</cdr:x>
      <cdr:y>0.4193</cdr:y>
    </cdr:from>
    <cdr:to>
      <cdr:x>0.52362</cdr:x>
      <cdr:y>0.52919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39965" y="1139834"/>
          <a:ext cx="237744" cy="298735"/>
        </a:xfrm>
        <a:prstGeom xmlns:a="http://schemas.openxmlformats.org/drawingml/2006/main" prst="rect">
          <a:avLst/>
        </a:prstGeom>
      </cdr:spPr>
    </cdr:pic>
  </cdr:relSizeAnchor>
  <cdr:relSizeAnchor xmlns:cdr="http://schemas.openxmlformats.org/drawingml/2006/chartDrawing">
    <cdr:from>
      <cdr:x>0.27619</cdr:x>
      <cdr:y>0.33871</cdr:y>
    </cdr:from>
    <cdr:to>
      <cdr:x>0.32854</cdr:x>
      <cdr:y>0.4486</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54140" y="920759"/>
          <a:ext cx="237744" cy="298735"/>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0.23748</cdr:x>
      <cdr:y>0.21578</cdr:y>
    </cdr:from>
    <cdr:to>
      <cdr:x>0.28315</cdr:x>
      <cdr:y>0.31223</cdr:y>
    </cdr:to>
    <cdr:sp macro="" textlink="">
      <cdr:nvSpPr>
        <cdr:cNvPr id="2" name="15 Metin kutusu"/>
        <cdr:cNvSpPr txBox="1"/>
      </cdr:nvSpPr>
      <cdr:spPr>
        <a:xfrm xmlns:a="http://schemas.openxmlformats.org/drawingml/2006/main">
          <a:off x="1325353" y="591922"/>
          <a:ext cx="254935" cy="2645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0.23748</cdr:x>
      <cdr:y>0.21578</cdr:y>
    </cdr:from>
    <cdr:to>
      <cdr:x>0.28315</cdr:x>
      <cdr:y>0.31223</cdr:y>
    </cdr:to>
    <cdr:sp macro="" textlink="">
      <cdr:nvSpPr>
        <cdr:cNvPr id="3" name="15 Metin kutusu"/>
        <cdr:cNvSpPr txBox="1"/>
      </cdr:nvSpPr>
      <cdr:spPr>
        <a:xfrm xmlns:a="http://schemas.openxmlformats.org/drawingml/2006/main">
          <a:off x="1325353" y="591922"/>
          <a:ext cx="254935" cy="2645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userShapes>
</file>

<file path=word/drawings/drawing24.xml><?xml version="1.0" encoding="utf-8"?>
<c:userShapes xmlns:c="http://schemas.openxmlformats.org/drawingml/2006/chart">
  <cdr:relSizeAnchor xmlns:cdr="http://schemas.openxmlformats.org/drawingml/2006/chartDrawing">
    <cdr:from>
      <cdr:x>0.87592</cdr:x>
      <cdr:y>0.15245</cdr:y>
    </cdr:from>
    <cdr:to>
      <cdr:x>0.93125</cdr:x>
      <cdr:y>0.25684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04716" y="418192"/>
          <a:ext cx="252960" cy="286361"/>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0.87708</cdr:x>
      <cdr:y>0.14979</cdr:y>
    </cdr:from>
    <cdr:to>
      <cdr:x>0.92652</cdr:x>
      <cdr:y>0.24306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10027" y="410906"/>
          <a:ext cx="226002" cy="255844"/>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0.69893</cdr:x>
      <cdr:y>0.21223</cdr:y>
    </cdr:from>
    <cdr:to>
      <cdr:x>0.75546</cdr:x>
      <cdr:y>0.33077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80421" y="570592"/>
          <a:ext cx="281535" cy="318709"/>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0.40792</cdr:x>
      <cdr:y>0.37165</cdr:y>
    </cdr:from>
    <cdr:to>
      <cdr:x>0.46442</cdr:x>
      <cdr:y>0.49019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32621" y="999217"/>
          <a:ext cx="281535" cy="318709"/>
        </a:xfrm>
        <a:prstGeom xmlns:a="http://schemas.openxmlformats.org/drawingml/2006/main" prst="rect">
          <a:avLst/>
        </a:prstGeom>
      </cdr:spPr>
    </cdr:pic>
  </cdr:relSizeAnchor>
  <cdr:relSizeAnchor xmlns:cdr="http://schemas.openxmlformats.org/drawingml/2006/chartDrawing">
    <cdr:from>
      <cdr:x>0.88772</cdr:x>
      <cdr:y>0.12366</cdr:y>
    </cdr:from>
    <cdr:to>
      <cdr:x>0.94423</cdr:x>
      <cdr:y>0.2422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423396" y="332467"/>
          <a:ext cx="281535" cy="318709"/>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0.8928</cdr:x>
      <cdr:y>0.36896</cdr:y>
    </cdr:from>
    <cdr:to>
      <cdr:x>0.94543</cdr:x>
      <cdr:y>0.47464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75821" y="1076325"/>
          <a:ext cx="281535" cy="308276"/>
        </a:xfrm>
        <a:prstGeom xmlns:a="http://schemas.openxmlformats.org/drawingml/2006/main" prst="rect">
          <a:avLst/>
        </a:prstGeom>
      </cdr:spPr>
    </cdr:pic>
  </cdr:relSizeAnchor>
  <cdr:relSizeAnchor xmlns:cdr="http://schemas.openxmlformats.org/drawingml/2006/chartDrawing">
    <cdr:from>
      <cdr:x>0.73255</cdr:x>
      <cdr:y>0.16621</cdr:y>
    </cdr:from>
    <cdr:to>
      <cdr:x>0.78518</cdr:x>
      <cdr:y>0.27546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18571" y="484867"/>
          <a:ext cx="281535" cy="318709"/>
        </a:xfrm>
        <a:prstGeom xmlns:a="http://schemas.openxmlformats.org/drawingml/2006/main" prst="rect">
          <a:avLst/>
        </a:prstGeom>
      </cdr:spPr>
    </cdr:pic>
  </cdr:relSizeAnchor>
  <cdr:relSizeAnchor xmlns:cdr="http://schemas.openxmlformats.org/drawingml/2006/chartDrawing">
    <cdr:from>
      <cdr:x>0.57051</cdr:x>
      <cdr:y>0.24457</cdr:y>
    </cdr:from>
    <cdr:to>
      <cdr:x>0.62314</cdr:x>
      <cdr:y>0.35383</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51796" y="713467"/>
          <a:ext cx="281535" cy="318709"/>
        </a:xfrm>
        <a:prstGeom xmlns:a="http://schemas.openxmlformats.org/drawingml/2006/main" prst="rect">
          <a:avLst/>
        </a:prstGeom>
      </cdr:spPr>
    </cdr:pic>
  </cdr:relSizeAnchor>
  <cdr:relSizeAnchor xmlns:cdr="http://schemas.openxmlformats.org/drawingml/2006/chartDrawing">
    <cdr:from>
      <cdr:x>0.40847</cdr:x>
      <cdr:y>0.30661</cdr:y>
    </cdr:from>
    <cdr:to>
      <cdr:x>0.4611</cdr:x>
      <cdr:y>0.41586</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85021" y="894442"/>
          <a:ext cx="281535" cy="31870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0.625</cdr:x>
      <cdr:y>0.40972</cdr:y>
    </cdr:from>
    <cdr:to>
      <cdr:x>0.68076</cdr:x>
      <cdr:y>0.50617</cdr:y>
    </cdr:to>
    <cdr:sp macro="" textlink="">
      <cdr:nvSpPr>
        <cdr:cNvPr id="2" name="15 Metin kutusu"/>
        <cdr:cNvSpPr txBox="1"/>
      </cdr:nvSpPr>
      <cdr:spPr>
        <a:xfrm xmlns:a="http://schemas.openxmlformats.org/drawingml/2006/main">
          <a:off x="2857500" y="1123944"/>
          <a:ext cx="254935" cy="2645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0.45</cdr:x>
      <cdr:y>0.25</cdr:y>
    </cdr:from>
    <cdr:to>
      <cdr:x>0.48701</cdr:x>
      <cdr:y>0.34991</cdr:y>
    </cdr:to>
    <cdr:sp macro="" textlink="">
      <cdr:nvSpPr>
        <cdr:cNvPr id="3" name="15 Metin kutusu"/>
        <cdr:cNvSpPr txBox="1"/>
      </cdr:nvSpPr>
      <cdr:spPr>
        <a:xfrm xmlns:a="http://schemas.openxmlformats.org/drawingml/2006/main">
          <a:off x="2057400" y="685800"/>
          <a:ext cx="169210" cy="27407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0.26667</cdr:x>
      <cdr:y>0.29167</cdr:y>
    </cdr:from>
    <cdr:to>
      <cdr:x>0.32243</cdr:x>
      <cdr:y>0.38811</cdr:y>
    </cdr:to>
    <cdr:sp macro="" textlink="">
      <cdr:nvSpPr>
        <cdr:cNvPr id="4" name="15 Metin kutusu"/>
        <cdr:cNvSpPr txBox="1"/>
      </cdr:nvSpPr>
      <cdr:spPr>
        <a:xfrm xmlns:a="http://schemas.openxmlformats.org/drawingml/2006/main">
          <a:off x="1219200" y="800100"/>
          <a:ext cx="254935"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0.80625</cdr:x>
      <cdr:y>0.46181</cdr:y>
    </cdr:from>
    <cdr:to>
      <cdr:x>0.86201</cdr:x>
      <cdr:y>0.55826</cdr:y>
    </cdr:to>
    <cdr:sp macro="" textlink="">
      <cdr:nvSpPr>
        <cdr:cNvPr id="5" name="15 Metin kutusu"/>
        <cdr:cNvSpPr txBox="1"/>
      </cdr:nvSpPr>
      <cdr:spPr>
        <a:xfrm xmlns:a="http://schemas.openxmlformats.org/drawingml/2006/main">
          <a:off x="3686190" y="1266834"/>
          <a:ext cx="254935" cy="2645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0.82292</cdr:x>
      <cdr:y>0.51041</cdr:y>
    </cdr:from>
    <cdr:to>
      <cdr:x>0.87868</cdr:x>
      <cdr:y>0.60685</cdr:y>
    </cdr:to>
    <cdr:sp macro="" textlink="">
      <cdr:nvSpPr>
        <cdr:cNvPr id="2" name="15 Metin kutusu"/>
        <cdr:cNvSpPr txBox="1"/>
      </cdr:nvSpPr>
      <cdr:spPr>
        <a:xfrm xmlns:a="http://schemas.openxmlformats.org/drawingml/2006/main">
          <a:off x="3762375" y="1400169"/>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0.64375</cdr:x>
      <cdr:y>0.45139</cdr:y>
    </cdr:from>
    <cdr:to>
      <cdr:x>0.69951</cdr:x>
      <cdr:y>0.54783</cdr:y>
    </cdr:to>
    <cdr:sp macro="" textlink="">
      <cdr:nvSpPr>
        <cdr:cNvPr id="3" name="15 Metin kutusu"/>
        <cdr:cNvSpPr txBox="1"/>
      </cdr:nvSpPr>
      <cdr:spPr>
        <a:xfrm xmlns:a="http://schemas.openxmlformats.org/drawingml/2006/main">
          <a:off x="2943225" y="1238253"/>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0.45208</cdr:x>
      <cdr:y>0.40972</cdr:y>
    </cdr:from>
    <cdr:to>
      <cdr:x>0.50784</cdr:x>
      <cdr:y>0.50616</cdr:y>
    </cdr:to>
    <cdr:sp macro="" textlink="">
      <cdr:nvSpPr>
        <cdr:cNvPr id="4" name="15 Metin kutusu"/>
        <cdr:cNvSpPr txBox="1"/>
      </cdr:nvSpPr>
      <cdr:spPr>
        <a:xfrm xmlns:a="http://schemas.openxmlformats.org/drawingml/2006/main">
          <a:off x="2066925" y="1123950"/>
          <a:ext cx="254942"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0.26667</cdr:x>
      <cdr:y>0.34375</cdr:y>
    </cdr:from>
    <cdr:to>
      <cdr:x>0.32243</cdr:x>
      <cdr:y>0.44019</cdr:y>
    </cdr:to>
    <cdr:sp macro="" textlink="">
      <cdr:nvSpPr>
        <cdr:cNvPr id="5" name="15 Metin kutusu"/>
        <cdr:cNvSpPr txBox="1"/>
      </cdr:nvSpPr>
      <cdr:spPr>
        <a:xfrm xmlns:a="http://schemas.openxmlformats.org/drawingml/2006/main">
          <a:off x="1219200" y="942975"/>
          <a:ext cx="254942" cy="264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0.80625</cdr:x>
      <cdr:y>0.37152</cdr:y>
    </cdr:from>
    <cdr:to>
      <cdr:x>0.86201</cdr:x>
      <cdr:y>0.46797</cdr:y>
    </cdr:to>
    <cdr:sp macro="" textlink="">
      <cdr:nvSpPr>
        <cdr:cNvPr id="2" name="15 Metin kutusu"/>
        <cdr:cNvSpPr txBox="1"/>
      </cdr:nvSpPr>
      <cdr:spPr>
        <a:xfrm xmlns:a="http://schemas.openxmlformats.org/drawingml/2006/main">
          <a:off x="3686175" y="1019163"/>
          <a:ext cx="254935" cy="26458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0.625</cdr:x>
      <cdr:y>0.46528</cdr:y>
    </cdr:from>
    <cdr:to>
      <cdr:x>0.68076</cdr:x>
      <cdr:y>0.56172</cdr:y>
    </cdr:to>
    <cdr:sp macro="" textlink="">
      <cdr:nvSpPr>
        <cdr:cNvPr id="3" name="15 Metin kutusu"/>
        <cdr:cNvSpPr txBox="1"/>
      </cdr:nvSpPr>
      <cdr:spPr>
        <a:xfrm xmlns:a="http://schemas.openxmlformats.org/drawingml/2006/main">
          <a:off x="2857515" y="1276359"/>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0.44792</cdr:x>
      <cdr:y>0.45486</cdr:y>
    </cdr:from>
    <cdr:to>
      <cdr:x>0.50368</cdr:x>
      <cdr:y>0.5513</cdr:y>
    </cdr:to>
    <cdr:sp macro="" textlink="">
      <cdr:nvSpPr>
        <cdr:cNvPr id="4" name="15 Metin kutusu"/>
        <cdr:cNvSpPr txBox="1"/>
      </cdr:nvSpPr>
      <cdr:spPr>
        <a:xfrm xmlns:a="http://schemas.openxmlformats.org/drawingml/2006/main">
          <a:off x="2047890" y="1247784"/>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0.26459</cdr:x>
      <cdr:y>0.16319</cdr:y>
    </cdr:from>
    <cdr:to>
      <cdr:x>0.32035</cdr:x>
      <cdr:y>0.25964</cdr:y>
    </cdr:to>
    <cdr:sp macro="" textlink="">
      <cdr:nvSpPr>
        <cdr:cNvPr id="5" name="15 Metin kutusu"/>
        <cdr:cNvSpPr txBox="1"/>
      </cdr:nvSpPr>
      <cdr:spPr>
        <a:xfrm xmlns:a="http://schemas.openxmlformats.org/drawingml/2006/main">
          <a:off x="1209690" y="447666"/>
          <a:ext cx="254935" cy="26458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0.64375</cdr:x>
      <cdr:y>0.39236</cdr:y>
    </cdr:from>
    <cdr:to>
      <cdr:x>0.69951</cdr:x>
      <cdr:y>0.4888</cdr:y>
    </cdr:to>
    <cdr:sp macro="" textlink="">
      <cdr:nvSpPr>
        <cdr:cNvPr id="3" name="15 Metin kutusu"/>
        <cdr:cNvSpPr txBox="1"/>
      </cdr:nvSpPr>
      <cdr:spPr>
        <a:xfrm xmlns:a="http://schemas.openxmlformats.org/drawingml/2006/main">
          <a:off x="2943225" y="1076322"/>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0.45624</cdr:x>
      <cdr:y>0.43055</cdr:y>
    </cdr:from>
    <cdr:to>
      <cdr:x>0.512</cdr:x>
      <cdr:y>0.52777</cdr:y>
    </cdr:to>
    <cdr:sp macro="" textlink="">
      <cdr:nvSpPr>
        <cdr:cNvPr id="4" name="15 Metin kutusu"/>
        <cdr:cNvSpPr txBox="1"/>
      </cdr:nvSpPr>
      <cdr:spPr>
        <a:xfrm xmlns:a="http://schemas.openxmlformats.org/drawingml/2006/main">
          <a:off x="2085945" y="1181091"/>
          <a:ext cx="254934" cy="2666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0.27292</cdr:x>
      <cdr:y>0.21181</cdr:y>
    </cdr:from>
    <cdr:to>
      <cdr:x>0.32868</cdr:x>
      <cdr:y>0.30825</cdr:y>
    </cdr:to>
    <cdr:sp macro="" textlink="">
      <cdr:nvSpPr>
        <cdr:cNvPr id="5" name="15 Metin kutusu"/>
        <cdr:cNvSpPr txBox="1"/>
      </cdr:nvSpPr>
      <cdr:spPr>
        <a:xfrm xmlns:a="http://schemas.openxmlformats.org/drawingml/2006/main">
          <a:off x="1247790" y="581034"/>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0.82937</cdr:x>
      <cdr:y>0.29957</cdr:y>
    </cdr:from>
    <cdr:to>
      <cdr:x>0.88889</cdr:x>
      <cdr:y>0.37595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791857" y="821778"/>
          <a:ext cx="272146" cy="20952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0.85625</cdr:x>
      <cdr:y>0.41667</cdr:y>
    </cdr:from>
    <cdr:to>
      <cdr:x>0.91201</cdr:x>
      <cdr:y>0.51311</cdr:y>
    </cdr:to>
    <cdr:sp macro="" textlink="">
      <cdr:nvSpPr>
        <cdr:cNvPr id="2" name="15 Metin kutusu"/>
        <cdr:cNvSpPr txBox="1"/>
      </cdr:nvSpPr>
      <cdr:spPr>
        <a:xfrm xmlns:a="http://schemas.openxmlformats.org/drawingml/2006/main">
          <a:off x="3914775" y="114300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0.66042</cdr:x>
      <cdr:y>0.36458</cdr:y>
    </cdr:from>
    <cdr:to>
      <cdr:x>0.71618</cdr:x>
      <cdr:y>0.46102</cdr:y>
    </cdr:to>
    <cdr:sp macro="" textlink="">
      <cdr:nvSpPr>
        <cdr:cNvPr id="3" name="15 Metin kutusu"/>
        <cdr:cNvSpPr txBox="1"/>
      </cdr:nvSpPr>
      <cdr:spPr>
        <a:xfrm xmlns:a="http://schemas.openxmlformats.org/drawingml/2006/main">
          <a:off x="3019425" y="100012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0.46458</cdr:x>
      <cdr:y>0.35764</cdr:y>
    </cdr:from>
    <cdr:to>
      <cdr:x>0.52034</cdr:x>
      <cdr:y>0.45408</cdr:y>
    </cdr:to>
    <cdr:sp macro="" textlink="">
      <cdr:nvSpPr>
        <cdr:cNvPr id="4" name="15 Metin kutusu"/>
        <cdr:cNvSpPr txBox="1"/>
      </cdr:nvSpPr>
      <cdr:spPr>
        <a:xfrm xmlns:a="http://schemas.openxmlformats.org/drawingml/2006/main">
          <a:off x="2124075" y="9810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0.27083</cdr:x>
      <cdr:y>0.28472</cdr:y>
    </cdr:from>
    <cdr:to>
      <cdr:x>0.32659</cdr:x>
      <cdr:y>0.38116</cdr:y>
    </cdr:to>
    <cdr:sp macro="" textlink="">
      <cdr:nvSpPr>
        <cdr:cNvPr id="5" name="15 Metin kutusu"/>
        <cdr:cNvSpPr txBox="1"/>
      </cdr:nvSpPr>
      <cdr:spPr>
        <a:xfrm xmlns:a="http://schemas.openxmlformats.org/drawingml/2006/main">
          <a:off x="1238250" y="78105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0.6625</cdr:x>
      <cdr:y>0.38194</cdr:y>
    </cdr:from>
    <cdr:to>
      <cdr:x>0.71826</cdr:x>
      <cdr:y>0.47838</cdr:y>
    </cdr:to>
    <cdr:sp macro="" textlink="">
      <cdr:nvSpPr>
        <cdr:cNvPr id="4" name="15 Metin kutusu"/>
        <cdr:cNvSpPr txBox="1"/>
      </cdr:nvSpPr>
      <cdr:spPr>
        <a:xfrm xmlns:a="http://schemas.openxmlformats.org/drawingml/2006/main">
          <a:off x="3028950" y="1047738"/>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0.4625</cdr:x>
      <cdr:y>0.32959</cdr:y>
    </cdr:from>
    <cdr:to>
      <cdr:x>0.51826</cdr:x>
      <cdr:y>0.41936</cdr:y>
    </cdr:to>
    <cdr:sp macro="" textlink="">
      <cdr:nvSpPr>
        <cdr:cNvPr id="5" name="15 Metin kutusu"/>
        <cdr:cNvSpPr txBox="1"/>
      </cdr:nvSpPr>
      <cdr:spPr>
        <a:xfrm xmlns:a="http://schemas.openxmlformats.org/drawingml/2006/main">
          <a:off x="2114550" y="904126"/>
          <a:ext cx="254935" cy="24626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0.26875</cdr:x>
      <cdr:y>0.25347</cdr:y>
    </cdr:from>
    <cdr:to>
      <cdr:x>0.32451</cdr:x>
      <cdr:y>0.34991</cdr:y>
    </cdr:to>
    <cdr:sp macro="" textlink="">
      <cdr:nvSpPr>
        <cdr:cNvPr id="6" name="15 Metin kutusu"/>
        <cdr:cNvSpPr txBox="1"/>
      </cdr:nvSpPr>
      <cdr:spPr>
        <a:xfrm xmlns:a="http://schemas.openxmlformats.org/drawingml/2006/main">
          <a:off x="1228725" y="69532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0.8599</cdr:x>
      <cdr:y>0.46932</cdr:y>
    </cdr:from>
    <cdr:to>
      <cdr:x>0.9224</cdr:x>
      <cdr:y>0.5457</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31464" y="1287439"/>
          <a:ext cx="285732" cy="209526"/>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0.85</cdr:x>
      <cdr:y>0.41319</cdr:y>
    </cdr:from>
    <cdr:to>
      <cdr:x>0.90576</cdr:x>
      <cdr:y>0.50963</cdr:y>
    </cdr:to>
    <cdr:sp macro="" textlink="">
      <cdr:nvSpPr>
        <cdr:cNvPr id="2" name="15 Metin kutusu"/>
        <cdr:cNvSpPr txBox="1"/>
      </cdr:nvSpPr>
      <cdr:spPr>
        <a:xfrm xmlns:a="http://schemas.openxmlformats.org/drawingml/2006/main">
          <a:off x="3886200" y="11334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0.65208</cdr:x>
      <cdr:y>0.36806</cdr:y>
    </cdr:from>
    <cdr:to>
      <cdr:x>0.70784</cdr:x>
      <cdr:y>0.4645</cdr:y>
    </cdr:to>
    <cdr:sp macro="" textlink="">
      <cdr:nvSpPr>
        <cdr:cNvPr id="3" name="15 Metin kutusu"/>
        <cdr:cNvSpPr txBox="1"/>
      </cdr:nvSpPr>
      <cdr:spPr>
        <a:xfrm xmlns:a="http://schemas.openxmlformats.org/drawingml/2006/main">
          <a:off x="2981325" y="1009650"/>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0.46042</cdr:x>
      <cdr:y>0.34375</cdr:y>
    </cdr:from>
    <cdr:to>
      <cdr:x>0.51618</cdr:x>
      <cdr:y>0.44019</cdr:y>
    </cdr:to>
    <cdr:sp macro="" textlink="">
      <cdr:nvSpPr>
        <cdr:cNvPr id="4" name="15 Metin kutusu"/>
        <cdr:cNvSpPr txBox="1"/>
      </cdr:nvSpPr>
      <cdr:spPr>
        <a:xfrm xmlns:a="http://schemas.openxmlformats.org/drawingml/2006/main">
          <a:off x="2105025" y="9429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dr:relSizeAnchor xmlns:cdr="http://schemas.openxmlformats.org/drawingml/2006/chartDrawing">
    <cdr:from>
      <cdr:x>0.26875</cdr:x>
      <cdr:y>0.14931</cdr:y>
    </cdr:from>
    <cdr:to>
      <cdr:x>0.32451</cdr:x>
      <cdr:y>0.24575</cdr:y>
    </cdr:to>
    <cdr:sp macro="" textlink="">
      <cdr:nvSpPr>
        <cdr:cNvPr id="5" name="15 Metin kutusu"/>
        <cdr:cNvSpPr txBox="1"/>
      </cdr:nvSpPr>
      <cdr:spPr>
        <a:xfrm xmlns:a="http://schemas.openxmlformats.org/drawingml/2006/main">
          <a:off x="1228725" y="409575"/>
          <a:ext cx="254935" cy="2645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100">
              <a:solidFill>
                <a:sysClr val="window" lastClr="FFFFFF"/>
              </a:solidFill>
            </a:rPr>
            <a:t>*</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1CC2E-BDC0-4653-8594-BDC060931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2611</TotalTime>
  <Pages>211</Pages>
  <Words>68485</Words>
  <Characters>390366</Characters>
  <Application>Microsoft Office Word</Application>
  <DocSecurity>0</DocSecurity>
  <Lines>3253</Lines>
  <Paragraphs>915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Lenovo</cp:lastModifiedBy>
  <cp:revision>98</cp:revision>
  <cp:lastPrinted>2020-07-14T08:49:00Z</cp:lastPrinted>
  <dcterms:created xsi:type="dcterms:W3CDTF">2020-06-14T08:17:00Z</dcterms:created>
  <dcterms:modified xsi:type="dcterms:W3CDTF">2020-07-29T17:12:00Z</dcterms:modified>
</cp:coreProperties>
</file>